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240"/>
        <w:jc w:val="left"/>
      </w:pPr>
      <w:r>
        <w:drawing>
          <wp:inline xmlns:a="http://schemas.openxmlformats.org/drawingml/2006/main" xmlns:pic="http://schemas.openxmlformats.org/drawingml/2006/picture">
            <wp:extent cx="502920" cy="502920"/>
            <wp:docPr id="1" name="Picture 1" descr="FusionDigital标志" title="FusionDigital标志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siondigital-mar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before="0" w:after="160" w:line="300" w:lineRule="auto"/>
      </w:pPr>
      <w:r>
        <w:rPr>
          <w:rFonts w:ascii="Calibri" w:hAnsi="Calibri" w:eastAsia="Microsoft YaHei"/>
          <w:b/>
          <w:i w:val="0"/>
          <w:color w:val="FF7A1A"/>
          <w:sz w:val="20"/>
        </w:rPr>
        <w:t>FUSIONDIGITAL · ENGINEERING DIGITAL TWIN</w:t>
      </w:r>
    </w:p>
    <w:p>
      <w:pPr>
        <w:keepNext/>
        <w:spacing w:before="0" w:after="120"/>
      </w:pPr>
      <w:r>
        <w:rPr>
          <w:rFonts w:ascii="Calibri" w:hAnsi="Calibri" w:eastAsia="Microsoft YaHei"/>
          <w:b/>
          <w:color w:val="0B172A"/>
          <w:sz w:val="54"/>
        </w:rPr>
        <w:t>聚变装置工程数字孪生</w:t>
        <w:br/>
        <w:t>一期联合攻关交流提纲</w:t>
      </w:r>
    </w:p>
    <w:p>
      <w:pPr>
        <w:keepNext/>
        <w:spacing w:before="0" w:after="320" w:line="300" w:lineRule="auto"/>
      </w:pPr>
      <w:r>
        <w:rPr>
          <w:rFonts w:ascii="Calibri" w:hAnsi="Calibri" w:eastAsia="Microsoft YaHei"/>
          <w:b w:val="0"/>
          <w:i w:val="0"/>
          <w:color w:val="1F4D78"/>
          <w:sz w:val="28"/>
        </w:rPr>
        <w:t>电磁场 / 电磁力 · 热管理 · 实验验证 · 代理模型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7660"/>
      </w:tblGrid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5B6678"/>
                <w:sz w:val="18"/>
              </w:rPr>
              <w:t>交流双方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9"/>
              </w:rPr>
              <w:t>新奥聚变人工智能团队 × 西安交通大学相关团队</w:t>
            </w:r>
          </w:p>
        </w:tc>
      </w:tr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5B6678"/>
                <w:sz w:val="18"/>
              </w:rPr>
              <w:t>文档状态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9"/>
              </w:rPr>
              <w:t>交流讨论稿｜不含装置保密参数｜需双方共同冻结技术口径</w:t>
            </w:r>
          </w:p>
        </w:tc>
      </w:tr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5B6678"/>
                <w:sz w:val="18"/>
              </w:rPr>
              <w:t>日期 / 联系人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9"/>
              </w:rPr>
              <w:t>2026-08-10｜tianshao1992@gmail.com</w:t>
            </w:r>
          </w:p>
        </w:tc>
      </w:tr>
    </w:tbl>
    <w:p>
      <w:pPr>
        <w:keepNext w:val="0"/>
        <w:spacing w:before="0" w:after="10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FFF8E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after="60"/>
              <w:jc w:val="center"/>
            </w:pPr>
            <w:r/>
            <w:r>
              <w:rPr>
                <w:rFonts w:ascii="Calibri" w:hAnsi="Calibri" w:eastAsia="Microsoft YaHei"/>
                <w:b/>
                <w:color w:val="FF7A1A"/>
                <w:sz w:val="17"/>
              </w:rPr>
              <w:t>首个对象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0B172A"/>
                <w:sz w:val="18"/>
              </w:rPr>
              <w:t>1个部件 / 子系统</w:t>
            </w:r>
          </w:p>
        </w:tc>
        <w:tc>
          <w:tcPr>
            <w:tcW w:type="dxa" w:w="2340"/>
            <w:shd w:fill="EAF9F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after="60"/>
              <w:jc w:val="center"/>
            </w:pPr>
            <w:r/>
            <w:r>
              <w:rPr>
                <w:rFonts w:ascii="Calibri" w:hAnsi="Calibri" w:eastAsia="Microsoft YaHei"/>
                <w:b/>
                <w:color w:val="1D6B57"/>
                <w:sz w:val="17"/>
              </w:rPr>
              <w:t>物理链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0B172A"/>
                <w:sz w:val="18"/>
              </w:rPr>
              <w:t>EM → 热 → 结构</w:t>
            </w:r>
          </w:p>
        </w:tc>
        <w:tc>
          <w:tcPr>
            <w:tcW w:type="dxa" w:w="2340"/>
            <w:shd w:fill="EAF9F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after="60"/>
              <w:jc w:val="center"/>
            </w:pPr>
            <w:r/>
            <w:r>
              <w:rPr>
                <w:rFonts w:ascii="Calibri" w:hAnsi="Calibri" w:eastAsia="Microsoft YaHei"/>
                <w:b/>
                <w:color w:val="1D6B57"/>
                <w:sz w:val="17"/>
              </w:rPr>
              <w:t>证据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0B172A"/>
                <w:sz w:val="18"/>
              </w:rPr>
              <w:t>力·位移·应变·温度</w:t>
            </w:r>
          </w:p>
        </w:tc>
        <w:tc>
          <w:tcPr>
            <w:tcW w:type="dxa" w:w="2340"/>
            <w:shd w:fill="FFF8E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after="60"/>
              <w:jc w:val="center"/>
            </w:pPr>
            <w:r/>
            <w:r>
              <w:rPr>
                <w:rFonts w:ascii="Calibri" w:hAnsi="Calibri" w:eastAsia="Microsoft YaHei"/>
                <w:b/>
                <w:color w:val="FF7A1A"/>
                <w:sz w:val="17"/>
              </w:rPr>
              <w:t>终态</w:t>
            </w:r>
          </w:p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0B172A"/>
                <w:sz w:val="18"/>
              </w:rPr>
              <w:t>代理 + UQ + 服务</w:t>
            </w:r>
          </w:p>
        </w:tc>
      </w:tr>
    </w:tbl>
    <w:p>
      <w:pPr>
        <w:keepNext w:val="0"/>
        <w:spacing w:before="0" w:after="10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8" w:space="0" w:color="FF7A1A"/>
              <w:start w:val="single" w:sz="8" w:space="0" w:color="FF7A1A"/>
              <w:bottom w:val="single" w:sz="8" w:space="0" w:color="FF7A1A"/>
              <w:end w:val="single" w:sz="8" w:space="0" w:color="FF7A1A"/>
              <w:insideH w:val="single" w:sz="8" w:space="0" w:color="FF7A1A"/>
              <w:insideV w:val="single" w:sz="8" w:space="0" w:color="FF7A1A"/>
            </w:tcBorders>
            <w:shd w:fill="FFF2E7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FF7A1A"/>
                <w:sz w:val="18"/>
              </w:rPr>
              <w:t>一期建议定义</w:t>
            </w:r>
          </w:p>
          <w:p>
            <w:pPr>
              <w:spacing w:before="0" w:after="0" w:line="288" w:lineRule="auto"/>
            </w:pPr>
            <w:r>
              <w:rPr>
                <w:rFonts w:ascii="Calibri" w:hAnsi="Calibri" w:eastAsia="Microsoft YaHei"/>
                <w:b w:val="0"/>
                <w:color w:val="122033"/>
                <w:sz w:val="21"/>
              </w:rPr>
              <w:t>面向一个明确部件或子系统，建立经过实验验证的电磁—热—结构高保真计算链，形成可追溯的数据集与带不确定度、可识别适用域的代理模型，并通过标准接口接入FusionDigital平台。它应被称为“可验证的窄域工程孪生”，而不是全装置在线孪生。</w:t>
            </w:r>
          </w:p>
        </w:tc>
      </w:tr>
    </w:tbl>
    <w:p>
      <w:pPr>
        <w:spacing w:after="40"/>
      </w:pPr>
    </w:p>
    <w:p>
      <w:pPr>
        <w:keepNext w:val="0"/>
        <w:spacing w:before="0" w:after="0" w:line="300" w:lineRule="auto"/>
      </w:pPr>
      <w:r>
        <w:rPr>
          <w:rFonts w:ascii="Calibri" w:hAnsi="Calibri" w:eastAsia="Microsoft YaHei"/>
          <w:b w:val="0"/>
          <w:i/>
          <w:color w:val="5B6678"/>
          <w:sz w:val="19"/>
        </w:rPr>
        <w:t>建议会议先锁定对象、决策与验收证据，再讨论求解器和算法。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1. 一页结论：本次合作应交付什么</w:t>
      </w:r>
    </w:p>
    <w:p>
      <w:pPr>
        <w:keepNext w:val="0"/>
        <w:spacing w:before="0" w:after="160" w:line="300" w:lineRule="auto"/>
      </w:pPr>
      <w:r>
        <w:rPr>
          <w:rFonts w:ascii="Calibri" w:hAnsi="Calibri" w:eastAsia="Microsoft YaHei"/>
          <w:b/>
          <w:i w:val="0"/>
          <w:color w:val="0B172A"/>
          <w:sz w:val="24"/>
        </w:rPr>
        <w:t>建议把一期成果定义为一条可复算、可比较、可部署的可信链，而不是若干商业软件截图或一个离线机器学习模型。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对象收敛：</w:t>
      </w:r>
      <w:r>
        <w:rPr>
          <w:rFonts w:ascii="Calibri" w:hAnsi="Calibri" w:eastAsia="Microsoft YaHei"/>
          <w:color w:val="122033"/>
          <w:sz w:val="22"/>
        </w:rPr>
        <w:t>优先选择边界清晰、已有传感器、能覆盖代表工况的线圈/母排、支撑结构、真空室局部结构或其他电磁载荷显著部件。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主链贯通：</w:t>
      </w:r>
      <w:r>
        <w:rPr>
          <w:rFonts w:ascii="Calibri" w:hAnsi="Calibri" w:eastAsia="Microsoft YaHei"/>
          <w:color w:val="122033"/>
          <w:sz w:val="22"/>
        </w:rPr>
        <w:t>输入基线 → 电磁场/电磁力 → 电磁损耗与热管理 → 热—结构响应 → 合成传感器 → 实验确认。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资产可复现：</w:t>
      </w:r>
      <w:r>
        <w:rPr>
          <w:rFonts w:ascii="Calibri" w:hAnsi="Calibri" w:eastAsia="Microsoft YaHei"/>
          <w:color w:val="122033"/>
          <w:sz w:val="22"/>
        </w:rPr>
        <w:t>交付商业软件原生模型、参数化脚本、批量求解脚本、后处理脚本、版本清单和验证证据。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代理可信：</w:t>
      </w:r>
      <w:r>
        <w:rPr>
          <w:rFonts w:ascii="Calibri" w:hAnsi="Calibri" w:eastAsia="Microsoft YaHei"/>
          <w:color w:val="122033"/>
          <w:sz w:val="22"/>
        </w:rPr>
        <w:t>训练/测试按工况族分组，保留盲测和OOD测试；输出预测值、置信区间、适用域标志和模型版本。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平台可接入：</w:t>
      </w:r>
      <w:r>
        <w:rPr>
          <w:rFonts w:ascii="Calibri" w:hAnsi="Calibri" w:eastAsia="Microsoft YaHei"/>
          <w:color w:val="122033"/>
          <w:sz w:val="22"/>
        </w:rPr>
        <w:t>提供Python SDK及REST/gRPC；只有在联合仿真需要时再补充FMU，并明确单位、坐标系、时间基准与失败降级。</w:t>
      </w:r>
    </w:p>
    <w:p>
      <w:pPr>
        <w:spacing w:before="60" w:after="0"/>
        <w:jc w:val="center"/>
      </w:pPr>
      <w:r>
        <w:drawing>
          <wp:inline xmlns:a="http://schemas.openxmlformats.org/drawingml/2006/main" xmlns:pic="http://schemas.openxmlformats.org/drawingml/2006/picture">
            <wp:extent cx="5943600" cy="2922270"/>
            <wp:docPr id="2" name="Picture 2" descr="一期工程数字孪生可信链：输入基线、电磁高保真、热结构响应、实验确认、代理与服务以及证据闭环" title="一期工程数字孪生可信链：输入基线、电磁高保真、热结构响应、实验确认、代理与服务以及证据闭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ase1-trust-chai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2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图1  一期可信链。验证对象不是“云图”，而是经合成传感器转换后、可与真实测量量一一比较的预测信号。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8" w:space="0" w:color="D9B466"/>
              <w:start w:val="single" w:sz="8" w:space="0" w:color="D9B466"/>
              <w:bottom w:val="single" w:sz="8" w:space="0" w:color="D9B466"/>
              <w:end w:val="single" w:sz="8" w:space="0" w:color="D9B466"/>
              <w:insideH w:val="single" w:sz="8" w:space="0" w:color="D9B466"/>
              <w:insideV w:val="single" w:sz="8" w:space="0" w:color="D9B466"/>
            </w:tcBorders>
            <w:shd w:fill="FFF8E8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D9B466"/>
                <w:sz w:val="18"/>
              </w:rPr>
              <w:t>关键口径</w:t>
            </w:r>
          </w:p>
          <w:p>
            <w:pPr>
              <w:spacing w:before="0" w:after="0" w:line="288" w:lineRule="auto"/>
            </w:pPr>
            <w:r>
              <w:rPr>
                <w:rFonts w:ascii="Calibri" w:hAnsi="Calibri" w:eastAsia="Microsoft YaHei"/>
                <w:b w:val="0"/>
                <w:color w:val="122033"/>
                <w:sz w:val="21"/>
              </w:rPr>
              <w:t>应变通常是直接测量量；应力多数情况下由应变、温度补偿、本构关系和结构假设反演得到。除非确有可追溯的应力测量装置，否则应把“应力”列为带模型依赖性的派生验证量。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2. 下午会议需要锁定的11项决策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首个孪生对象是哪一个部件或子系统？它服务哪项工程决策：载荷识别、热点预警、变形评估、寿命裕量还是方案优化？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一期覆盖哪些额定、瞬态、故障和极限工况？哪些工况明确不纳入？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电磁模型采用磁静态、谐波还是瞬态涡流？是否考虑铁磁非线性、磁滞、温度依赖电导率、接触电阻或超导交流损耗？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权威商业软件主栈是什么？电磁—热—结构先采用顺序单向耦合，还是确有证据需要双向迭代？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CAD、装配接触、材料曲线、电流波形、冷却边界、初始条件和坐标系的可用程度如何？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力、位移、应变、温度如何标定、同步和映射？现有“应力数据”究竟是直接测量还是反演结果？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核心QoI、工程决策容差、测量不确定度与盲测验收规则是什么？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DoE参数空间、样本预算、HPC资源、商业软件许可证和批处理并发如何安排？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代理模型输出标量、时间序列还是全场？目标部署硬件、p95延迟和调用频率是多少？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原生模型、自动化脚本、实验数据、训练数据、代理模型和论文成果的知识产权与使用权如何约定？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平台接口、模型版本、OOD拒绝、降级回退、审批与回滚机制如何实现？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建议的会议输出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172A"/>
          <w:sz w:val="22"/>
        </w:rPr>
        <w:t>会议结束前至少形成一页共同纪要：首个对象、3–5个代表工况、核心QoI、主工具栈、数据缺口、双方负责人、首轮验证窗口和保密/IP下一步。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3. 一期技术边界与主计算链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3.1 建议纳入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低频电磁场、涡流、电流密度、磁感应强度、洛伦兹力密度、合力/合力矩与电磁损耗。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固体导热、必要时的共轭传热/CFD、接触热阻、辐射与冷却边界；输出热点、温差、热流和热时间常数。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电磁力与温度载荷下的位移、应变、应力、接触状态和关键裕量。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力、位移、应变、温度的合成传感器，以及时间同步、校准、实验不确定度与盲测。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参数化批算、DoE、高保真数据集、代理模型、UQ/OOD、SDK/API/FMU交付。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3.2 建议暂不纳入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全装置所有部件的统一工程孪生；一期只做一个可验证的窄域对象。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完整等离子体湍流、MHD稳定性或输运预测；只把由物理/控制侧提供的电流、场与事件波形作为受控输入。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未经传感器证据支撑的在线寿命预测、自主控制或安全认证。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把商业软件原生模型直接在线运行；在线侧应使用经确认的ROM/代理或系统模型。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3.3 主链与守恒检查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5B6678"/>
          <w:sz w:val="22"/>
        </w:rPr>
        <w:t>建议统一采用下列变量链，双方在接口文件中显式写出单位、坐标系、参考方向和时间基准：</w:t>
      </w:r>
    </w:p>
    <w:p>
      <w:pPr>
        <w:keepNext w:val="0"/>
        <w:spacing w:before="0" w:after="200" w:line="300" w:lineRule="auto"/>
        <w:jc w:val="center"/>
        <w:pBdr>
          <w:bottom w:val="single" w:sz="5" w:space="4" w:color="D7DEE8"/>
        </w:pBdr>
      </w:pPr>
      <w:r>
        <w:rPr>
          <w:rFonts w:ascii="Calibri" w:hAnsi="Calibri" w:eastAsia="Microsoft YaHei"/>
          <w:b/>
          <w:i w:val="0"/>
          <w:color w:val="0B172A"/>
          <w:sz w:val="23"/>
        </w:rPr>
        <w:t>I(t), geometry, material, BC  →  (B, E, J)  →  fv = J × B, qEM  →  T, h, p  →  u, ε, σ  →  ŷs = Hs[y(x,t)]  ↔  yexp,s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  <w:t>其中Hs为合成传感器算子：它把有限元场转换为与真实传感器位置、方向、标距、安装层、动态响应和采样过程一致的预测信号。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8" w:space="0" w:color="1D6B57"/>
              <w:start w:val="single" w:sz="8" w:space="0" w:color="1D6B57"/>
              <w:bottom w:val="single" w:sz="8" w:space="0" w:color="1D6B57"/>
              <w:end w:val="single" w:sz="8" w:space="0" w:color="1D6B57"/>
              <w:insideH w:val="single" w:sz="8" w:space="0" w:color="1D6B57"/>
              <w:insideV w:val="single" w:sz="8" w:space="0" w:color="1D6B57"/>
            </w:tcBorders>
            <w:shd w:fill="EAF9F4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D6B57"/>
                <w:sz w:val="18"/>
              </w:rPr>
              <w:t>强制守恒检查</w:t>
            </w:r>
          </w:p>
          <w:p>
            <w:pPr>
              <w:spacing w:before="0" w:after="0" w:line="288" w:lineRule="auto"/>
            </w:pPr>
            <w:r>
              <w:rPr>
                <w:rFonts w:ascii="Calibri" w:hAnsi="Calibri" w:eastAsia="Microsoft YaHei"/>
                <w:b w:val="0"/>
                <w:color w:val="122033"/>
                <w:sz w:val="21"/>
              </w:rPr>
              <w:t>载荷映射前后应检查合力与合力矩守恒；热源映射前后应检查总功率守恒。若误差不能解释，后续实验对比没有可信基础。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4. 模型输入、输出与配置基线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  <w:t>一期首先建立“可计算输入包”和“可验收输出包”。没有版本化的几何、材料、工况和传感器注册表，代理模型数据再多也不可追溯。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200"/>
        <w:gridCol w:w="3460"/>
      </w:tblGrid>
      <w:tr>
        <w:trPr>
          <w:tblHeader w:val="true"/>
        </w:trP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输入/证据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关键内容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配置与质量要求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几何与装配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CAD、简化规则、绝缘/间隙、接触、预紧、坐标系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几何版本；简化理由；网格敏感区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材料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σe(T)、μ(B,T)、k(T)、cp(T)、E(T)、ν、热膨胀、接触参数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来源、温区、插值与外推规则；必要时试验标定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电磁激励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电流/电压波形、相位、匝数、回路、初始场、故障事件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原始采样、滤波、触发与工况编号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热边界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体热源、表面热流、流量、入口温度、压力、换热系数、辐射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不确定度；稳态/瞬态；冷却系统状态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结构边界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约束、支撑、接触、预紧、重力、装配偏差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真实传力路径；允许刚体运动；接触状态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传感器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ID、坐标、方向、标距、安装层、量程、采样率、校准、传递函数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统一时钟；原始数据只读；派生数据带处理记录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QoI</w:t>
            </w:r>
          </w:p>
        </w:tc>
        <w:tc>
          <w:tcPr>
            <w:tcW w:type="dxa" w:w="4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B/J、合力/力矩、热点、ΔT、位移、应变、派生应力、裕量</w:t>
            </w:r>
          </w:p>
        </w:tc>
        <w:tc>
          <w:tcPr>
            <w:tcW w:type="dxa" w:w="34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每个QoI给出决策用途、容差、适用工况和验收指标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表1  一期输入/输出与配置基线。实际字段应固化为机器可读数据字典。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5. 高保真商业软件计算：从能算到可验证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5.1 电磁场与电磁力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建模类型：</w:t>
      </w:r>
      <w:r>
        <w:rPr>
          <w:rFonts w:ascii="Calibri" w:hAnsi="Calibri" w:eastAsia="Microsoft YaHei"/>
          <w:color w:val="122033"/>
          <w:sz w:val="22"/>
        </w:rPr>
        <w:t>明确磁静态、频域或瞬态涡流；把选择与工况时间尺度、导体趋肤深度、铁磁/超导材料和运动效应对应起来。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力的交叉检查：</w:t>
      </w:r>
      <w:r>
        <w:rPr>
          <w:rFonts w:ascii="Calibri" w:hAnsi="Calibri" w:eastAsia="Microsoft YaHei"/>
          <w:color w:val="122033"/>
          <w:sz w:val="22"/>
        </w:rPr>
        <w:t>体积分∫J×B dV、Maxwell应力张量或虚功法至少采用两种独立方式核对关键合力/力矩。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损耗机制：</w:t>
      </w:r>
      <w:r>
        <w:rPr>
          <w:rFonts w:ascii="Calibri" w:hAnsi="Calibri" w:eastAsia="Microsoft YaHei"/>
          <w:color w:val="122033"/>
          <w:sz w:val="22"/>
        </w:rPr>
        <w:t>J·E或J²/σ不能自动覆盖磁滞、铁损、接触电阻、超导交流损耗等；每项必须显式列为包含、忽略或待标定。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数值验证：</w:t>
      </w:r>
      <w:r>
        <w:rPr>
          <w:rFonts w:ascii="Calibri" w:hAnsi="Calibri" w:eastAsia="Microsoft YaHei"/>
          <w:color w:val="122033"/>
          <w:sz w:val="22"/>
        </w:rPr>
        <w:t>给出边界截断、网格、时间步、非线性容差、能量/力平衡和解析/标准算例，不以软件默认设置作为证据。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5.2 热管理与热—结构耦合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首选顺序耦合：</w:t>
      </w:r>
      <w:r>
        <w:rPr>
          <w:rFonts w:ascii="Calibri" w:hAnsi="Calibri" w:eastAsia="Microsoft YaHei"/>
          <w:color w:val="122033"/>
          <w:sz w:val="22"/>
        </w:rPr>
        <w:t>电磁→热→结构。通过敏感性分析判断温升对电阻率/磁导率、变形对场分布是否显著；显著时再升级为迭代或双向耦合。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热管理分级：</w:t>
      </w:r>
      <w:r>
        <w:rPr>
          <w:rFonts w:ascii="Calibri" w:hAnsi="Calibri" w:eastAsia="Microsoft YaHei"/>
          <w:color w:val="122033"/>
          <w:sz w:val="22"/>
        </w:rPr>
        <w:t>若流动不是主不确定源，可先用经实验标定的换热系数；若热点/流量分配受流动显著支配，再采用共轭传热或完整CFD。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结构响应：</w:t>
      </w:r>
      <w:r>
        <w:rPr>
          <w:rFonts w:ascii="Calibri" w:hAnsi="Calibri" w:eastAsia="Microsoft YaHei"/>
          <w:color w:val="122033"/>
          <w:sz w:val="22"/>
        </w:rPr>
        <w:t>同时计算电磁力和热膨胀；关注接触、预紧、局部刚度、传力路径和装配偏差，避免把理想约束误当真实支撑。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字段映射：</w:t>
      </w:r>
      <w:r>
        <w:rPr>
          <w:rFonts w:ascii="Calibri" w:hAnsi="Calibri" w:eastAsia="Microsoft YaHei"/>
          <w:color w:val="122033"/>
          <w:sz w:val="22"/>
        </w:rPr>
        <w:t>电磁力、热源和温度场跨网格传递时记录插值算法、守恒误差和坐标变换。</w:t>
      </w:r>
    </w:p>
    <w:p>
      <w:pPr>
        <w:spacing w:before="6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3" name="Picture 3" descr="托卡马克工程数字孪生架构，包括高保真仿真、实验、代理模型、运行数据和决策服务" title="托卡马克工程数字孪生架构，包括高保真仿真、实验、代理模型、运行数据和决策服务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twin-architecture-natur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图2  工程数字孪生并非单个求解器，而是高保真模型、实验、快速模型、运行数据、版本与验证证据共同构成的服务链。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6. 实验验证：比较“传感器会看到什么”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172A"/>
          <w:sz w:val="22"/>
        </w:rPr>
        <w:t>模型确认的核心不是把有限元节点值与CSV曲线直接叠加，而是构建合成传感器Hs，并把实验不确定度、安装效应和时间同步纳入比较。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100"/>
        <w:gridCol w:w="3760"/>
      </w:tblGrid>
      <w:tr>
        <w:trPr>
          <w:tblHeader w:val="true"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传感器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仿真到测量的映射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主要误差源 / 必须记录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力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对真实传力路径积分，映射至测力计方向与带宽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预紧、横向灵敏度、安装刚度、动态带宽、标定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位移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测点坐标与方向投影；必要时扣除基准或刚体位移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参考基准、安装点柔度、光路/支架变形、采样同步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应变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表面应变投影到栅丝方向；按标距空间平均并做温度补偿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应变片/FBG坐标、方向、胶层、标距、温漂、桥路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应力（派生）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由ε、本构、温度、应变花和结构假设反演；输出不确定度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塑性、残余应力、接触滑移、各向异性、温度梯度</w:t>
            </w:r>
          </w:p>
        </w:tc>
      </w:tr>
      <w:t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温度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按热电偶/RTD的安装热阻与响应时间卷积；IR考虑发射率</w:t>
            </w:r>
          </w:p>
        </w:tc>
        <w:tc>
          <w:tcPr>
            <w:tcW w:type="dxa" w:w="3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安装热阻、热惯性、发射率、视角、遮挡、漂移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表2  合成传感器与实验误差源。应力列故意标为“派生量”。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6.1 验证层级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材料/单元级：温度相关材料参数、接触电/热阻、应变片/热电偶响应与基础载荷。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部件级：代表几何、支撑、冷却和载荷路径；形成可重复、可盲测的验证工况。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集成工况：装置环境下的多传感器同步对比，检验边界和耦合，而非重新随意调参。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9B1C1C"/>
          <w:sz w:val="22"/>
        </w:rPr>
        <w:t>校准工况与独立验证工况必须分离；盲测前冻结模型参数、网格规则和数据处理流程。</w:t>
      </w:r>
    </w:p>
    <w:p>
      <w:pPr>
        <w:spacing w:before="60" w:after="0"/>
        <w:jc w:val="center"/>
      </w:pPr>
      <w:r>
        <w:drawing>
          <wp:inline xmlns:a="http://schemas.openxmlformats.org/drawingml/2006/main" xmlns:pic="http://schemas.openxmlformats.org/drawingml/2006/picture">
            <wp:extent cx="5394960" cy="3663223"/>
            <wp:docPr id="4" name="Picture 4" descr="工程仿真验证与确认金字塔，从单元测试、部件试验到集成装置验证" title="工程仿真验证与确认金字塔，从单元测试、部件试验到集成装置验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vv-pyramid-na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36632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图3  V&amp;V证据应分层累积。集成装置的一次吻合不能替代材料、数值与部件级验证。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7. 代理模型：高保真模型的受控加速器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7.1 数据集与DoE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先定义参数空间：几何、材料、装配/接触、激励波形、冷却条件、环境和初始状态；明确连续、离散与不可行域。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先做Morris/Sobol或局部敏感性筛选，再用LHS、Sobol序列或最优设计生成基础样本；在热点、状态切换和高不确定区域自适应加点。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每个样本保存输入、CAD/网格/材料/求解器版本、收敛、守恒误差、QoI、全场、合成传感器输出和质量标记。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训练/验证/测试按工况族、几何版本或时间序列整组切分；禁止把同一瞬态的相邻时间点随机分到训练和测试。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失败/不收敛样本也要保留，用于学习不可行域与求解风险。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7.2 模型路线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100"/>
        <w:gridCol w:w="4160"/>
      </w:tblGrid>
      <w:tr>
        <w:trPr>
          <w:tblHeader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1ECFF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输出形态 / 数据规模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1ECFF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优先路线</w:t>
            </w:r>
          </w:p>
        </w:tc>
        <w:tc>
          <w:tcPr>
            <w:tcW w:type="dxa" w:w="4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1ECFF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升级条件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小样本标量QoI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GP、PCE、RBF、梯度提升树</w:t>
            </w:r>
          </w:p>
        </w:tc>
        <w:tc>
          <w:tcPr>
            <w:tcW w:type="dxa" w:w="4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维度或非平稳性增加时采用局部/稀疏模型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多工况标量/时间响应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MLP、状态空间、NARX或物理模型+残差</w:t>
            </w:r>
          </w:p>
        </w:tc>
        <w:tc>
          <w:tcPr>
            <w:tcW w:type="dxa" w:w="4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出现强记忆、滞后或跨工况迁移需求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全场输出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POD/SVD基底 + 回归器</w:t>
            </w:r>
          </w:p>
        </w:tc>
        <w:tc>
          <w:tcPr>
            <w:tcW w:type="dxa" w:w="4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样本和几何一致性充分后再评估自编码器、DeepONet、FNO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多精度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低精度模型 + 残差学习、协同克里金、多保真GP</w:t>
            </w:r>
          </w:p>
        </w:tc>
        <w:tc>
          <w:tcPr>
            <w:tcW w:type="dxa" w:w="4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低/高精度相关性可量化且成本差异显著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表3  代理模型选择应由数据规模、输出形态和部署目标驱动，不以算法新颖性为先。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7.3 不确定度、适用域与验收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双重误差：</w:t>
      </w:r>
      <w:r>
        <w:rPr>
          <w:rFonts w:ascii="Calibri" w:hAnsi="Calibri" w:eastAsia="Microsoft YaHei"/>
          <w:color w:val="122033"/>
          <w:sz w:val="22"/>
        </w:rPr>
        <w:t>代理既要忠实于高保真模型，也要在独立实验上达到决策所需精度。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指标组合：</w:t>
      </w:r>
      <w:r>
        <w:rPr>
          <w:rFonts w:ascii="Calibri" w:hAnsi="Calibri" w:eastAsia="Microsoft YaHei"/>
          <w:color w:val="122033"/>
          <w:sz w:val="22"/>
        </w:rPr>
        <w:t>RMSE/NRMSE、峰值/相位、全场相对L2、热点位置、力/力矩/能量守恒、区间覆盖率、OOD漏报与在线p95延迟。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拒绝机制：</w:t>
      </w:r>
      <w:r>
        <w:rPr>
          <w:rFonts w:ascii="Calibri" w:hAnsi="Calibri" w:eastAsia="Microsoft YaHei"/>
          <w:color w:val="122033"/>
          <w:sz w:val="22"/>
        </w:rPr>
        <w:t>输入超域、质量异常或预测不确定度过高时，代理应拒绝“可信预测”，回退到高保真、保守模型或人工处置。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b/>
          <w:color w:val="122033"/>
          <w:sz w:val="22"/>
        </w:rPr>
        <w:t>不要先定10%：</w:t>
      </w:r>
      <w:r>
        <w:rPr>
          <w:rFonts w:ascii="Calibri" w:hAnsi="Calibri" w:eastAsia="Microsoft YaHei"/>
          <w:color w:val="122033"/>
          <w:sz w:val="22"/>
        </w:rPr>
        <w:t>验收阈值应由传感器不确定度、模型用途和工程决策容差共同形成误差预算，再为不同QoI设线。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8. 分阶段V&amp;V验收门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3050"/>
        <w:gridCol w:w="4860"/>
      </w:tblGrid>
      <w:tr>
        <w:trPr>
          <w:tblHeader w:val="true"/>
        </w:trP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验收门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回答的问题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核心证据 / 退出条件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G0 需求冻结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算什么、为何算、供谁决策？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对象、工况、QoI、容差、数据字典、适用边界和责任人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G1 建模正确性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方程、材料、边界、耦合是否符合物理？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建模假设表、解析/标准算例、同行复核、单位与坐标审查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G2 解验证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结果是否受网格、时间步或容差支配？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收敛、残差、平衡、映射守恒、关键量交叉算法/求解器核对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G3 实验可比性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仿真量是否等同于传感器真正测到的量？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传感器注册表、合成传感器、时空对齐、校准与不确定度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G4 模型确认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目标工况是否达到决策所需精度？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独立验证、盲测、误差预算、偏差诊断；盲测前参数冻结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G5 代理确认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代理是否同时忠实于高保真和实验？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分组测试、极值/场误差、区间覆盖、物理约束、OOD测试</w:t>
            </w:r>
          </w:p>
        </w:tc>
      </w:tr>
      <w:tr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G6 在线就绪</w:t>
            </w:r>
          </w:p>
        </w:tc>
        <w:tc>
          <w:tcPr>
            <w:tcW w:type="dxa" w:w="3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服务是否可安全、稳定、可追溯地调用？</w:t>
            </w:r>
          </w:p>
        </w:tc>
        <w:tc>
          <w:tcPr>
            <w:tcW w:type="dxa" w:w="4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延迟/并发、接口契约、拒绝/降级、版本、审批、回滚、审计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表4  V&amp;V是逐门放行，不是最终只看一次曲线拟合。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8" w:space="0" w:color="1F4D78"/>
              <w:start w:val="single" w:sz="8" w:space="0" w:color="1F4D78"/>
              <w:bottom w:val="single" w:sz="8" w:space="0" w:color="1F4D78"/>
              <w:end w:val="single" w:sz="8" w:space="0" w:color="1F4D78"/>
              <w:insideH w:val="single" w:sz="8" w:space="0" w:color="1F4D78"/>
              <w:insideV w:val="single" w:sz="8" w:space="0" w:color="1F4D78"/>
            </w:tcBorders>
            <w:shd w:fill="F4F6F9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F4D78"/>
                <w:sz w:val="18"/>
              </w:rPr>
              <w:t>三类不确定度</w:t>
            </w:r>
          </w:p>
          <w:p>
            <w:pPr>
              <w:spacing w:before="0" w:after="0" w:line="288" w:lineRule="auto"/>
            </w:pPr>
            <w:r>
              <w:rPr>
                <w:rFonts w:ascii="Calibri" w:hAnsi="Calibri" w:eastAsia="Microsoft YaHei"/>
                <w:b w:val="0"/>
                <w:color w:val="122033"/>
                <w:sz w:val="21"/>
              </w:rPr>
              <w:t>输入不确定度（载荷/材料/边界/安装）、数值不确定度（离散化/迭代/映射/降阶）和实验不确定度（传感器/标定/安装/时钟/重复性）必须分别建账，再在误差预算中组合解释。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9. 商业软件主栈：建议“一主一校核”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172A"/>
          <w:sz w:val="22"/>
        </w:rPr>
        <w:t>一期不建议平行维护两套同等复杂的生产模型。选择一个权威主栈形成完整资产；另用解析算例、试验或第二求解器做少量交叉校核。工具选择取决于西交现有许可证、专家经验、自动化接口和双方未来维护能力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3800"/>
        <w:gridCol w:w="3160"/>
      </w:tblGrid>
      <w:tr>
        <w:trPr>
          <w:tblHeader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2E7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候选栈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2E7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适合本项目的能力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2E7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需要确认的风险 / 交付要求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ANSYS Maxwell → Mechanical / Fluent / Icepak → optiSLang / Twin Builder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低频电磁、力/损耗、热/流/结构、多物理映射；PyAEDT与PyAnsys自动化；ROM/FMI/服务化路径较完整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许可证与并发；跨求解器映射守恒；脚本版本兼容；是否具备团队现成模板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COMSOL AC/DC + Heat Transfer + CFD + Structural Mechanics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统一模型树内构建磁—热—力耦合；FEM/BEM、洛伦兹力、Joule/感应加热；Java/MATLAB API适合参数化与自定义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大型3D瞬态的计算成本；模块许可；模型自定义过多可能削弱可维护性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SIMULIA Opera/CST + Abaqus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低频/宽频电磁与成熟结构非线性；官方支持部分电磁—结构协同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数据映射和自动化链需要项目化证明；Opera/CST的具体适用频段与求解器要区分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Simcenter MAGNET + 3D / HEEDS / ROM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线圈/磁体低频电磁、温度相关材料、运动与设计空间探索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托卡马克大尺度导体/真空室涡流案例与校核证据需要对方展示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Altair Flux / SimLab / HyperWorks + romAI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电磁—热—结构、多学科参数化、优化和代理工作流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团队现有经验、许可证、与装置数据接口和长期维护人力需确认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表5  商业工具栈选型框架。最终结论应由现有许可证、项目经验、自动化能力和维护责任共同决定。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9.1 要求西交演示而非口头承诺的能力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一个与目标部件相近的参数化原生模型：从输入文件到批处理求解和结果导出可复跑。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至少一个网格/时间步收敛与解析、文献、第二求解器或实验交叉验证案例。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电磁力和热源跨网格映射的合力、力矩与功率守恒报告。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高保真样本自动生成、失败恢复、日志、版本和许可证并发管理方法。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代理模型盲测、UQ/OOD、模型卡以及ONNX/SDK/API/FMU中的至少一种可执行交付。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10. 西安交通大学公开能力映射与建议组织方式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  <w:t>公开信息显示西交具备覆盖本项目的组合能力，但更可能需要跨学院组织，不能假设单一课题组同时具备托卡马克电磁、热流固、结构试验和代理部署的全部能力。建议由校级/联合平台牵头，按工作包确定PI。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3800"/>
        <w:gridCol w:w="3160"/>
      </w:tblGrid>
      <w:tr>
        <w:trPr>
          <w:tblHeader w:val="true"/>
        </w:trP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公开实体 / 证据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与一期的直接适配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AF9F4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交流时要核实的边界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先进聚变科学与技术创新联合研究院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适合作为校内跨学院入口，协调核科学、能动、电气与结构团队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常设项目组、牵头PI、软件/HPC资源与可交付资产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复杂服役环境重大装备结构强度与寿命全国重点实验室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公开明确电—磁—力—热—流体全耦合结构分析用于托卡马克；匹配电磁载荷、结构响应与试验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要求展示具体托卡马克对象、工况、代码、实验和误差证据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XJTU-NuTHeL 核反应堆热工水力研究室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ITER/CFETR包层热工水力、安全分析与CFX/FLUENT等工具；匹配冷却和CFD验证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若对象是固体线圈/支撑，需确认共轭传热与热应力范围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MaTHE-XJTU 液态金属磁—热—流团队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强磁场下液态金属MHD、传热与实验回路；适合包层/液态金属对象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不能把液态金属能力泛化到普通水冷/氦冷热管理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电气/力学相关团队公开成果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已有三维电磁、电—热—力、有限元+机器学习、商业CAE二次开发和POD/SVM等降阶积累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尚无公开证据证明已有可直接采购的托卡马克电磁—热—结构在线代理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表6  公开能力只能用于发现合作入口；真正立项前仍需项目级案例、人员、许可证与交付边界证明。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8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8" w:space="0" w:color="1D6B57"/>
              <w:start w:val="single" w:sz="8" w:space="0" w:color="1D6B57"/>
              <w:bottom w:val="single" w:sz="8" w:space="0" w:color="1D6B57"/>
              <w:end w:val="single" w:sz="8" w:space="0" w:color="1D6B57"/>
              <w:insideH w:val="single" w:sz="8" w:space="0" w:color="1D6B57"/>
              <w:insideV w:val="single" w:sz="8" w:space="0" w:color="1D6B57"/>
            </w:tcBorders>
            <w:shd w:fill="EAF9F4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1D6B57"/>
                <w:sz w:val="18"/>
              </w:rPr>
              <w:t>建议的合作定位</w:t>
            </w:r>
          </w:p>
          <w:p>
            <w:pPr>
              <w:spacing w:before="0" w:after="0" w:line="288" w:lineRule="auto"/>
            </w:pPr>
            <w:r>
              <w:rPr>
                <w:rFonts w:ascii="Calibri" w:hAnsi="Calibri" w:eastAsia="Microsoft YaHei"/>
                <w:b w:val="0"/>
                <w:color w:val="122033"/>
                <w:sz w:val="21"/>
              </w:rPr>
              <w:t>西交负责可复算、可验证、可批量生成样本的商业软件高保真基线与代理模型；新奥负责装置边界、传感器和实验数据、配置管理、平台接口与最终验收；双方共同承担误差预算、盲测、适用域和知识产权约定。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11. 工作包、资产交付与责任边界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WP0  </w:t>
      </w:r>
      <w:r>
        <w:rPr>
          <w:rFonts w:ascii="Calibri" w:hAnsi="Calibri" w:eastAsia="Microsoft YaHei"/>
          <w:b/>
          <w:color w:val="0B172A"/>
          <w:sz w:val="23"/>
        </w:rPr>
        <w:t>需求、数据与配置基线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交付：对象/工况/QoI、数据字典、材料与传感器注册表、验证计划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责任：新奥牵头，双方冻结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WP1  </w:t>
      </w:r>
      <w:r>
        <w:rPr>
          <w:rFonts w:ascii="Calibri" w:hAnsi="Calibri" w:eastAsia="Microsoft YaHei"/>
          <w:b/>
          <w:color w:val="0B172A"/>
          <w:sz w:val="23"/>
        </w:rPr>
        <w:t>电磁高保真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交付：参数化原生模型、力/力矩/损耗、解验证、批算与导出脚本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责任：西交牵头，新奥供输入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WP2  </w:t>
      </w:r>
      <w:r>
        <w:rPr>
          <w:rFonts w:ascii="Calibri" w:hAnsi="Calibri" w:eastAsia="Microsoft YaHei"/>
          <w:b/>
          <w:color w:val="0B172A"/>
          <w:sz w:val="23"/>
        </w:rPr>
        <w:t>热管理与热—结构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交付：导热/CFD、热源与载荷映射、热点/变形/应变/应力、守恒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责任：西交牵头，双方审查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WP3  </w:t>
      </w:r>
      <w:r>
        <w:rPr>
          <w:rFonts w:ascii="Calibri" w:hAnsi="Calibri" w:eastAsia="Microsoft YaHei"/>
          <w:b/>
          <w:color w:val="0B172A"/>
          <w:sz w:val="23"/>
        </w:rPr>
        <w:t>实验与模型确认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交付：传感器注册表、合成传感器、同步、标定/独立/盲测、误差预算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责任：新奥实验牵头，联合确认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WP4  </w:t>
      </w:r>
      <w:r>
        <w:rPr>
          <w:rFonts w:ascii="Calibri" w:hAnsi="Calibri" w:eastAsia="Microsoft YaHei"/>
          <w:b/>
          <w:color w:val="0B172A"/>
          <w:sz w:val="23"/>
        </w:rPr>
        <w:t>DoE与高保真数据集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交付：参数空间、样本计划、质量门、版本化数据集与生成清单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责任：西交计算牵头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WP5  </w:t>
      </w:r>
      <w:r>
        <w:rPr>
          <w:rFonts w:ascii="Calibri" w:hAnsi="Calibri" w:eastAsia="Microsoft YaHei"/>
          <w:b/>
          <w:color w:val="0B172A"/>
          <w:sz w:val="23"/>
        </w:rPr>
        <w:t>代理、UQ与OOD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交付：训练代码、模型、模型卡、独立测试、区间覆盖、OOD与物理约束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责任：西交牵头，联合验收</w:t>
      </w:r>
    </w:p>
    <w:p>
      <w:pPr>
        <w:keepNext/>
        <w:spacing w:before="100" w:after="40"/>
      </w:pPr>
      <w:r>
        <w:rPr>
          <w:rFonts w:ascii="Calibri" w:hAnsi="Calibri" w:eastAsia="Microsoft YaHei"/>
          <w:b/>
          <w:color w:val="FF7A1A"/>
          <w:sz w:val="20"/>
        </w:rPr>
        <w:t xml:space="preserve">WP6  </w:t>
      </w:r>
      <w:r>
        <w:rPr>
          <w:rFonts w:ascii="Calibri" w:hAnsi="Calibri" w:eastAsia="Microsoft YaHei"/>
          <w:b/>
          <w:color w:val="0B172A"/>
          <w:sz w:val="23"/>
        </w:rPr>
        <w:t>服务化与生命周期</w:t>
      </w:r>
    </w:p>
    <w:p>
      <w:pPr>
        <w:keepNext w:val="0"/>
        <w:spacing w:before="0" w:after="20" w:line="300" w:lineRule="auto"/>
        <w:ind w:left="317"/>
      </w:pPr>
      <w:r>
        <w:rPr>
          <w:rFonts w:ascii="Calibri" w:hAnsi="Calibri" w:eastAsia="Microsoft YaHei"/>
          <w:b w:val="0"/>
          <w:i w:val="0"/>
          <w:color w:val="122033"/>
          <w:sz w:val="20"/>
        </w:rPr>
        <w:t>交付：SDK/API/FMU、性能、版本/审批/回滚、监控与降级演示</w:t>
      </w:r>
    </w:p>
    <w:p>
      <w:pPr>
        <w:keepNext w:val="0"/>
        <w:spacing w:before="0" w:after="80" w:line="300" w:lineRule="auto"/>
        <w:ind w:left="317"/>
      </w:pPr>
      <w:r>
        <w:rPr>
          <w:rFonts w:ascii="Calibri" w:hAnsi="Calibri" w:eastAsia="Microsoft YaHei"/>
          <w:b w:val="0"/>
          <w:i/>
          <w:color w:val="5B6678"/>
          <w:sz w:val="19"/>
        </w:rPr>
        <w:t>责任：新奥平台牵头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11.1 不接受的交付形态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只有报告、截图、云图或视频，没有原生模型和自动化脚本。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只有训练后的代理文件，没有训练数据清单、代码、模型卡、盲测和适用域。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只报告平均误差，不报告峰值、场量、守恒、区间覆盖、OOD与极端工况。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把同一瞬态相邻时间点随机切分后得到的“高精度”测试结果。</w:t>
      </w:r>
    </w:p>
    <w:p>
      <w:pPr>
        <w:numPr>
          <w:ilvl w:val="0"/>
          <w:numId w:val="13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未说明商业软件版本、许可证依赖、第三方组件、迁移与长期维护责任。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12. 建议的12–16周里程碑（讨论基线）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1500"/>
        <w:gridCol w:w="5560"/>
      </w:tblGrid>
      <w:tr>
        <w:trPr>
          <w:tblHeader w:val="true"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8E8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里程碑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8E8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建议周次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FF8E8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退出条件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M0 对象与验收冻结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第1–2周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对象、工况、QoI、数据、传感器、不确定度和验收规则冻结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M1 主链贯通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第3–5周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电磁→热→结构基准模型可复跑，关键接口单位/坐标明确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M2 数值验证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第5–7周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网格/时间步、解析/交叉校核、载荷与热源映射守恒通过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M3 实验对齐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第6–9周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合成传感器、同步、首轮对比与误差诊断完成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M4 高保真数据集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第8–12周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参数化批算、质量审查、数据字典和生成清单完成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M5 代理确认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第11–14周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代理、UQ/OOD、盲测和物理约束检查通过</w:t>
            </w:r>
          </w:p>
        </w:tc>
      </w:tr>
      <w:t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M6 平台接入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第14–16周</w:t>
            </w:r>
          </w:p>
        </w:tc>
        <w:tc>
          <w:tcPr>
            <w:tcW w:type="dxa" w:w="5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API/SDK/FMU、性能、降级、模型卡和资产移交演示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表7  周期仅作为讨论基线；若CAD、材料或传感器元数据不完整，应先延长WP0而非压缩验证。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12.1 角色分工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980"/>
        <w:gridCol w:w="358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主体</w:t>
            </w:r>
          </w:p>
        </w:tc>
        <w:tc>
          <w:tcPr>
            <w:tcW w:type="dxa" w:w="3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主要责任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共同责任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新奥聚变</w:t>
            </w:r>
          </w:p>
        </w:tc>
        <w:tc>
          <w:tcPr>
            <w:tcW w:type="dxa" w:w="3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对象/需求、装置与传感器数据、实验执行、配置管理、平台接口、最终验收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验证计划、盲测、误差预算、模型卡、发布审批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西安交通大学</w:t>
            </w:r>
          </w:p>
        </w:tc>
        <w:tc>
          <w:tcPr>
            <w:tcW w:type="dxa" w:w="3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商业软件高保真建模、数值验证、参数化批算、DoE、代理训练与技术移交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  <w:shd w:fill="FAFBFC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实验确认、适用域、论文/专利、能力培训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/>
                <w:color w:val="122033"/>
                <w:sz w:val="18"/>
              </w:rPr>
              <w:t>双方治理组</w:t>
            </w:r>
          </w:p>
        </w:tc>
        <w:tc>
          <w:tcPr>
            <w:tcW w:type="dxa" w:w="39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保密/IP、许可证、里程碑、变更控制、质量门与风险处置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color w:val="122033"/>
                <w:sz w:val="18"/>
              </w:rPr>
            </w:r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版本冻结、发布/回滚、后续扩展路线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13. 建议的75分钟会议议程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2200"/>
        <w:gridCol w:w="5610"/>
      </w:tblGrid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0–10分钟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场景与决策</w:t>
            </w:r>
          </w:p>
        </w:tc>
        <w:tc>
          <w:tcPr>
            <w:tcW w:type="dxa" w:w="5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新奥说明首个候选部件、当前数据和希望数字孪生支持的工程决策。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10–25分钟</w:t>
            </w:r>
          </w:p>
        </w:tc>
        <w:tc>
          <w:tcPr>
            <w:tcW w:type="dxa" w:w="22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西交能力与案例</w:t>
            </w:r>
          </w:p>
        </w:tc>
        <w:tc>
          <w:tcPr>
            <w:tcW w:type="dxa" w:w="561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要求以相近对象、原生模型、验证证据、软件/许可证和人员为中心演示。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25–40分钟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主计算链</w:t>
            </w:r>
          </w:p>
        </w:tc>
        <w:tc>
          <w:tcPr>
            <w:tcW w:type="dxa" w:w="5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确定电磁类型、损耗、热管理层级、结构边界、耦合与守恒检查。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40–52分钟</w:t>
            </w:r>
          </w:p>
        </w:tc>
        <w:tc>
          <w:tcPr>
            <w:tcW w:type="dxa" w:w="22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实验与V&amp;V</w:t>
            </w:r>
          </w:p>
        </w:tc>
        <w:tc>
          <w:tcPr>
            <w:tcW w:type="dxa" w:w="561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逐项核对力/位移/应变/温度，澄清应力反演、同步、盲测与误差预算。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52–63分钟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DoE与代理</w:t>
            </w:r>
          </w:p>
        </w:tc>
        <w:tc>
          <w:tcPr>
            <w:tcW w:type="dxa" w:w="5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确定输出形态、样本预算、UQ/OOD、部署接口和性能目标。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63–72分钟</w:t>
            </w:r>
          </w:p>
        </w:tc>
        <w:tc>
          <w:tcPr>
            <w:tcW w:type="dxa" w:w="220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分工与资产</w:t>
            </w:r>
          </w:p>
        </w:tc>
        <w:tc>
          <w:tcPr>
            <w:tcW w:type="dxa" w:w="5610"/>
            <w:shd w:fill="FAFBF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确定WP、交付源文件/脚本/数据/模型卡、IP、保密和维护。</w:t>
            </w:r>
          </w:p>
        </w:tc>
      </w:tr>
      <w:tr>
        <w:tc>
          <w:tcPr>
            <w:tcW w:type="dxa" w:w="1550"/>
            <w:shd w:fill="FFF2E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FF7A1A"/>
                <w:sz w:val="18"/>
              </w:rPr>
              <w:t>72–75分钟</w:t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0B172A"/>
                <w:sz w:val="18"/>
              </w:rPr>
              <w:t>共同纪要</w:t>
            </w:r>
          </w:p>
        </w:tc>
        <w:tc>
          <w:tcPr>
            <w:tcW w:type="dxa" w:w="56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复述对象、工况、工具栈、数据缺口、负责人和下一次技术评审时间。</w:t>
            </w:r>
          </w:p>
        </w:tc>
      </w:tr>
    </w:tbl>
    <w:p>
      <w:pPr>
        <w:pStyle w:val="Caption"/>
        <w:spacing w:before="80" w:after="160"/>
        <w:jc w:val="center"/>
      </w:pPr>
      <w:r>
        <w:rPr>
          <w:rFonts w:ascii="Calibri" w:hAnsi="Calibri" w:eastAsia="Microsoft YaHei"/>
          <w:i/>
          <w:color w:val="5B6678"/>
          <w:sz w:val="17"/>
        </w:rPr>
        <w:t>表8  以决策和证据为中心的会议流程，避免一开始陷入软件功能展示。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会后24小时内建议形成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共同纪要与未决问题清单；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双方各自的数据/案例/许可证/人员证明材料清单；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WP0两周工作计划与首轮数据室目录；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保密协议和知识产权条款的对接人；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下一次模型需求与验证计划（MRP/VVP）评审时间。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附录A：会前/会后数据清单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几何与装配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目标部件CAD与版本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装配关系、绝缘/间隙/接触/预紧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全局与传感器局部坐标系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允许公开、校内受限和装置保密边界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材料与边界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电、磁、热、结构温度相关参数及来源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电流/电压/磁场波形与触发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冷却流量、温度、压力、换热/接触热阻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支撑、约束、载荷路径与初始状态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实验与传感器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传感器注册表与校准证书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原始采样文件、时钟、触发与滤波记录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力/位移/应变/温度的重复工况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应力反演算法、材料本构与假设</w:t>
      </w:r>
    </w:p>
    <w:p>
      <w:pPr>
        <w:pStyle w:val="Heading2"/>
        <w:keepNext/>
      </w:pPr>
      <w:r>
        <w:rPr>
          <w:rFonts w:ascii="Calibri" w:hAnsi="Calibri" w:eastAsia="Microsoft YaHei"/>
          <w:b/>
          <w:color w:val="2E74B5"/>
          <w:sz w:val="26"/>
        </w:rPr>
        <w:t>计算与平台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商业软件版本、模块、HPC和许可证并发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脚本/API/批处理和结果格式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目标SDK/API/FMU及延迟/并发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Calibri" w:hAnsi="Calibri" w:eastAsia="Microsoft YaHei"/>
          <w:color w:val="122033"/>
          <w:sz w:val="22"/>
        </w:rPr>
        <w:t>代码、模型、数据、训练资产的IP与迁移权</w:t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附录B：最小术语表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7660"/>
      </w:tblGrid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QoI</w:t>
            </w:r>
          </w:p>
        </w:tc>
        <w:tc>
          <w:tcPr>
            <w:tcW w:type="dxa" w:w="766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Quantity of Interest，直接服务工程决策的关键输出量。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V&amp;V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Verification &amp; Validation。Verification确认方程是否被正确求解；Validation确认模型是否足够代表目标现实。</w:t>
            </w:r>
          </w:p>
        </w:tc>
      </w:tr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合成传感器</w:t>
            </w:r>
          </w:p>
        </w:tc>
        <w:tc>
          <w:tcPr>
            <w:tcW w:type="dxa" w:w="766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把连续/离散仿真场经位置、方向、标距、安装、动态响应和采样映射为可与真实传感器直接比较的预测量。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ROM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Reduced-Order Model，保留关键输入—状态—输出关系的低维快速模型。</w:t>
            </w:r>
          </w:p>
        </w:tc>
      </w:tr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UQ</w:t>
            </w:r>
          </w:p>
        </w:tc>
        <w:tc>
          <w:tcPr>
            <w:tcW w:type="dxa" w:w="766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Uncertainty Quantification，对输入、数值、模型与实验不确定度进行量化与传播。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OOD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Out-of-Distribution，输入或状态超出训练/验证分布；应触发拒绝或降级。</w:t>
            </w:r>
          </w:p>
        </w:tc>
      </w:tr>
      <w:tr>
        <w:tc>
          <w:tcPr>
            <w:tcW w:type="dxa" w:w="17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FMU/FMI</w:t>
            </w:r>
          </w:p>
        </w:tc>
        <w:tc>
          <w:tcPr>
            <w:tcW w:type="dxa" w:w="766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Functional Mock-up Unit / Interface，用于跨工具模型交换和联合仿真的标准封装。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/>
                <w:color w:val="1F4D78"/>
                <w:sz w:val="18"/>
              </w:rPr>
              <w:t>数字线程</w:t>
            </w:r>
          </w:p>
        </w:tc>
        <w:tc>
          <w:tcPr>
            <w:tcW w:type="dxa" w:w="7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space="0" w:color="D7DEE8"/>
              <w:start w:val="single" w:sz="4" w:space="0" w:color="D7DEE8"/>
              <w:bottom w:val="single" w:sz="4" w:space="0" w:color="D7DEE8"/>
              <w:end w:val="single" w:sz="4" w:space="0" w:color="D7DEE8"/>
              <w:insideH w:val="single" w:sz="4" w:space="0" w:color="D7DEE8"/>
              <w:insideV w:val="single" w:sz="4" w:space="0" w:color="D7DEE8"/>
            </w:tcBorders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 w:eastAsia="Microsoft YaHei"/>
                <w:b w:val="0"/>
                <w:color w:val="122033"/>
                <w:sz w:val="18"/>
              </w:rPr>
              <w:t>把需求、输入、模型、版本、运行、实验、验证、代理和发布证据串联的可追溯关系。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附录C：建议会前核验的公开来源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/>
          <w:color w:val="5B6678"/>
          <w:sz w:val="19"/>
        </w:rPr>
        <w:t>以下链接用于能力发现和工具选型，不替代项目级人员、许可证、模型与验证证据。</w:t>
      </w:r>
    </w:p>
    <w:p>
      <w:pPr>
        <w:spacing w:after="80"/>
        <w:numPr>
          <w:ilvl w:val="0"/>
          <w:numId w:val="10"/>
        </w:numPr>
      </w:pPr>
      <w:hyperlink r:id="rId13">
        <w:r>
          <w:rPr>
            <w:rFonts w:ascii="Calibri" w:hAnsi="Calibri" w:eastAsia="Microsoft YaHei"/>
            <w:color w:val="2E74B5"/>
            <w:u w:val="single"/>
          </w:rPr>
          <w:t>西安交大先进聚变科学与技术创新联合研究院</w:t>
        </w:r>
      </w:hyperlink>
    </w:p>
    <w:p>
      <w:pPr>
        <w:spacing w:after="80"/>
        <w:numPr>
          <w:ilvl w:val="0"/>
          <w:numId w:val="10"/>
        </w:numPr>
      </w:pPr>
      <w:hyperlink r:id="rId14">
        <w:r>
          <w:rPr>
            <w:rFonts w:ascii="Calibri" w:hAnsi="Calibri" w:eastAsia="Microsoft YaHei"/>
            <w:color w:val="2E74B5"/>
            <w:u w:val="single"/>
          </w:rPr>
          <w:t>复杂服役环境重大装备结构强度与寿命全国重点实验室简介</w:t>
        </w:r>
      </w:hyperlink>
    </w:p>
    <w:p>
      <w:pPr>
        <w:spacing w:after="80"/>
        <w:numPr>
          <w:ilvl w:val="0"/>
          <w:numId w:val="10"/>
        </w:numPr>
      </w:pPr>
      <w:hyperlink r:id="rId15">
        <w:r>
          <w:rPr>
            <w:rFonts w:ascii="Calibri" w:hAnsi="Calibri" w:eastAsia="Microsoft YaHei"/>
            <w:color w:val="2E74B5"/>
            <w:u w:val="single"/>
          </w:rPr>
          <w:t>复杂服役环境实验室设备中心</w:t>
        </w:r>
      </w:hyperlink>
    </w:p>
    <w:p>
      <w:pPr>
        <w:spacing w:after="80"/>
        <w:numPr>
          <w:ilvl w:val="0"/>
          <w:numId w:val="10"/>
        </w:numPr>
      </w:pPr>
      <w:hyperlink r:id="rId16">
        <w:r>
          <w:rPr>
            <w:rFonts w:ascii="Calibri" w:hAnsi="Calibri" w:eastAsia="Microsoft YaHei"/>
            <w:color w:val="2E74B5"/>
            <w:u w:val="single"/>
          </w:rPr>
          <w:t>XJTU-NuTHeL 团队与热工水力软件</w:t>
        </w:r>
      </w:hyperlink>
    </w:p>
    <w:p>
      <w:pPr>
        <w:spacing w:after="80"/>
        <w:numPr>
          <w:ilvl w:val="0"/>
          <w:numId w:val="10"/>
        </w:numPr>
      </w:pPr>
      <w:hyperlink r:id="rId17">
        <w:r>
          <w:rPr>
            <w:rFonts w:ascii="Calibri" w:hAnsi="Calibri" w:eastAsia="Microsoft YaHei"/>
            <w:color w:val="2E74B5"/>
            <w:u w:val="single"/>
          </w:rPr>
          <w:t>XJTU-NuTHeL CFETR相关项目</w:t>
        </w:r>
      </w:hyperlink>
    </w:p>
    <w:p>
      <w:pPr>
        <w:spacing w:after="80"/>
        <w:numPr>
          <w:ilvl w:val="0"/>
          <w:numId w:val="10"/>
        </w:numPr>
      </w:pPr>
      <w:hyperlink r:id="rId18">
        <w:r>
          <w:rPr>
            <w:rFonts w:ascii="Calibri" w:hAnsi="Calibri" w:eastAsia="Microsoft YaHei"/>
            <w:color w:val="2E74B5"/>
            <w:u w:val="single"/>
          </w:rPr>
          <w:t>MaTHE-XJTU 液态金属磁—热—流研究概况</w:t>
        </w:r>
      </w:hyperlink>
    </w:p>
    <w:p>
      <w:pPr>
        <w:spacing w:after="80"/>
        <w:numPr>
          <w:ilvl w:val="0"/>
          <w:numId w:val="10"/>
        </w:numPr>
      </w:pPr>
      <w:hyperlink r:id="rId19">
        <w:r>
          <w:rPr>
            <w:rFonts w:ascii="Calibri" w:hAnsi="Calibri" w:eastAsia="Microsoft YaHei"/>
            <w:color w:val="2E74B5"/>
            <w:u w:val="single"/>
          </w:rPr>
          <w:t>MaTHE-XJTU 2024 Fusion Engineering and Design论文</w:t>
        </w:r>
      </w:hyperlink>
    </w:p>
    <w:p>
      <w:pPr>
        <w:spacing w:after="80"/>
        <w:numPr>
          <w:ilvl w:val="0"/>
          <w:numId w:val="10"/>
        </w:numPr>
      </w:pPr>
      <w:hyperlink r:id="rId20">
        <w:r>
          <w:rPr>
            <w:rFonts w:ascii="Calibri" w:hAnsi="Calibri" w:eastAsia="Microsoft YaHei"/>
            <w:color w:val="2E74B5"/>
            <w:u w:val="single"/>
          </w:rPr>
          <w:t>西交刘鹏团队：电—热—力多物理场、快速正演与温度场反演</w:t>
        </w:r>
      </w:hyperlink>
    </w:p>
    <w:p>
      <w:pPr>
        <w:spacing w:after="80"/>
        <w:numPr>
          <w:ilvl w:val="0"/>
          <w:numId w:val="10"/>
        </w:numPr>
      </w:pPr>
      <w:hyperlink r:id="rId21">
        <w:r>
          <w:rPr>
            <w:rFonts w:ascii="Calibri" w:hAnsi="Calibri" w:eastAsia="Microsoft YaHei"/>
            <w:color w:val="2E74B5"/>
            <w:u w:val="single"/>
          </w:rPr>
          <w:t>西交周进雄团队：商业CAE、结构/流固与有限元+机器学习</w:t>
        </w:r>
      </w:hyperlink>
    </w:p>
    <w:p>
      <w:pPr>
        <w:spacing w:after="80"/>
        <w:numPr>
          <w:ilvl w:val="0"/>
          <w:numId w:val="10"/>
        </w:numPr>
      </w:pPr>
      <w:hyperlink r:id="rId22">
        <w:r>
          <w:rPr>
            <w:rFonts w:ascii="Calibri" w:hAnsi="Calibri" w:eastAsia="Microsoft YaHei"/>
            <w:color w:val="2E74B5"/>
            <w:u w:val="single"/>
          </w:rPr>
          <w:t>西交陈刚团队：POD/SVM降阶与流固耦合</w:t>
        </w:r>
      </w:hyperlink>
    </w:p>
    <w:p>
      <w:pPr>
        <w:spacing w:after="80"/>
        <w:numPr>
          <w:ilvl w:val="0"/>
          <w:numId w:val="10"/>
        </w:numPr>
      </w:pPr>
      <w:hyperlink r:id="rId23">
        <w:r>
          <w:rPr>
            <w:rFonts w:ascii="Calibri" w:hAnsi="Calibri" w:eastAsia="Microsoft YaHei"/>
            <w:color w:val="2E74B5"/>
            <w:u w:val="single"/>
          </w:rPr>
          <w:t>Ansys Maxwell：低频电磁、力/损耗、多物理与PyAEDT</w:t>
        </w:r>
      </w:hyperlink>
    </w:p>
    <w:p>
      <w:pPr>
        <w:spacing w:after="80"/>
        <w:numPr>
          <w:ilvl w:val="0"/>
          <w:numId w:val="10"/>
        </w:numPr>
      </w:pPr>
      <w:hyperlink r:id="rId24">
        <w:r>
          <w:rPr>
            <w:rFonts w:ascii="Calibri" w:hAnsi="Calibri" w:eastAsia="Microsoft YaHei"/>
            <w:color w:val="2E74B5"/>
            <w:u w:val="single"/>
          </w:rPr>
          <w:t>Ansys Twin Builder：ROM、FMI、部署与数字孪生V&amp;V</w:t>
        </w:r>
      </w:hyperlink>
    </w:p>
    <w:p>
      <w:pPr>
        <w:spacing w:after="80"/>
        <w:numPr>
          <w:ilvl w:val="0"/>
          <w:numId w:val="10"/>
        </w:numPr>
      </w:pPr>
      <w:hyperlink r:id="rId25">
        <w:r>
          <w:rPr>
            <w:rFonts w:ascii="Calibri" w:hAnsi="Calibri" w:eastAsia="Microsoft YaHei"/>
            <w:color w:val="2E74B5"/>
            <w:u w:val="single"/>
          </w:rPr>
          <w:t>COMSOL AC/DC Module：低频电磁、洛伦兹力与磁—热—力耦合</w:t>
        </w:r>
      </w:hyperlink>
    </w:p>
    <w:p>
      <w:pPr>
        <w:spacing w:after="80"/>
        <w:numPr>
          <w:ilvl w:val="0"/>
          <w:numId w:val="10"/>
        </w:numPr>
      </w:pPr>
      <w:hyperlink r:id="rId26">
        <w:r>
          <w:rPr>
            <w:rFonts w:ascii="Calibri" w:hAnsi="Calibri" w:eastAsia="Microsoft YaHei"/>
            <w:color w:val="2E74B5"/>
            <w:u w:val="single"/>
          </w:rPr>
          <w:t>COMSOL API：几何、网格、物理、求解与结果的程序化控制</w:t>
        </w:r>
      </w:hyperlink>
    </w:p>
    <w:p>
      <w:pPr>
        <w:spacing w:after="80"/>
        <w:numPr>
          <w:ilvl w:val="0"/>
          <w:numId w:val="10"/>
        </w:numPr>
      </w:pPr>
      <w:hyperlink r:id="rId27">
        <w:r>
          <w:rPr>
            <w:rFonts w:ascii="Calibri" w:hAnsi="Calibri" w:eastAsia="Microsoft YaHei"/>
            <w:color w:val="2E74B5"/>
            <w:u w:val="single"/>
          </w:rPr>
          <w:t>SIMULIA官方共仿真支持信息</w:t>
        </w:r>
      </w:hyperlink>
    </w:p>
    <w:p>
      <w:pPr>
        <w:spacing w:after="80"/>
        <w:numPr>
          <w:ilvl w:val="0"/>
          <w:numId w:val="10"/>
        </w:numPr>
      </w:pPr>
      <w:hyperlink r:id="rId28">
        <w:r>
          <w:rPr>
            <w:rFonts w:ascii="Calibri" w:hAnsi="Calibri" w:eastAsia="Microsoft YaHei"/>
            <w:color w:val="2E74B5"/>
            <w:u w:val="single"/>
          </w:rPr>
          <w:t>Siemens Simcenter MAGNET：低频电磁、线圈/磁体与温度相关材料</w:t>
        </w:r>
      </w:hyperlink>
    </w:p>
    <w:p>
      <w:pPr>
        <w:pStyle w:val="Heading1"/>
        <w:keepNext/>
      </w:pPr>
      <w:r>
        <w:rPr>
          <w:rFonts w:ascii="Calibri" w:hAnsi="Calibri" w:eastAsia="Microsoft YaHei"/>
          <w:b/>
          <w:color w:val="2E74B5"/>
          <w:sz w:val="32"/>
        </w:rPr>
        <w:t>附录D：数字孪生完成度口径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172A"/>
          <w:sz w:val="22"/>
        </w:rPr>
        <w:t>一期若只完成经验证的高保真模型、数据集和代理服务，但尚未形成持续状态估计、在线数据同化、模型参数更新、异常检测、决策反馈和生命周期治理，严格来说仍是“可信计算资产 + 快速模型服务”，距离完整数字孪生闭环尚有一段路。</w:t>
      </w:r>
    </w:p>
    <w:p>
      <w:pPr>
        <w:keepNext w:val="0"/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122033"/>
          <w:sz w:val="22"/>
        </w:rPr>
        <w:t>这不是降低一期价值，而是把阶段性成果定义得可验收：先让模型可信、接口可用、证据可追溯，再逐步接入在线状态与控制服务。</w:t>
      </w:r>
    </w:p>
    <w:sectPr w:rsidR="00FC693F" w:rsidRPr="0006063C" w:rsidSect="00034616">
      <w:headerReference w:type="default" r:id="rId29"/>
      <w:footerReference w:type="default" r:id="rId3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Calibri" w:hAnsi="Calibri" w:eastAsia="Microsoft YaHei"/>
        <w:color w:val="5B6678"/>
        <w:sz w:val="16"/>
      </w:rPr>
      <w:t xml:space="preserve">交流讨论稿  ·  新奥聚变人工智能团队  ·  </w:t>
    </w:r>
    <w:r>
      <w:rPr>
        <w:rFonts w:ascii="Calibri" w:hAnsi="Calibri" w:eastAsia="Microsoft YaHei"/>
        <w:color w:val="5B6678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/>
    <w:r>
      <w:rPr>
        <w:rFonts w:ascii="Calibri" w:hAnsi="Calibri" w:eastAsia="Microsoft YaHei"/>
        <w:b/>
        <w:color w:val="FF7A1A"/>
        <w:sz w:val="17"/>
      </w:rPr>
      <w:t>Fusion</w:t>
    </w:r>
    <w:r>
      <w:rPr>
        <w:rFonts w:ascii="Calibri" w:hAnsi="Calibri" w:eastAsia="Microsoft YaHei"/>
        <w:b/>
        <w:color w:val="1D6B57"/>
        <w:sz w:val="17"/>
      </w:rPr>
      <w:t>Digital</w:t>
    </w:r>
    <w:r>
      <w:rPr>
        <w:rFonts w:ascii="Calibri" w:hAnsi="Calibri" w:eastAsia="Microsoft YaHei"/>
        <w:color w:val="5B6678"/>
        <w:sz w:val="17"/>
      </w:rPr>
      <w:t xml:space="preserve">   |   工程数字孪生一期联合攻关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 w:eastAsia="Microsoft YaHe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 w:eastAsia="Microsoft YaHei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 w:eastAsia="Microsoft YaHei"/>
      </w:rPr>
    </w:lvl>
  </w:abstractNum>
  <w:num w:numId="12">
    <w:abstractNumId w:val="11"/>
  </w:num>
  <w:abstractNum w:abstractNumId="12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 w:eastAsia="Microsoft YaHei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12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 w:eastAsia="Microsoft YaHei"/>
      <w:b/>
      <w:bCs/>
      <w:i/>
      <w:color w:val="5B6678"/>
      <w:sz w:val="17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yperlink" Target="https://nuclear.xjtu.edu.cn/info/1049/2061.htm" TargetMode="External"/><Relationship Id="rId14" Type="http://schemas.openxmlformats.org/officeDocument/2006/relationships/hyperlink" Target="https://mssv.xjtu.edu.cn/sysjs/sysjj.htm" TargetMode="External"/><Relationship Id="rId15" Type="http://schemas.openxmlformats.org/officeDocument/2006/relationships/hyperlink" Target="https://mssv.xjtu.edu.cn/yqyy/sbzx.htm" TargetMode="External"/><Relationship Id="rId16" Type="http://schemas.openxmlformats.org/officeDocument/2006/relationships/hyperlink" Target="https://nuthel.xjtu.edu.cn/yjsgk/tdjj.htm" TargetMode="External"/><Relationship Id="rId17" Type="http://schemas.openxmlformats.org/officeDocument/2006/relationships/hyperlink" Target="https://nuthel.xjtu.edu.cn/info/1020/1203.htm" TargetMode="External"/><Relationship Id="rId18" Type="http://schemas.openxmlformats.org/officeDocument/2006/relationships/hyperlink" Target="https://faculty.xjtu.edu.cn/zhoujiandong/zh_CN/yjgk/510972/list/index.htm" TargetMode="External"/><Relationship Id="rId19" Type="http://schemas.openxmlformats.org/officeDocument/2006/relationships/hyperlink" Target="https://doi.org/10.1016/j.fusengdes.2024.114654" TargetMode="External"/><Relationship Id="rId20" Type="http://schemas.openxmlformats.org/officeDocument/2006/relationships/hyperlink" Target="https://faculty.xjtu.edu.cn/pengliu/zh_CN/zhym/993120/list/index.htm" TargetMode="External"/><Relationship Id="rId21" Type="http://schemas.openxmlformats.org/officeDocument/2006/relationships/hyperlink" Target="https://faculty.xjtu.edu.cn/jxzhouxx/zh_CN/zhym/991158/list/index.htm" TargetMode="External"/><Relationship Id="rId22" Type="http://schemas.openxmlformats.org/officeDocument/2006/relationships/hyperlink" Target="https://faculty.xjtu.edu.cn/aachengang/zh_CN/zdylm/1007145/list/index.htm" TargetMode="External"/><Relationship Id="rId23" Type="http://schemas.openxmlformats.org/officeDocument/2006/relationships/hyperlink" Target="https://www.ansys.com/en-gb/home/products/electronics/ansys-maxwell" TargetMode="External"/><Relationship Id="rId24" Type="http://schemas.openxmlformats.org/officeDocument/2006/relationships/hyperlink" Target="https://www.ansys.com/en-gb/products/digital-twin/ansys-twin-builder" TargetMode="External"/><Relationship Id="rId25" Type="http://schemas.openxmlformats.org/officeDocument/2006/relationships/hyperlink" Target="https://www.comsol.com/acdc-module" TargetMode="External"/><Relationship Id="rId26" Type="http://schemas.openxmlformats.org/officeDocument/2006/relationships/hyperlink" Target="https://www.comsol.com/support/learning-center/article/overview-of-the-comsol-api-107912" TargetMode="External"/><Relationship Id="rId27" Type="http://schemas.openxmlformats.org/officeDocument/2006/relationships/hyperlink" Target="https://www.3ds.com/support/hardware-and-software/simulia-systems-information/simulia-co-simulation" TargetMode="External"/><Relationship Id="rId28" Type="http://schemas.openxmlformats.org/officeDocument/2006/relationships/hyperlink" Target="https://www.siemens.com/en-us/products/simcenter/electromagnetics-simulation/magnet/" TargetMode="External"/><Relationship Id="rId29" Type="http://schemas.openxmlformats.org/officeDocument/2006/relationships/header" Target="header1.xm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聚变装置工程数字孪生一期联合攻关交流提纲</dc:title>
  <dc:subject>电磁场与电磁力、热管理、实验验证和代理模型</dc:subject>
  <dc:creator>新奥聚变人工智能团队</dc:creator>
  <cp:keywords>FusionDigital, 聚变数字孪生, 电磁场, 电磁力, 热管理, 代理模型, 西安交通大学</cp:keywords>
  <dc:description>交流讨论稿；不含装置保密参数。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