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480" w:after="200"/>
        <w:jc w:val="center"/>
      </w:pPr>
      <w:r>
        <w:rPr>
          <w:rFonts w:ascii="Calibri" w:hAnsi="Calibri" w:eastAsia="Microsoft YaHei"/>
          <w:b/>
          <w:color w:val="008C95"/>
          <w:sz w:val="18"/>
        </w:rPr>
        <w:t>FUSIONDIGITAL / FUSION DIAGNOSTICS ATLAS / 2026</w:t>
      </w:r>
    </w:p>
    <w:p>
      <w:pPr>
        <w:spacing w:after="80"/>
        <w:jc w:val="center"/>
      </w:pPr>
      <w:r>
        <w:rPr>
          <w:rFonts w:ascii="Calibri" w:hAnsi="Calibri" w:eastAsia="Microsoft YaHei"/>
          <w:b/>
          <w:color w:val="0B2545"/>
          <w:sz w:val="60"/>
        </w:rPr>
        <w:t>聚变诊断技术图谱</w:t>
      </w:r>
    </w:p>
    <w:p>
      <w:pPr>
        <w:spacing w:after="160"/>
        <w:jc w:val="center"/>
      </w:pPr>
      <w:r>
        <w:rPr>
          <w:rFonts w:ascii="Calibri" w:hAnsi="Calibri" w:eastAsia="Microsoft YaHei"/>
          <w:b/>
          <w:color w:val="1F4D78"/>
          <w:sz w:val="30"/>
        </w:rPr>
        <w:t>从仪器、标定与反演，到合成诊断、装置应用和数字孪生</w:t>
      </w:r>
    </w:p>
    <w:p>
      <w:pPr>
        <w:spacing w:after="240"/>
        <w:jc w:val="center"/>
      </w:pPr>
      <w:r>
        <w:rPr>
          <w:rFonts w:ascii="Calibri" w:hAnsi="Calibri" w:eastAsia="Microsoft YaHei"/>
          <w:i/>
          <w:color w:val="566573"/>
          <w:sz w:val="21"/>
        </w:rPr>
        <w:t>Fusion Diagnostics, Synthetic Observation, Integrated Inference and Digital-Twin Roadmap</w:t>
      </w:r>
    </w:p>
    <w:tbl>
      <w:tblPr>
        <w:tblStyle w:val="TableGrid"/>
        <w:tblW w:type="dxa" w:w="9360"/>
        <w:jc w:val="left"/>
        <w:tblLayout w:type="fixed"/>
        <w:tblLook w:firstColumn="1" w:firstRow="1" w:lastColumn="0" w:lastRow="0" w:noHBand="0" w:noVBand="1" w:val="04A0"/>
        <w:tblInd w:w="120" w:type="dxa"/>
      </w:tblPr>
      <w:tblGrid>
        <w:gridCol w:w="9360"/>
      </w:tblGrid>
      <w:tr>
        <w:trPr>
          <w:cantSplit/>
        </w:trPr>
        <w:tc>
          <w:tcPr>
            <w:tcW w:type="dxa" w:w="9360"/>
            <w:tcMar>
              <w:top w:w="80" w:type="dxa"/>
              <w:bottom w:w="80" w:type="dxa"/>
              <w:start w:w="120" w:type="dxa"/>
              <w:end w:w="120" w:type="dxa"/>
            </w:tcMar>
            <w:vAlign w:val="center"/>
            <w:shd w:fill="EEF7F7"/>
          </w:tcPr>
          <w:p>
            <w:pPr>
              <w:keepNext/>
              <w:keepLines/>
              <w:spacing w:after="40"/>
            </w:pPr>
            <w:r>
              <w:rPr>
                <w:rFonts w:ascii="Calibri" w:hAnsi="Calibri" w:eastAsia="Microsoft YaHei"/>
                <w:b/>
                <w:color w:val="008C95"/>
                <w:sz w:val="17"/>
              </w:rPr>
              <w:t>DOMAIN BOUNDARY</w:t>
            </w:r>
          </w:p>
          <w:p>
            <w:pPr>
              <w:spacing w:after="0"/>
            </w:pPr>
            <w:r>
              <w:rPr>
                <w:rFonts w:ascii="Calibri" w:hAnsi="Calibri" w:eastAsia="Microsoft YaHei"/>
                <w:color w:val="0B2545"/>
                <w:sz w:val="20"/>
              </w:rPr>
              <w:t>合成诊断与智能方法是聚变诊断的子域和赋能层，不替代真实仪器、计量、反演及设备状态监测。</w:t>
            </w:r>
          </w:p>
        </w:tc>
      </w:tr>
    </w:tbl>
    <w:p>
      <w:pPr>
        <w:spacing w:after="40"/>
      </w:pPr>
    </w:p>
    <w:p>
      <w:pPr>
        <w:keepNext/>
        <w:jc w:val="center"/>
      </w:pPr>
      <w:r>
        <w:drawing>
          <wp:inline xmlns:a="http://schemas.openxmlformats.org/drawingml/2006/main" xmlns:pic="http://schemas.openxmlformats.org/drawingml/2006/picture">
            <wp:extent cx="4754880" cy="2734056"/>
            <wp:docPr id="1" name="Picture 1" descr="图 0-1  聚变诊断的测量—反演—状态—决策链。"/>
            <wp:cNvGraphicFramePr>
              <a:graphicFrameLocks noChangeAspect="1"/>
            </wp:cNvGraphicFramePr>
            <a:graphic>
              <a:graphicData uri="http://schemas.openxmlformats.org/drawingml/2006/picture">
                <pic:pic>
                  <pic:nvPicPr>
                    <pic:cNvPr id="0" name="diagnostics-measurement-chain-nature.png"/>
                    <pic:cNvPicPr/>
                  </pic:nvPicPr>
                  <pic:blipFill>
                    <a:blip r:embed="rId11"/>
                    <a:stretch>
                      <a:fillRect/>
                    </a:stretch>
                  </pic:blipFill>
                  <pic:spPr>
                    <a:xfrm>
                      <a:off x="0" y="0"/>
                      <a:ext cx="4754880" cy="2734056"/>
                    </a:xfrm>
                    <a:prstGeom prst="rect"/>
                  </pic:spPr>
                </pic:pic>
              </a:graphicData>
            </a:graphic>
          </wp:inline>
        </w:drawing>
      </w:r>
    </w:p>
    <w:p>
      <w:pPr>
        <w:pStyle w:val="Caption"/>
        <w:jc w:val="center"/>
      </w:pPr>
      <w:r>
        <w:t>图 0-1  聚变诊断的测量—反演—状态—决策链。</w:t>
      </w:r>
    </w:p>
    <w:tbl>
      <w:tblPr>
        <w:tblW w:type="dxa" w:w="9360"/>
        <w:jc w:val="left"/>
        <w:tblLayout w:type="fixed"/>
        <w:tblLook w:firstColumn="1" w:firstRow="1" w:lastColumn="0" w:lastRow="0" w:noHBand="0" w:noVBand="1" w:val="04A0"/>
        <w:tblInd w:w="120" w:type="dxa"/>
      </w:tblPr>
      <w:tblGrid>
        <w:gridCol w:w="2340"/>
        <w:gridCol w:w="2340"/>
        <w:gridCol w:w="2340"/>
        <w:gridCol w:w="2340"/>
      </w:tblGrid>
      <w:tr>
        <w:tc>
          <w:tcPr>
            <w:tcW w:type="dxa" w:w="2340"/>
            <w:tcMar>
              <w:top w:w="80" w:type="dxa"/>
              <w:bottom w:w="80" w:type="dxa"/>
              <w:start w:w="120" w:type="dxa"/>
              <w:end w:w="120" w:type="dxa"/>
            </w:tcMar>
            <w:vAlign w:val="center"/>
            <w:shd w:fill="0B2545"/>
          </w:tcPr>
          <w:p>
            <w:pPr>
              <w:spacing w:after="20"/>
              <w:jc w:val="center"/>
            </w:pPr>
            <w:r>
              <w:rPr>
                <w:rFonts w:ascii="Calibri" w:hAnsi="Calibri" w:eastAsia="Microsoft YaHei"/>
                <w:b/>
                <w:color w:val="F47C20"/>
                <w:sz w:val="30"/>
              </w:rPr>
              <w:t>97</w:t>
            </w:r>
          </w:p>
          <w:p>
            <w:pPr>
              <w:spacing w:after="0"/>
              <w:jc w:val="center"/>
            </w:pPr>
            <w:r>
              <w:rPr>
                <w:rFonts w:ascii="Calibri" w:hAnsi="Calibri" w:eastAsia="Microsoft YaHei"/>
                <w:color w:val="FFFFFF"/>
                <w:sz w:val="15"/>
              </w:rPr>
              <w:t>项唯一工作</w:t>
            </w:r>
          </w:p>
        </w:tc>
        <w:tc>
          <w:tcPr>
            <w:tcW w:type="dxa" w:w="2340"/>
            <w:tcMar>
              <w:top w:w="80" w:type="dxa"/>
              <w:bottom w:w="80" w:type="dxa"/>
              <w:start w:w="120" w:type="dxa"/>
              <w:end w:w="120" w:type="dxa"/>
            </w:tcMar>
            <w:vAlign w:val="center"/>
            <w:shd w:fill="0B2545"/>
          </w:tcPr>
          <w:p>
            <w:pPr>
              <w:spacing w:after="20"/>
              <w:jc w:val="center"/>
            </w:pPr>
            <w:r>
              <w:rPr>
                <w:rFonts w:ascii="Calibri" w:hAnsi="Calibri" w:eastAsia="Microsoft YaHei"/>
                <w:b/>
                <w:color w:val="008C95"/>
                <w:sz w:val="30"/>
              </w:rPr>
              <w:t>167</w:t>
            </w:r>
          </w:p>
          <w:p>
            <w:pPr>
              <w:spacing w:after="0"/>
              <w:jc w:val="center"/>
            </w:pPr>
            <w:r>
              <w:rPr>
                <w:rFonts w:ascii="Calibri" w:hAnsi="Calibri" w:eastAsia="Microsoft YaHei"/>
                <w:color w:val="FFFFFF"/>
                <w:sz w:val="15"/>
              </w:rPr>
              <w:t>篇一手来源</w:t>
            </w:r>
          </w:p>
        </w:tc>
        <w:tc>
          <w:tcPr>
            <w:tcW w:type="dxa" w:w="2340"/>
            <w:tcMar>
              <w:top w:w="80" w:type="dxa"/>
              <w:bottom w:w="80" w:type="dxa"/>
              <w:start w:w="120" w:type="dxa"/>
              <w:end w:w="120" w:type="dxa"/>
            </w:tcMar>
            <w:vAlign w:val="center"/>
            <w:shd w:fill="0B2545"/>
          </w:tcPr>
          <w:p>
            <w:pPr>
              <w:spacing w:after="20"/>
              <w:jc w:val="center"/>
            </w:pPr>
            <w:r>
              <w:rPr>
                <w:rFonts w:ascii="Calibri" w:hAnsi="Calibri" w:eastAsia="Microsoft YaHei"/>
                <w:b/>
                <w:color w:val="F47C20"/>
                <w:sz w:val="30"/>
              </w:rPr>
              <w:t>18</w:t>
            </w:r>
          </w:p>
          <w:p>
            <w:pPr>
              <w:spacing w:after="0"/>
              <w:jc w:val="center"/>
            </w:pPr>
            <w:r>
              <w:rPr>
                <w:rFonts w:ascii="Calibri" w:hAnsi="Calibri" w:eastAsia="Microsoft YaHei"/>
                <w:color w:val="FFFFFF"/>
                <w:sz w:val="15"/>
              </w:rPr>
              <w:t>个装置档案</w:t>
            </w:r>
          </w:p>
        </w:tc>
        <w:tc>
          <w:tcPr>
            <w:tcW w:type="dxa" w:w="2340"/>
            <w:tcMar>
              <w:top w:w="80" w:type="dxa"/>
              <w:bottom w:w="80" w:type="dxa"/>
              <w:start w:w="120" w:type="dxa"/>
              <w:end w:w="120" w:type="dxa"/>
            </w:tcMar>
            <w:vAlign w:val="center"/>
            <w:shd w:fill="0B2545"/>
          </w:tcPr>
          <w:p>
            <w:pPr>
              <w:spacing w:after="20"/>
              <w:jc w:val="center"/>
            </w:pPr>
            <w:r>
              <w:rPr>
                <w:rFonts w:ascii="Calibri" w:hAnsi="Calibri" w:eastAsia="Microsoft YaHei"/>
                <w:b/>
                <w:color w:val="008C95"/>
                <w:sz w:val="30"/>
              </w:rPr>
              <w:t>DG0-DG11</w:t>
            </w:r>
          </w:p>
          <w:p>
            <w:pPr>
              <w:spacing w:after="0"/>
              <w:jc w:val="center"/>
            </w:pPr>
            <w:r>
              <w:rPr>
                <w:rFonts w:ascii="Calibri" w:hAnsi="Calibri" w:eastAsia="Microsoft YaHei"/>
                <w:color w:val="FFFFFF"/>
                <w:sz w:val="15"/>
              </w:rPr>
              <w:t>十二类诊断任务</w:t>
            </w:r>
          </w:p>
        </w:tc>
      </w:tr>
    </w:tbl>
    <w:p>
      <w:pPr>
        <w:spacing w:before="100" w:after="0"/>
        <w:jc w:val="center"/>
      </w:pPr>
      <w:r>
        <w:rPr>
          <w:rFonts w:ascii="Calibri" w:hAnsi="Calibri" w:eastAsia="Microsoft YaHei"/>
          <w:color w:val="566573"/>
          <w:sz w:val="16"/>
        </w:rPr>
        <w:t>新奥聚变人工智能团队  |  研究截止 2026-08-12  |  版本 1.0  |  tianshao1992@gmail.com</w:t>
      </w:r>
    </w:p>
    <w:p>
      <w:r>
        <w:br w:type="page"/>
      </w:r>
    </w:p>
    <w:p>
      <w:pPr>
        <w:keepNext/>
        <w:spacing w:before="0" w:after="100"/>
      </w:pPr>
      <w:r>
        <w:rPr>
          <w:rFonts w:ascii="Calibri" w:hAnsi="Calibri" w:eastAsia="Microsoft YaHei"/>
          <w:b/>
          <w:caps/>
          <w:color w:val="008C95"/>
          <w:sz w:val="17"/>
        </w:rPr>
        <w:t>CONTENTS / READING MAP</w:t>
      </w:r>
    </w:p>
    <w:p>
      <w:pPr>
        <w:pStyle w:val="Heading1"/>
      </w:pPr>
      <w:r>
        <w:t>目录与阅读路径</w:t>
      </w:r>
    </w:p>
    <w:tbl>
      <w:tblPr>
        <w:tblStyle w:val="TableGrid"/>
        <w:tblW w:type="dxa" w:w="9360"/>
        <w:jc w:val="left"/>
        <w:tblLayout w:type="fixed"/>
        <w:tblLook w:firstColumn="1" w:firstRow="1" w:lastColumn="0" w:lastRow="0" w:noHBand="0" w:noVBand="1" w:val="04A0"/>
        <w:tblInd w:w="120" w:type="dxa"/>
      </w:tblPr>
      <w:tblGrid>
        <w:gridCol w:w="900"/>
        <w:gridCol w:w="8460"/>
      </w:tblGrid>
      <w:tr>
        <w:trPr>
          <w:tblHeader w:val="true"/>
        </w:trPr>
        <w:tc>
          <w:tcPr>
            <w:tcW w:type="dxa" w:w="9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8"/>
              </w:rPr>
              <w:t>章节</w:t>
            </w:r>
          </w:p>
        </w:tc>
        <w:tc>
          <w:tcPr>
            <w:tcW w:type="dxa" w:w="846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8"/>
              </w:rPr>
              <w:t>主题</w:t>
            </w:r>
          </w:p>
        </w:tc>
      </w:tr>
      <w:tr>
        <w:trPr>
          <w:cantSplit/>
        </w:trPr>
        <w:tc>
          <w:tcPr>
            <w:tcW w:type="dxa" w:w="900"/>
          </w:tcPr>
          <w:p>
            <w:pPr>
              <w:keepLines/>
              <w:spacing w:after="0" w:line="276" w:lineRule="auto"/>
            </w:pPr>
            <w:r>
              <w:rPr>
                <w:rFonts w:ascii="Calibri" w:hAnsi="Calibri" w:eastAsia="Microsoft YaHei"/>
                <w:color w:val="0B2545"/>
                <w:sz w:val="18"/>
              </w:rPr>
              <w:t>01</w:t>
            </w:r>
          </w:p>
        </w:tc>
        <w:tc>
          <w:tcPr>
            <w:tcW w:type="dxa" w:w="8460"/>
          </w:tcPr>
          <w:p>
            <w:pPr>
              <w:keepLines/>
              <w:spacing w:after="0" w:line="276" w:lineRule="auto"/>
            </w:pPr>
            <w:r>
              <w:rPr>
                <w:rFonts w:ascii="Calibri" w:hAnsi="Calibri" w:eastAsia="Microsoft YaHei"/>
                <w:color w:val="0B2545"/>
                <w:sz w:val="18"/>
              </w:rPr>
              <w:t>执行摘要：诊断为什么是数字孪生的事实入口</w:t>
            </w:r>
          </w:p>
        </w:tc>
      </w:tr>
      <w:tr>
        <w:trPr>
          <w:cantSplit/>
        </w:trPr>
        <w:tc>
          <w:tcPr>
            <w:tcW w:type="dxa" w:w="900"/>
          </w:tcPr>
          <w:p>
            <w:pPr>
              <w:keepLines/>
              <w:spacing w:after="0" w:line="276" w:lineRule="auto"/>
            </w:pPr>
            <w:r>
              <w:rPr>
                <w:rFonts w:ascii="Calibri" w:hAnsi="Calibri" w:eastAsia="Microsoft YaHei"/>
                <w:color w:val="0B2545"/>
                <w:sz w:val="18"/>
              </w:rPr>
              <w:t>02</w:t>
            </w:r>
          </w:p>
        </w:tc>
        <w:tc>
          <w:tcPr>
            <w:tcW w:type="dxa" w:w="8460"/>
          </w:tcPr>
          <w:p>
            <w:pPr>
              <w:keepLines/>
              <w:spacing w:after="0" w:line="276" w:lineRule="auto"/>
            </w:pPr>
            <w:r>
              <w:rPr>
                <w:rFonts w:ascii="Calibri" w:hAnsi="Calibri" w:eastAsia="Microsoft YaHei"/>
                <w:color w:val="0B2545"/>
                <w:sz w:val="18"/>
              </w:rPr>
              <w:t>科普：从物理量到传感器信号，再从信号回到状态</w:t>
            </w:r>
          </w:p>
        </w:tc>
      </w:tr>
      <w:tr>
        <w:trPr>
          <w:cantSplit/>
        </w:trPr>
        <w:tc>
          <w:tcPr>
            <w:tcW w:type="dxa" w:w="900"/>
          </w:tcPr>
          <w:p>
            <w:pPr>
              <w:keepLines/>
              <w:spacing w:after="0" w:line="276" w:lineRule="auto"/>
            </w:pPr>
            <w:r>
              <w:rPr>
                <w:rFonts w:ascii="Calibri" w:hAnsi="Calibri" w:eastAsia="Microsoft YaHei"/>
                <w:color w:val="0B2545"/>
                <w:sz w:val="18"/>
              </w:rPr>
              <w:t>03</w:t>
            </w:r>
          </w:p>
        </w:tc>
        <w:tc>
          <w:tcPr>
            <w:tcW w:type="dxa" w:w="8460"/>
          </w:tcPr>
          <w:p>
            <w:pPr>
              <w:keepLines/>
              <w:spacing w:after="0" w:line="276" w:lineRule="auto"/>
            </w:pPr>
            <w:r>
              <w:rPr>
                <w:rFonts w:ascii="Calibri" w:hAnsi="Calibri" w:eastAsia="Microsoft YaHei"/>
                <w:color w:val="0B2545"/>
                <w:sz w:val="18"/>
              </w:rPr>
              <w:t>DG0-DG11 分类、技术族和证据/部署口径</w:t>
            </w:r>
          </w:p>
        </w:tc>
      </w:tr>
      <w:tr>
        <w:trPr>
          <w:cantSplit/>
        </w:trPr>
        <w:tc>
          <w:tcPr>
            <w:tcW w:type="dxa" w:w="900"/>
          </w:tcPr>
          <w:p>
            <w:pPr>
              <w:keepLines/>
              <w:spacing w:after="0" w:line="276" w:lineRule="auto"/>
            </w:pPr>
            <w:r>
              <w:rPr>
                <w:rFonts w:ascii="Calibri" w:hAnsi="Calibri" w:eastAsia="Microsoft YaHei"/>
                <w:color w:val="0B2545"/>
                <w:sz w:val="18"/>
              </w:rPr>
              <w:t>04</w:t>
            </w:r>
          </w:p>
        </w:tc>
        <w:tc>
          <w:tcPr>
            <w:tcW w:type="dxa" w:w="8460"/>
          </w:tcPr>
          <w:p>
            <w:pPr>
              <w:keepLines/>
              <w:spacing w:after="0" w:line="276" w:lineRule="auto"/>
            </w:pPr>
            <w:r>
              <w:rPr>
                <w:rFonts w:ascii="Calibri" w:hAnsi="Calibri" w:eastAsia="Microsoft YaHei"/>
                <w:color w:val="0B2545"/>
                <w:sz w:val="18"/>
              </w:rPr>
              <w:t>聚变装置、电厂与全生命周期的诊断需求</w:t>
            </w:r>
          </w:p>
        </w:tc>
      </w:tr>
      <w:tr>
        <w:trPr>
          <w:cantSplit/>
        </w:trPr>
        <w:tc>
          <w:tcPr>
            <w:tcW w:type="dxa" w:w="900"/>
          </w:tcPr>
          <w:p>
            <w:pPr>
              <w:keepLines/>
              <w:spacing w:after="0" w:line="276" w:lineRule="auto"/>
            </w:pPr>
            <w:r>
              <w:rPr>
                <w:rFonts w:ascii="Calibri" w:hAnsi="Calibri" w:eastAsia="Microsoft YaHei"/>
                <w:color w:val="0B2545"/>
                <w:sz w:val="18"/>
              </w:rPr>
              <w:t>05</w:t>
            </w:r>
          </w:p>
        </w:tc>
        <w:tc>
          <w:tcPr>
            <w:tcW w:type="dxa" w:w="8460"/>
          </w:tcPr>
          <w:p>
            <w:pPr>
              <w:keepLines/>
              <w:spacing w:after="0" w:line="276" w:lineRule="auto"/>
            </w:pPr>
            <w:r>
              <w:rPr>
                <w:rFonts w:ascii="Calibri" w:hAnsi="Calibri" w:eastAsia="Microsoft YaHei"/>
                <w:color w:val="0B2545"/>
                <w:sz w:val="18"/>
              </w:rPr>
              <w:t>DG0  诊断系统工程、计量与健康</w:t>
            </w:r>
          </w:p>
        </w:tc>
      </w:tr>
      <w:tr>
        <w:trPr>
          <w:cantSplit/>
        </w:trPr>
        <w:tc>
          <w:tcPr>
            <w:tcW w:type="dxa" w:w="900"/>
          </w:tcPr>
          <w:p>
            <w:pPr>
              <w:keepLines/>
              <w:spacing w:after="0" w:line="276" w:lineRule="auto"/>
            </w:pPr>
            <w:r>
              <w:rPr>
                <w:rFonts w:ascii="Calibri" w:hAnsi="Calibri" w:eastAsia="Microsoft YaHei"/>
                <w:color w:val="0B2545"/>
                <w:sz w:val="18"/>
              </w:rPr>
              <w:t>06</w:t>
            </w:r>
          </w:p>
        </w:tc>
        <w:tc>
          <w:tcPr>
            <w:tcW w:type="dxa" w:w="8460"/>
          </w:tcPr>
          <w:p>
            <w:pPr>
              <w:keepLines/>
              <w:spacing w:after="0" w:line="276" w:lineRule="auto"/>
            </w:pPr>
            <w:r>
              <w:rPr>
                <w:rFonts w:ascii="Calibri" w:hAnsi="Calibri" w:eastAsia="Microsoft YaHei"/>
                <w:color w:val="0B2545"/>
                <w:sz w:val="18"/>
              </w:rPr>
              <w:t>DG1  磁平衡、电流与位形</w:t>
            </w:r>
          </w:p>
        </w:tc>
      </w:tr>
      <w:tr>
        <w:trPr>
          <w:cantSplit/>
        </w:trPr>
        <w:tc>
          <w:tcPr>
            <w:tcW w:type="dxa" w:w="900"/>
          </w:tcPr>
          <w:p>
            <w:pPr>
              <w:keepLines/>
              <w:spacing w:after="0" w:line="276" w:lineRule="auto"/>
            </w:pPr>
            <w:r>
              <w:rPr>
                <w:rFonts w:ascii="Calibri" w:hAnsi="Calibri" w:eastAsia="Microsoft YaHei"/>
                <w:color w:val="0B2545"/>
                <w:sz w:val="18"/>
              </w:rPr>
              <w:t>07</w:t>
            </w:r>
          </w:p>
        </w:tc>
        <w:tc>
          <w:tcPr>
            <w:tcW w:type="dxa" w:w="8460"/>
          </w:tcPr>
          <w:p>
            <w:pPr>
              <w:keepLines/>
              <w:spacing w:after="0" w:line="276" w:lineRule="auto"/>
            </w:pPr>
            <w:r>
              <w:rPr>
                <w:rFonts w:ascii="Calibri" w:hAnsi="Calibri" w:eastAsia="Microsoft YaHei"/>
                <w:color w:val="0B2545"/>
                <w:sz w:val="18"/>
              </w:rPr>
              <w:t>DG2  电子密度与电子温度</w:t>
            </w:r>
          </w:p>
        </w:tc>
      </w:tr>
      <w:tr>
        <w:trPr>
          <w:cantSplit/>
        </w:trPr>
        <w:tc>
          <w:tcPr>
            <w:tcW w:type="dxa" w:w="900"/>
          </w:tcPr>
          <w:p>
            <w:pPr>
              <w:keepLines/>
              <w:spacing w:after="0" w:line="276" w:lineRule="auto"/>
            </w:pPr>
            <w:r>
              <w:rPr>
                <w:rFonts w:ascii="Calibri" w:hAnsi="Calibri" w:eastAsia="Microsoft YaHei"/>
                <w:color w:val="0B2545"/>
                <w:sz w:val="18"/>
              </w:rPr>
              <w:t>08</w:t>
            </w:r>
          </w:p>
        </w:tc>
        <w:tc>
          <w:tcPr>
            <w:tcW w:type="dxa" w:w="8460"/>
          </w:tcPr>
          <w:p>
            <w:pPr>
              <w:keepLines/>
              <w:spacing w:after="0" w:line="276" w:lineRule="auto"/>
            </w:pPr>
            <w:r>
              <w:rPr>
                <w:rFonts w:ascii="Calibri" w:hAnsi="Calibri" w:eastAsia="Microsoft YaHei"/>
                <w:color w:val="0B2545"/>
                <w:sz w:val="18"/>
              </w:rPr>
              <w:t>DG3  离子状态、流动、组分与中性粒子</w:t>
            </w:r>
          </w:p>
        </w:tc>
      </w:tr>
      <w:tr>
        <w:trPr>
          <w:cantSplit/>
        </w:trPr>
        <w:tc>
          <w:tcPr>
            <w:tcW w:type="dxa" w:w="900"/>
          </w:tcPr>
          <w:p>
            <w:pPr>
              <w:keepLines/>
              <w:spacing w:after="0" w:line="276" w:lineRule="auto"/>
            </w:pPr>
            <w:r>
              <w:rPr>
                <w:rFonts w:ascii="Calibri" w:hAnsi="Calibri" w:eastAsia="Microsoft YaHei"/>
                <w:color w:val="0B2545"/>
                <w:sz w:val="18"/>
              </w:rPr>
              <w:t>09</w:t>
            </w:r>
          </w:p>
        </w:tc>
        <w:tc>
          <w:tcPr>
            <w:tcW w:type="dxa" w:w="8460"/>
          </w:tcPr>
          <w:p>
            <w:pPr>
              <w:keepLines/>
              <w:spacing w:after="0" w:line="276" w:lineRule="auto"/>
            </w:pPr>
            <w:r>
              <w:rPr>
                <w:rFonts w:ascii="Calibri" w:hAnsi="Calibri" w:eastAsia="Microsoft YaHei"/>
                <w:color w:val="0B2545"/>
                <w:sz w:val="18"/>
              </w:rPr>
              <w:t>DG4  辐射、杂质与功率损失</w:t>
            </w:r>
          </w:p>
        </w:tc>
      </w:tr>
      <w:tr>
        <w:trPr>
          <w:cantSplit/>
        </w:trPr>
        <w:tc>
          <w:tcPr>
            <w:tcW w:type="dxa" w:w="900"/>
          </w:tcPr>
          <w:p>
            <w:pPr>
              <w:keepLines/>
              <w:spacing w:after="0" w:line="276" w:lineRule="auto"/>
            </w:pPr>
            <w:r>
              <w:rPr>
                <w:rFonts w:ascii="Calibri" w:hAnsi="Calibri" w:eastAsia="Microsoft YaHei"/>
                <w:color w:val="0B2545"/>
                <w:sz w:val="18"/>
              </w:rPr>
              <w:t>10</w:t>
            </w:r>
          </w:p>
        </w:tc>
        <w:tc>
          <w:tcPr>
            <w:tcW w:type="dxa" w:w="8460"/>
          </w:tcPr>
          <w:p>
            <w:pPr>
              <w:keepLines/>
              <w:spacing w:after="0" w:line="276" w:lineRule="auto"/>
            </w:pPr>
            <w:r>
              <w:rPr>
                <w:rFonts w:ascii="Calibri" w:hAnsi="Calibri" w:eastAsia="Microsoft YaHei"/>
                <w:color w:val="0B2545"/>
                <w:sz w:val="18"/>
              </w:rPr>
              <w:t>DG5  聚变产物、中子、伽马与高能粒子</w:t>
            </w:r>
          </w:p>
        </w:tc>
      </w:tr>
      <w:tr>
        <w:trPr>
          <w:cantSplit/>
        </w:trPr>
        <w:tc>
          <w:tcPr>
            <w:tcW w:type="dxa" w:w="900"/>
          </w:tcPr>
          <w:p>
            <w:pPr>
              <w:keepLines/>
              <w:spacing w:after="0" w:line="276" w:lineRule="auto"/>
            </w:pPr>
            <w:r>
              <w:rPr>
                <w:rFonts w:ascii="Calibri" w:hAnsi="Calibri" w:eastAsia="Microsoft YaHei"/>
                <w:color w:val="0B2545"/>
                <w:sz w:val="18"/>
              </w:rPr>
              <w:t>11</w:t>
            </w:r>
          </w:p>
        </w:tc>
        <w:tc>
          <w:tcPr>
            <w:tcW w:type="dxa" w:w="8460"/>
          </w:tcPr>
          <w:p>
            <w:pPr>
              <w:keepLines/>
              <w:spacing w:after="0" w:line="276" w:lineRule="auto"/>
            </w:pPr>
            <w:r>
              <w:rPr>
                <w:rFonts w:ascii="Calibri" w:hAnsi="Calibri" w:eastAsia="Microsoft YaHei"/>
                <w:color w:val="0B2545"/>
                <w:sz w:val="18"/>
              </w:rPr>
              <w:t>DG6  MHD、波动与湍流</w:t>
            </w:r>
          </w:p>
        </w:tc>
      </w:tr>
      <w:tr>
        <w:trPr>
          <w:cantSplit/>
        </w:trPr>
        <w:tc>
          <w:tcPr>
            <w:tcW w:type="dxa" w:w="900"/>
          </w:tcPr>
          <w:p>
            <w:pPr>
              <w:keepLines/>
              <w:spacing w:after="0" w:line="276" w:lineRule="auto"/>
            </w:pPr>
            <w:r>
              <w:rPr>
                <w:rFonts w:ascii="Calibri" w:hAnsi="Calibri" w:eastAsia="Microsoft YaHei"/>
                <w:color w:val="0B2545"/>
                <w:sz w:val="18"/>
              </w:rPr>
              <w:t>12</w:t>
            </w:r>
          </w:p>
        </w:tc>
        <w:tc>
          <w:tcPr>
            <w:tcW w:type="dxa" w:w="8460"/>
          </w:tcPr>
          <w:p>
            <w:pPr>
              <w:keepLines/>
              <w:spacing w:after="0" w:line="276" w:lineRule="auto"/>
            </w:pPr>
            <w:r>
              <w:rPr>
                <w:rFonts w:ascii="Calibri" w:hAnsi="Calibri" w:eastAsia="Microsoft YaHei"/>
                <w:color w:val="0B2545"/>
                <w:sz w:val="18"/>
              </w:rPr>
              <w:t>DG7  边界、SOL、偏滤器与等离子体面对部件</w:t>
            </w:r>
          </w:p>
        </w:tc>
      </w:tr>
      <w:tr>
        <w:trPr>
          <w:cantSplit/>
        </w:trPr>
        <w:tc>
          <w:tcPr>
            <w:tcW w:type="dxa" w:w="900"/>
          </w:tcPr>
          <w:p>
            <w:pPr>
              <w:keepLines/>
              <w:spacing w:after="0" w:line="276" w:lineRule="auto"/>
            </w:pPr>
            <w:r>
              <w:rPr>
                <w:rFonts w:ascii="Calibri" w:hAnsi="Calibri" w:eastAsia="Microsoft YaHei"/>
                <w:color w:val="0B2545"/>
                <w:sz w:val="18"/>
              </w:rPr>
              <w:t>13</w:t>
            </w:r>
          </w:p>
        </w:tc>
        <w:tc>
          <w:tcPr>
            <w:tcW w:type="dxa" w:w="8460"/>
          </w:tcPr>
          <w:p>
            <w:pPr>
              <w:keepLines/>
              <w:spacing w:after="0" w:line="276" w:lineRule="auto"/>
            </w:pPr>
            <w:r>
              <w:rPr>
                <w:rFonts w:ascii="Calibri" w:hAnsi="Calibri" w:eastAsia="Microsoft YaHei"/>
                <w:color w:val="0B2545"/>
                <w:sz w:val="18"/>
              </w:rPr>
              <w:t>DG8  工程设备与电厂状态监测</w:t>
            </w:r>
          </w:p>
        </w:tc>
      </w:tr>
      <w:tr>
        <w:trPr>
          <w:cantSplit/>
        </w:trPr>
        <w:tc>
          <w:tcPr>
            <w:tcW w:type="dxa" w:w="900"/>
          </w:tcPr>
          <w:p>
            <w:pPr>
              <w:keepLines/>
              <w:spacing w:after="0" w:line="276" w:lineRule="auto"/>
            </w:pPr>
            <w:r>
              <w:rPr>
                <w:rFonts w:ascii="Calibri" w:hAnsi="Calibri" w:eastAsia="Microsoft YaHei"/>
                <w:color w:val="0B2545"/>
                <w:sz w:val="18"/>
              </w:rPr>
              <w:t>14</w:t>
            </w:r>
          </w:p>
        </w:tc>
        <w:tc>
          <w:tcPr>
            <w:tcW w:type="dxa" w:w="8460"/>
          </w:tcPr>
          <w:p>
            <w:pPr>
              <w:keepLines/>
              <w:spacing w:after="0" w:line="276" w:lineRule="auto"/>
            </w:pPr>
            <w:r>
              <w:rPr>
                <w:rFonts w:ascii="Calibri" w:hAnsi="Calibri" w:eastAsia="Microsoft YaHei"/>
                <w:color w:val="0B2545"/>
                <w:sz w:val="18"/>
              </w:rPr>
              <w:t>DG9  合成诊断与仪器前向模型</w:t>
            </w:r>
          </w:p>
        </w:tc>
      </w:tr>
      <w:tr>
        <w:trPr>
          <w:cantSplit/>
        </w:trPr>
        <w:tc>
          <w:tcPr>
            <w:tcW w:type="dxa" w:w="900"/>
          </w:tcPr>
          <w:p>
            <w:pPr>
              <w:keepLines/>
              <w:spacing w:after="0" w:line="276" w:lineRule="auto"/>
            </w:pPr>
            <w:r>
              <w:rPr>
                <w:rFonts w:ascii="Calibri" w:hAnsi="Calibri" w:eastAsia="Microsoft YaHei"/>
                <w:color w:val="0B2545"/>
                <w:sz w:val="18"/>
              </w:rPr>
              <w:t>15</w:t>
            </w:r>
          </w:p>
        </w:tc>
        <w:tc>
          <w:tcPr>
            <w:tcW w:type="dxa" w:w="8460"/>
          </w:tcPr>
          <w:p>
            <w:pPr>
              <w:keepLines/>
              <w:spacing w:after="0" w:line="276" w:lineRule="auto"/>
            </w:pPr>
            <w:r>
              <w:rPr>
                <w:rFonts w:ascii="Calibri" w:hAnsi="Calibri" w:eastAsia="Microsoft YaHei"/>
                <w:color w:val="0B2545"/>
                <w:sz w:val="18"/>
              </w:rPr>
              <w:t>DG10  集成反演、层析与数据同化</w:t>
            </w:r>
          </w:p>
        </w:tc>
      </w:tr>
      <w:tr>
        <w:trPr>
          <w:cantSplit/>
        </w:trPr>
        <w:tc>
          <w:tcPr>
            <w:tcW w:type="dxa" w:w="900"/>
          </w:tcPr>
          <w:p>
            <w:pPr>
              <w:keepLines/>
              <w:spacing w:after="0" w:line="276" w:lineRule="auto"/>
            </w:pPr>
            <w:r>
              <w:rPr>
                <w:rFonts w:ascii="Calibri" w:hAnsi="Calibri" w:eastAsia="Microsoft YaHei"/>
                <w:color w:val="0B2545"/>
                <w:sz w:val="18"/>
              </w:rPr>
              <w:t>16</w:t>
            </w:r>
          </w:p>
        </w:tc>
        <w:tc>
          <w:tcPr>
            <w:tcW w:type="dxa" w:w="8460"/>
          </w:tcPr>
          <w:p>
            <w:pPr>
              <w:keepLines/>
              <w:spacing w:after="0" w:line="276" w:lineRule="auto"/>
            </w:pPr>
            <w:r>
              <w:rPr>
                <w:rFonts w:ascii="Calibri" w:hAnsi="Calibri" w:eastAsia="Microsoft YaHei"/>
                <w:color w:val="0B2545"/>
                <w:sz w:val="18"/>
              </w:rPr>
              <w:t>DG11  实时诊断、AI 与决策接口</w:t>
            </w:r>
          </w:p>
        </w:tc>
      </w:tr>
      <w:tr>
        <w:trPr>
          <w:cantSplit/>
        </w:trPr>
        <w:tc>
          <w:tcPr>
            <w:tcW w:type="dxa" w:w="900"/>
          </w:tcPr>
          <w:p>
            <w:pPr>
              <w:keepLines/>
              <w:spacing w:after="0" w:line="276" w:lineRule="auto"/>
            </w:pPr>
            <w:r>
              <w:rPr>
                <w:rFonts w:ascii="Calibri" w:hAnsi="Calibri" w:eastAsia="Microsoft YaHei"/>
                <w:color w:val="0B2545"/>
                <w:sz w:val="18"/>
              </w:rPr>
              <w:t>16A</w:t>
            </w:r>
          </w:p>
        </w:tc>
        <w:tc>
          <w:tcPr>
            <w:tcW w:type="dxa" w:w="8460"/>
          </w:tcPr>
          <w:p>
            <w:pPr>
              <w:keepLines/>
              <w:spacing w:after="0" w:line="276" w:lineRule="auto"/>
            </w:pPr>
            <w:r>
              <w:rPr>
                <w:rFonts w:ascii="Calibri" w:hAnsi="Calibri" w:eastAsia="Microsoft YaHei"/>
                <w:color w:val="0B2545"/>
                <w:sz w:val="18"/>
              </w:rPr>
              <w:t>跨类别综合判断：诊断原理、合成观测、VVUQ 与工程状态闭环</w:t>
            </w:r>
          </w:p>
        </w:tc>
      </w:tr>
      <w:tr>
        <w:trPr>
          <w:cantSplit/>
        </w:trPr>
        <w:tc>
          <w:tcPr>
            <w:tcW w:type="dxa" w:w="900"/>
          </w:tcPr>
          <w:p>
            <w:pPr>
              <w:keepLines/>
              <w:spacing w:after="0" w:line="276" w:lineRule="auto"/>
            </w:pPr>
            <w:r>
              <w:rPr>
                <w:rFonts w:ascii="Calibri" w:hAnsi="Calibri" w:eastAsia="Microsoft YaHei"/>
                <w:color w:val="0B2545"/>
                <w:sz w:val="18"/>
              </w:rPr>
              <w:t>17</w:t>
            </w:r>
          </w:p>
        </w:tc>
        <w:tc>
          <w:tcPr>
            <w:tcW w:type="dxa" w:w="8460"/>
          </w:tcPr>
          <w:p>
            <w:pPr>
              <w:keepLines/>
              <w:spacing w:after="0" w:line="276" w:lineRule="auto"/>
            </w:pPr>
            <w:r>
              <w:rPr>
                <w:rFonts w:ascii="Calibri" w:hAnsi="Calibri" w:eastAsia="Microsoft YaHei"/>
                <w:color w:val="0B2545"/>
                <w:sz w:val="18"/>
              </w:rPr>
              <w:t>按装置反查诊断系统、代表工作、论文与代码</w:t>
            </w:r>
          </w:p>
        </w:tc>
      </w:tr>
      <w:tr>
        <w:trPr>
          <w:cantSplit/>
        </w:trPr>
        <w:tc>
          <w:tcPr>
            <w:tcW w:type="dxa" w:w="900"/>
          </w:tcPr>
          <w:p>
            <w:pPr>
              <w:keepLines/>
              <w:spacing w:after="0" w:line="276" w:lineRule="auto"/>
            </w:pPr>
            <w:r>
              <w:rPr>
                <w:rFonts w:ascii="Calibri" w:hAnsi="Calibri" w:eastAsia="Microsoft YaHei"/>
                <w:color w:val="0B2545"/>
                <w:sz w:val="18"/>
              </w:rPr>
              <w:t>18</w:t>
            </w:r>
          </w:p>
        </w:tc>
        <w:tc>
          <w:tcPr>
            <w:tcW w:type="dxa" w:w="8460"/>
          </w:tcPr>
          <w:p>
            <w:pPr>
              <w:keepLines/>
              <w:spacing w:after="0" w:line="276" w:lineRule="auto"/>
            </w:pPr>
            <w:r>
              <w:rPr>
                <w:rFonts w:ascii="Calibri" w:hAnsi="Calibri" w:eastAsia="Microsoft YaHei"/>
                <w:color w:val="0B2545"/>
                <w:sz w:val="18"/>
              </w:rPr>
              <w:t>从集成诊断到数字孪生仍缺什么</w:t>
            </w:r>
          </w:p>
        </w:tc>
      </w:tr>
      <w:tr>
        <w:trPr>
          <w:cantSplit/>
        </w:trPr>
        <w:tc>
          <w:tcPr>
            <w:tcW w:type="dxa" w:w="900"/>
          </w:tcPr>
          <w:p>
            <w:pPr>
              <w:keepLines/>
              <w:spacing w:after="0" w:line="276" w:lineRule="auto"/>
            </w:pPr>
            <w:r>
              <w:rPr>
                <w:rFonts w:ascii="Calibri" w:hAnsi="Calibri" w:eastAsia="Microsoft YaHei"/>
                <w:color w:val="0B2545"/>
                <w:sz w:val="18"/>
              </w:rPr>
              <w:t>19</w:t>
            </w:r>
          </w:p>
        </w:tc>
        <w:tc>
          <w:tcPr>
            <w:tcW w:type="dxa" w:w="8460"/>
          </w:tcPr>
          <w:p>
            <w:pPr>
              <w:keepLines/>
              <w:spacing w:after="0" w:line="276" w:lineRule="auto"/>
            </w:pPr>
            <w:r>
              <w:rPr>
                <w:rFonts w:ascii="Calibri" w:hAnsi="Calibri" w:eastAsia="Microsoft YaHei"/>
                <w:color w:val="0B2545"/>
                <w:sz w:val="18"/>
              </w:rPr>
              <w:t>FusionDigital 分阶段路线与联合攻关建议</w:t>
            </w:r>
          </w:p>
        </w:tc>
      </w:tr>
      <w:tr>
        <w:trPr>
          <w:cantSplit/>
        </w:trPr>
        <w:tc>
          <w:tcPr>
            <w:tcW w:type="dxa" w:w="900"/>
          </w:tcPr>
          <w:p>
            <w:pPr>
              <w:keepLines/>
              <w:spacing w:after="0" w:line="276" w:lineRule="auto"/>
            </w:pPr>
            <w:r>
              <w:rPr>
                <w:rFonts w:ascii="Calibri" w:hAnsi="Calibri" w:eastAsia="Microsoft YaHei"/>
                <w:color w:val="0B2545"/>
                <w:sz w:val="18"/>
              </w:rPr>
              <w:t>20</w:t>
            </w:r>
          </w:p>
        </w:tc>
        <w:tc>
          <w:tcPr>
            <w:tcW w:type="dxa" w:w="8460"/>
          </w:tcPr>
          <w:p>
            <w:pPr>
              <w:keepLines/>
              <w:spacing w:after="0" w:line="276" w:lineRule="auto"/>
            </w:pPr>
            <w:r>
              <w:rPr>
                <w:rFonts w:ascii="Calibri" w:hAnsi="Calibri" w:eastAsia="Microsoft YaHei"/>
                <w:color w:val="0B2545"/>
                <w:sz w:val="18"/>
              </w:rPr>
              <w:t>论文、代码和数据索引</w:t>
            </w:r>
          </w:p>
        </w:tc>
      </w:tr>
    </w:tbl>
    <w:p>
      <w:pPr>
        <w:spacing w:before="0" w:after="60"/>
      </w:pPr>
    </w:p>
    <w:tbl>
      <w:tblPr>
        <w:tblStyle w:val="TableGrid"/>
        <w:tblW w:type="dxa" w:w="9360"/>
        <w:jc w:val="left"/>
        <w:tblLayout w:type="fixed"/>
        <w:tblLook w:firstColumn="1" w:firstRow="1" w:lastColumn="0" w:lastRow="0" w:noHBand="0" w:noVBand="1" w:val="04A0"/>
        <w:tblInd w:w="120" w:type="dxa"/>
      </w:tblPr>
      <w:tblGrid>
        <w:gridCol w:w="9360"/>
      </w:tblGrid>
      <w:tr>
        <w:trPr>
          <w:cantSplit/>
        </w:trPr>
        <w:tc>
          <w:tcPr>
            <w:tcW w:type="dxa" w:w="9360"/>
            <w:tcMar>
              <w:top w:w="80" w:type="dxa"/>
              <w:bottom w:w="80" w:type="dxa"/>
              <w:start w:w="120" w:type="dxa"/>
              <w:end w:w="120" w:type="dxa"/>
            </w:tcMar>
            <w:vAlign w:val="center"/>
            <w:shd w:fill="F4F6F9"/>
          </w:tcPr>
          <w:p>
            <w:pPr>
              <w:keepNext/>
              <w:keepLines/>
              <w:spacing w:after="40"/>
            </w:pPr>
            <w:r>
              <w:rPr>
                <w:rFonts w:ascii="Calibri" w:hAnsi="Calibri" w:eastAsia="Microsoft YaHei"/>
                <w:b/>
                <w:color w:val="008C95"/>
                <w:sz w:val="17"/>
              </w:rPr>
              <w:t>推荐路径</w:t>
            </w:r>
          </w:p>
          <w:p>
            <w:pPr>
              <w:spacing w:after="0"/>
            </w:pPr>
            <w:r>
              <w:rPr>
                <w:rFonts w:ascii="Calibri" w:hAnsi="Calibri" w:eastAsia="Microsoft YaHei"/>
                <w:color w:val="0B2545"/>
                <w:sz w:val="20"/>
              </w:rPr>
              <w:t>管理者先阅读第 1、4、18、19 章；诊断专家按 DG 分类进入条目；装置合作从第 17 章反查；软件团队重点阅读 DG9-DG11 与附录代码关系。</w:t>
            </w:r>
          </w:p>
        </w:tc>
      </w:tr>
    </w:tbl>
    <w:p>
      <w:pPr>
        <w:spacing w:after="40"/>
      </w:pPr>
    </w:p>
    <w:p>
      <w:r>
        <w:br w:type="page"/>
      </w:r>
    </w:p>
    <w:p>
      <w:pPr>
        <w:keepNext/>
        <w:spacing w:before="0" w:after="100"/>
      </w:pPr>
      <w:r>
        <w:rPr>
          <w:rFonts w:ascii="Calibri" w:hAnsi="Calibri" w:eastAsia="Microsoft YaHei"/>
          <w:b/>
          <w:caps/>
          <w:color w:val="008C95"/>
          <w:sz w:val="17"/>
        </w:rPr>
        <w:t>01 / EXECUTIVE SUMMARY</w:t>
      </w:r>
    </w:p>
    <w:p>
      <w:pPr>
        <w:pStyle w:val="Heading1"/>
      </w:pPr>
      <w:r>
        <w:t>诊断是聚变数字孪生的事实入口，也是最容易被低估的系统工程</w:t>
      </w:r>
    </w:p>
    <w:tbl>
      <w:tblPr>
        <w:tblStyle w:val="TableGrid"/>
        <w:tblW w:type="dxa" w:w="9360"/>
        <w:jc w:val="left"/>
        <w:tblLayout w:type="fixed"/>
        <w:tblLook w:firstColumn="1" w:firstRow="1" w:lastColumn="0" w:lastRow="0" w:noHBand="0" w:noVBand="1" w:val="04A0"/>
        <w:tblInd w:w="120" w:type="dxa"/>
      </w:tblPr>
      <w:tblGrid>
        <w:gridCol w:w="9360"/>
      </w:tblGrid>
      <w:tr>
        <w:trPr>
          <w:cantSplit/>
        </w:trPr>
        <w:tc>
          <w:tcPr>
            <w:tcW w:type="dxa" w:w="9360"/>
            <w:tcMar>
              <w:top w:w="80" w:type="dxa"/>
              <w:bottom w:w="80" w:type="dxa"/>
              <w:start w:w="120" w:type="dxa"/>
              <w:end w:w="120" w:type="dxa"/>
            </w:tcMar>
            <w:vAlign w:val="center"/>
            <w:shd w:fill="FFF2E7"/>
          </w:tcPr>
          <w:p>
            <w:pPr>
              <w:keepNext/>
              <w:keepLines/>
              <w:spacing w:after="40"/>
            </w:pPr>
            <w:r>
              <w:rPr>
                <w:rFonts w:ascii="Calibri" w:hAnsi="Calibri" w:eastAsia="Microsoft YaHei"/>
                <w:b/>
                <w:color w:val="F47C20"/>
                <w:sz w:val="17"/>
              </w:rPr>
              <w:t>核心判断</w:t>
            </w:r>
          </w:p>
          <w:p>
            <w:pPr>
              <w:spacing w:after="0"/>
            </w:pPr>
            <w:r>
              <w:rPr>
                <w:rFonts w:ascii="Calibri" w:hAnsi="Calibri" w:eastAsia="Microsoft YaHei"/>
                <w:color w:val="0B2545"/>
                <w:sz w:val="20"/>
              </w:rPr>
              <w:t>数字孪生不是把所有传感器接入数据库，而是让每个状态都能回到仪器、标定、几何、算法、不确定度、配置与装置证据；合成诊断是桥梁，AI 是加速器，独立保护和安全系统保留最终权威。</w:t>
            </w:r>
          </w:p>
        </w:tc>
      </w:tr>
    </w:tbl>
    <w:p>
      <w:pPr>
        <w:spacing w:after="40"/>
      </w:pPr>
    </w:p>
    <w:p>
      <w:pPr>
        <w:pStyle w:val="Heading2"/>
      </w:pPr>
      <w:r>
        <w:t>为什么一级知识域应叫“聚变诊断”</w:t>
      </w:r>
    </w:p>
    <w:p>
      <w:pPr>
        <w:widowControl/>
      </w:pPr>
      <w:r>
        <w:rPr>
          <w:rFonts w:ascii="Calibri" w:hAnsi="Calibri" w:eastAsia="Microsoft YaHei"/>
        </w:rPr>
        <w:t>“聚变诊断”回答的是：怎样从聚变装置和电厂中获得足以支持科学解释、控制、保护、运维与寿命管理的可信信息。它既包括直接感知磁场、光子、微波、中子、带电粒子、温度、力和位移的真实仪器，也包括把原始电压、计数、光谱和图像转化为密度、温度、平衡、辐射功率、热流和部件健康状态的标定、反演与不确定度分析。</w:t>
      </w:r>
    </w:p>
    <w:p>
      <w:pPr>
        <w:widowControl/>
      </w:pPr>
      <w:r>
        <w:rPr>
          <w:rFonts w:ascii="Calibri" w:hAnsi="Calibri" w:eastAsia="Microsoft YaHei"/>
        </w:rPr>
        <w:t>“合成诊断”只覆盖其中一段：从给定物理/工程状态出发，通过诊断几何、原子过程、仪器响应、噪声和采样模型，预测仪器将看到什么。它是联结模拟与实验、设计与标定、真值与观测的重要桥梁，却不能替代真实传感器、计量链和长期漂移管理。因此一级域使用“聚变诊断”，DG9 专门保留“合成诊断与仪器前向模型”。</w:t>
      </w:r>
    </w:p>
    <w:p>
      <w:pPr>
        <w:widowControl/>
      </w:pPr>
      <w:r>
        <w:rPr>
          <w:rFonts w:ascii="Calibri" w:hAnsi="Calibri" w:eastAsia="Microsoft YaHei"/>
        </w:rPr>
        <w:t>“智能诊断”同样不适合作为总称。机器学习可以用于去噪、特征提取、代理反演、异常检测、漂移监测和多模态融合，但诊断的可信度最终仍取决于可追溯标定、观测几何、物理适用域、独立交叉验证和失效降级。AI 是 DG11 的重要实现手段，也是“智能原生”知识域对诊断的横向赋能，而不是把诊断责任压缩为一个分类器。</w:t>
      </w:r>
    </w:p>
    <w:p>
      <w:pPr>
        <w:pStyle w:val="Heading2"/>
      </w:pPr>
      <w:r>
        <w:t>面向初学者：诊断不是“拍一张等离子体照片”</w:t>
      </w:r>
    </w:p>
    <w:p>
      <w:pPr>
        <w:widowControl/>
      </w:pPr>
      <w:r>
        <w:rPr>
          <w:rFonts w:ascii="Calibri" w:hAnsi="Calibri" w:eastAsia="Microsoft YaHei"/>
        </w:rPr>
        <w:t>聚变等离子体的核心温度可达上亿度，不能把普通温度计或压力计直接放进去。很多关键物理量也不是传感器直接读出的。例如磁探针测的是局部磁场变化，平衡重建再结合线圈电流、真空室涡流和约束模型估计等离子体边界；干涉仪测的是沿视线积分的相位变化，反演后得到线积分密度或密度剖面；Thomson scattering 测到散射光谱和强度，再通过光谱响应、绝对标定与统计模型获得电子温度和密度；红外相机得到的是经过窗口、镜面、发射率和反射影响的辐亮度，只有经过校正和热传导模型才可推断表面温度与热流。</w:t>
      </w:r>
    </w:p>
    <w:p>
      <w:pPr>
        <w:widowControl/>
      </w:pPr>
      <w:r>
        <w:rPr>
          <w:rFonts w:ascii="Calibri" w:hAnsi="Calibri" w:eastAsia="Microsoft YaHei"/>
        </w:rPr>
        <w:t>可以把任何诊断抽象为观测方程：</w:t>
      </w:r>
    </w:p>
    <w:p>
      <w:pPr>
        <w:widowControl/>
      </w:pPr>
      <w:r>
        <w:rPr>
          <w:rFonts w:ascii="Calibri" w:hAnsi="Calibri" w:eastAsia="Microsoft YaHei"/>
        </w:rPr>
        <w:t>y(t) = H[x(t), θdevice, θdiag, c(t)] + ε(t)</w:t>
      </w:r>
    </w:p>
    <w:p>
      <w:pPr>
        <w:widowControl/>
      </w:pPr>
      <w:r>
        <w:rPr>
          <w:rFonts w:ascii="Calibri" w:hAnsi="Calibri" w:eastAsia="Microsoft YaHei"/>
        </w:rPr>
        <w:t>其中 x(t) 是希望了解的真实物理或工程状态，H 是从状态到传感器信号的前向模型，θdevice 是装置几何和材料配置，θdiag 是诊断自身的几何、光谱响应、增益和时延，c(t) 是运行场景与环境条件，ε(t) 是噪声、偏置、丢帧和未建模误差。真实工作通常需要反过来从 y 推断 x。这个逆问题可能非唯一、病态且受模型假设影响，因此一个可信诊断产品至少应发布：数值、单位、坐标、时间戳、空间/时间分辨率、质量标志、不确定度、适用域、标定版本和来源链。</w:t>
      </w:r>
    </w:p>
    <w:p>
      <w:pPr>
        <w:widowControl/>
      </w:pPr>
      <w:r>
        <w:rPr>
          <w:rFonts w:ascii="Calibri" w:hAnsi="Calibri" w:eastAsia="Microsoft YaHei"/>
        </w:rPr>
        <w:t>数字孪生需要的不是一串“看起来平滑”的曲线，而是能回答以下问题的测量产品：这条曲线来自哪个仪器通道？使用了哪版几何和标定？是否饱和或漂移？反演依赖哪种平衡或原子数据？时间与其他信号对齐到什么精度？预测与实测残差是否超出适用域？如果诊断失效，控制和操作员将怎样降级？</w:t>
      </w:r>
    </w:p>
    <w:p>
      <w:pPr>
        <w:pStyle w:val="Heading2"/>
      </w:pPr>
      <w:r>
        <w:t>三层分类：测量对象、技术原理和信息产品</w:t>
      </w:r>
    </w:p>
    <w:p>
      <w:pPr>
        <w:widowControl/>
      </w:pPr>
      <w:r>
        <w:rPr>
          <w:rFonts w:ascii="Calibri" w:hAnsi="Calibri" w:eastAsia="Microsoft YaHei"/>
        </w:rPr>
        <w:t>本报告以 DG0-DG11 作为主分类，因为它最接近数字孪生和装置决策所需的信息产品。DG1-DG8 回答“要了解哪类状态”，DG0 负责计量与系统工程，DG9-DG11 负责从状态到信号、从信号到状态以及从状态到实时决策的跨域链。</w:t>
      </w:r>
    </w:p>
    <w:p>
      <w:pPr>
        <w:widowControl/>
      </w:pPr>
      <w:r>
        <w:rPr>
          <w:rFonts w:ascii="Calibri" w:hAnsi="Calibri" w:eastAsia="Microsoft YaHei"/>
        </w:rPr>
        <w:t>为了避免把一种仪器只放进一个抽屉，报告同时提供技术原理标签。微波反射计既可测电子密度剖面，也可测湍流；可见光谱既可测杂质和离子温度，也可监视等离子体面对部件；中子诊断既可给出聚变功率，也可约束快离子行为。技术标签用于查找仪器族，DG 分类用于查找数字孪生需要的信息产品，两者不能互相替代。</w:t>
      </w:r>
    </w:p>
    <w:p>
      <w:pPr>
        <w:widowControl/>
      </w:pPr>
      <w:r>
        <w:rPr>
          <w:rFonts w:ascii="Calibri" w:hAnsi="Calibri" w:eastAsia="Microsoft YaHei"/>
        </w:rPr>
        <w:t>第三层是测量产品成熟度。同一技术在不同装置上的角色可能完全不同：一套诊断可能在实验装置上用于离线物理研究，在另一台装置上已进入实时控制，在反应堆设计中则仍停留于耐辐照、端口集成或远程维护论证。因此每个工作都单独记录 E0-E4 证据等级和 D1-D5 部署等级，并从装置档案反查。</w:t>
      </w:r>
    </w:p>
    <w:p>
      <w:pPr>
        <w:pStyle w:val="Heading2"/>
      </w:pPr>
      <w:r>
        <w:t>从聚变装置到聚变电厂，诊断目标发生什么变化</w:t>
      </w:r>
    </w:p>
    <w:p>
      <w:pPr>
        <w:widowControl/>
      </w:pPr>
      <w:r>
        <w:rPr>
          <w:rFonts w:ascii="Calibri" w:hAnsi="Calibri" w:eastAsia="Microsoft YaHei"/>
        </w:rPr>
        <w:t>研究装置追求丰富观测，以便识别新现象、检验理论和比较模型。未来电厂必须在有限端口、强中子/伽马辐照、核热、长脉冲或稳态、真空与氚边界、远程维护和高可用率约束下工作。ITER 工程资料把诊断用于机器保护、运行、控制和物理研究，并指出在真空室和端口内的部件要承受辐照、加热、压力事故工况、活化和远程维护要求。这意味着“测得到”只是起点，“在全寿命周期内可靠、可校准、可替换且不会破坏安全边界”才是电厂级目标。</w:t>
      </w:r>
    </w:p>
    <w:p>
      <w:pPr>
        <w:widowControl/>
      </w:pPr>
      <w:r>
        <w:rPr>
          <w:rFonts w:ascii="Calibri" w:hAnsi="Calibri" w:eastAsia="Microsoft YaHei"/>
        </w:rPr>
        <w:t>对电厂价值可归纳为四类：</w:t>
      </w:r>
    </w:p>
    <w:p>
      <w:pPr>
        <w:numPr>
          <w:ilvl w:val="0"/>
          <w:numId w:val="10"/>
        </w:numPr>
        <w:spacing w:after="80" w:line="300" w:lineRule="auto"/>
      </w:pPr>
      <w:r>
        <w:rPr>
          <w:rFonts w:ascii="Calibri" w:hAnsi="Calibri" w:eastAsia="Microsoft YaHei"/>
        </w:rPr>
        <w:t>成本可控：通过部件健康、剩余寿命、异常趋势和维护窗口预测，减少非计划停机、过度保守更换和不必要的检查。</w:t>
      </w:r>
    </w:p>
    <w:p>
      <w:pPr>
        <w:numPr>
          <w:ilvl w:val="0"/>
          <w:numId w:val="10"/>
        </w:numPr>
        <w:spacing w:after="80" w:line="300" w:lineRule="auto"/>
      </w:pPr>
      <w:r>
        <w:rPr>
          <w:rFonts w:ascii="Calibri" w:hAnsi="Calibri" w:eastAsia="Microsoft YaHei"/>
        </w:rPr>
        <w:t>高效运行：给燃烧、排热、燃料循环和能量转换提供可信状态，使运行点接近性能边界而不越过工程约束。</w:t>
      </w:r>
    </w:p>
    <w:p>
      <w:pPr>
        <w:numPr>
          <w:ilvl w:val="0"/>
          <w:numId w:val="10"/>
        </w:numPr>
        <w:spacing w:after="80" w:line="300" w:lineRule="auto"/>
      </w:pPr>
      <w:r>
        <w:rPr>
          <w:rFonts w:ascii="Calibri" w:hAnsi="Calibri" w:eastAsia="Microsoft YaHei"/>
        </w:rPr>
        <w:t>可靠可用：监视传感器、执行器和关键设备自身健康，支持冗余、容错、故障隔离和可验证降级。</w:t>
      </w:r>
    </w:p>
    <w:p>
      <w:pPr>
        <w:numPr>
          <w:ilvl w:val="0"/>
          <w:numId w:val="10"/>
        </w:numPr>
        <w:spacing w:after="80" w:line="300" w:lineRule="auto"/>
      </w:pPr>
      <w:r>
        <w:rPr>
          <w:rFonts w:ascii="Calibri" w:hAnsi="Calibri" w:eastAsia="Microsoft YaHei"/>
        </w:rPr>
        <w:t>安全可证：保留独立保护与核安全链的权威，同时向安全论证提供可追溯测量、事件记录、模型残差和配置证据。</w:t>
      </w:r>
    </w:p>
    <w:p>
      <w:pPr>
        <w:widowControl/>
      </w:pPr>
      <w:r>
        <w:rPr>
          <w:rFonts w:ascii="Calibri" w:hAnsi="Calibri" w:eastAsia="Microsoft YaHei"/>
        </w:rPr>
        <w:t>因此未来电厂的诊断组合不会简单复制实验装置。它会减少只为一次性科学探索服务、难以维护的通道，增加可长期标定、具备冗余和自检能力的测量；同时用合成诊断、集成反演和物理模型弥补端口受限与部分诊断不可用。诊断最少集不是“仪器数量最少”，而是在故障、维护和场景变化下仍能保持关键状态可观测、控制可用和保护独立的最小可信组合。</w:t>
      </w:r>
    </w:p>
    <w:p>
      <w:pPr>
        <w:keepNext/>
        <w:jc w:val="center"/>
      </w:pPr>
      <w:r>
        <w:drawing>
          <wp:inline xmlns:a="http://schemas.openxmlformats.org/drawingml/2006/main" xmlns:pic="http://schemas.openxmlformats.org/drawingml/2006/picture">
            <wp:extent cx="5577840" cy="3207258"/>
            <wp:docPr id="2" name="Picture 2" descr="图 1-1  DG0-DG11 主分类与真实测量、计算反演、实时决策之间的关系。"/>
            <wp:cNvGraphicFramePr>
              <a:graphicFrameLocks noChangeAspect="1"/>
            </wp:cNvGraphicFramePr>
            <a:graphic>
              <a:graphicData uri="http://schemas.openxmlformats.org/drawingml/2006/picture">
                <pic:pic>
                  <pic:nvPicPr>
                    <pic:cNvPr id="0" name="diagnostics-taxonomy-nature.png"/>
                    <pic:cNvPicPr/>
                  </pic:nvPicPr>
                  <pic:blipFill>
                    <a:blip r:embed="rId12"/>
                    <a:stretch>
                      <a:fillRect/>
                    </a:stretch>
                  </pic:blipFill>
                  <pic:spPr>
                    <a:xfrm>
                      <a:off x="0" y="0"/>
                      <a:ext cx="5577840" cy="3207258"/>
                    </a:xfrm>
                    <a:prstGeom prst="rect"/>
                  </pic:spPr>
                </pic:pic>
              </a:graphicData>
            </a:graphic>
          </wp:inline>
        </w:drawing>
      </w:r>
    </w:p>
    <w:p>
      <w:pPr>
        <w:pStyle w:val="Caption"/>
        <w:jc w:val="center"/>
      </w:pPr>
      <w:r>
        <w:t>图 1-1  DG0-DG11 主分类与真实测量、计算反演、实时决策之间的关系。</w:t>
      </w:r>
    </w:p>
    <w:p>
      <w:pPr>
        <w:keepNext/>
        <w:pageBreakBefore/>
        <w:spacing w:before="0" w:after="100"/>
      </w:pPr>
      <w:r>
        <w:rPr>
          <w:rFonts w:ascii="Calibri" w:hAnsi="Calibri" w:eastAsia="Microsoft YaHei"/>
          <w:b/>
          <w:caps/>
          <w:color w:val="008C95"/>
          <w:sz w:val="17"/>
        </w:rPr>
        <w:t>02 / MEASUREMENT CHAIN</w:t>
      </w:r>
    </w:p>
    <w:p>
      <w:pPr>
        <w:pStyle w:val="Heading1"/>
      </w:pPr>
      <w:r>
        <w:t>从物理量到可信状态：理解聚变诊断的最短路径</w:t>
      </w:r>
    </w:p>
    <w:p>
      <w:pPr>
        <w:pStyle w:val="Heading2"/>
      </w:pPr>
      <w:r>
        <w:t>时间尺度：从微秒事件到数十年寿命</w:t>
      </w:r>
    </w:p>
    <w:p>
      <w:pPr>
        <w:widowControl/>
      </w:pPr>
      <w:r>
        <w:rPr>
          <w:rFonts w:ascii="Calibri" w:hAnsi="Calibri" w:eastAsia="Microsoft YaHei"/>
        </w:rPr>
        <w:t>聚变诊断不是一个采样率问题。磁流体不稳定性、高频波动和电磁瞬态可能需要微秒到毫秒分辨；平衡、位形和快速热事件通常位于亚毫秒到秒；温度、密度、辐射、排热和燃料比的控制产品可能是毫秒到秒；标定漂移、壁状态和部件热循环跨越脉冲、小时与实验周；活化、材料损伤、磁体绝缘、结构疲劳和设备剩余寿命则跨越月、年乃至全寿命。</w:t>
      </w:r>
    </w:p>
    <w:p>
      <w:pPr>
        <w:widowControl/>
      </w:pPr>
      <w:r>
        <w:rPr>
          <w:rFonts w:ascii="Calibri" w:hAnsi="Calibri" w:eastAsia="Microsoft YaHei"/>
        </w:rPr>
        <w:t>数字孪生必须维护嵌套时钟：高速通道承担事件与控制，慢速通道承担状态趋势和寿命；所有层都要通过统一事件、场景阶段、坐标和配置基线对齐。把所有数据重采样到一个频率会丢失因果关系或制造虚假精度。更合理的做法是保留原始采样与时间质量，在状态层发布多速率产品，并明确插值、滤波、延迟和有效时间窗。</w:t>
      </w:r>
    </w:p>
    <w:p>
      <w:pPr>
        <w:pStyle w:val="Heading2"/>
      </w:pPr>
      <w:r>
        <w:t>真实诊断链的六个不可省略环节</w:t>
      </w:r>
    </w:p>
    <w:p>
      <w:pPr>
        <w:widowControl/>
      </w:pPr>
      <w:r>
        <w:rPr>
          <w:rFonts w:ascii="Calibri" w:hAnsi="Calibri" w:eastAsia="Microsoft YaHei"/>
        </w:rPr>
        <w:t>第一是需求与可观测性。必须从控制、保护、物理解释、工程限制或维护决策反推测量量、范围、分辨率、延迟、可用率和故障容忍。没有决策用途的“更多数据”并不会自动提高孪生价值。</w:t>
      </w:r>
    </w:p>
    <w:p>
      <w:pPr>
        <w:widowControl/>
      </w:pPr>
      <w:r>
        <w:rPr>
          <w:rFonts w:ascii="Calibri" w:hAnsi="Calibri" w:eastAsia="Microsoft YaHei"/>
        </w:rPr>
        <w:t>第二是传感与信号形成。应明确粒子、光子、场或机械量如何经过视线、窗口、镜面、探测器、前置电子学和采集系统形成原始信号。空间平均、积分路径、死时间、动态范围和串扰属于测量定义的一部分。</w:t>
      </w:r>
    </w:p>
    <w:p>
      <w:pPr>
        <w:widowControl/>
      </w:pPr>
      <w:r>
        <w:rPr>
          <w:rFonts w:ascii="Calibri" w:hAnsi="Calibri" w:eastAsia="Microsoft YaHei"/>
        </w:rPr>
        <w:t>第三是计量与标定。需要记录绝对/相对标定、在位校准、参考源、几何测量、波长/能量响应、增益、暗噪声、非线性和漂移。核环境中无法频繁接近仪器，标定转移和自校验尤其重要。</w:t>
      </w:r>
    </w:p>
    <w:p>
      <w:pPr>
        <w:widowControl/>
      </w:pPr>
      <w:r>
        <w:rPr>
          <w:rFonts w:ascii="Calibri" w:hAnsi="Calibri" w:eastAsia="Microsoft YaHei"/>
        </w:rPr>
        <w:t>第四是反演与状态估计。必须保留先验、正则化、边界条件、平衡映射、原子数据库、响应矩阵、算法版本和数值容差。单点最优值不足以表达病态逆问题，至少要有置信区间或可操作的质量指标。</w:t>
      </w:r>
    </w:p>
    <w:p>
      <w:pPr>
        <w:widowControl/>
      </w:pPr>
      <w:r>
        <w:rPr>
          <w:rFonts w:ascii="Calibri" w:hAnsi="Calibri" w:eastAsia="Microsoft YaHei"/>
        </w:rPr>
        <w:t>第五是交叉验证。应使用独立测量、物理守恒、合成数据盲测、不同算法、跨装置比较或已知参考状态验证。使用同一前向模型生成数据又用同一模型反演，只能说明软件自洽，不能证明真实可信。</w:t>
      </w:r>
    </w:p>
    <w:p>
      <w:pPr>
        <w:widowControl/>
      </w:pPr>
      <w:r>
        <w:rPr>
          <w:rFonts w:ascii="Calibri" w:hAnsi="Calibri" w:eastAsia="Microsoft YaHei"/>
        </w:rPr>
        <w:t>第六是运行与治理。实时产品要说明最坏时延、丢包、饱和、异常、重启和降级行为；配置、标定和算法发布要有审批与回滚。与 PCS、机器保护或安全系统相连时，诊断数字孪生只能在授权边界内发布状态和建议，不能绕过独立保护权威。</w:t>
      </w:r>
    </w:p>
    <w:p>
      <w:pPr>
        <w:pStyle w:val="Heading2"/>
      </w:pPr>
      <w:r>
        <w:t>合成诊断为何是数字孪生的关键桥梁</w:t>
      </w:r>
    </w:p>
    <w:p>
      <w:pPr>
        <w:widowControl/>
      </w:pPr>
      <w:r>
        <w:rPr>
          <w:rFonts w:ascii="Calibri" w:hAnsi="Calibri" w:eastAsia="Microsoft YaHei"/>
        </w:rPr>
        <w:t>物理模拟通常给出密度、温度、速度、分布函数或场；实验却给出有限视线、有限带宽、带噪声的电压、计数、光谱和图像。直接比较模拟状态和反演结果会把仪器效应与物理误差混在一起。合成诊断在模拟侧复现真实观测链，使“模拟信号”和“实测信号”处于同一空间，再进行残差分析。</w:t>
      </w:r>
    </w:p>
    <w:p>
      <w:pPr>
        <w:widowControl/>
      </w:pPr>
      <w:r>
        <w:rPr>
          <w:rFonts w:ascii="Calibri" w:hAnsi="Calibri" w:eastAsia="Microsoft YaHei"/>
        </w:rPr>
        <w:t>合成诊断有四种主要用途：设计阶段评估端口、视线、信噪比和参数可识别性；调试阶段生成测试数据并验证采集/分析链；实验阶段把候选物理状态映射为可观测量，进行模型选择和一致性检查；运行阶段为状态估计、预测和故障诊断提供前向模型或代理模型。</w:t>
      </w:r>
    </w:p>
    <w:p>
      <w:pPr>
        <w:widowControl/>
      </w:pPr>
      <w:r>
        <w:rPr>
          <w:rFonts w:ascii="Calibri" w:hAnsi="Calibri" w:eastAsia="Microsoft YaHei"/>
        </w:rPr>
        <w:t>但前向模型不是越复杂越好。实时控制可能需要低延迟的降阶或代理模型，科学解释可能需要高保真光线追踪和原子过程，端口设计可能只需要早期最小可用模型。各层应共享几何、单位、响应和版本血缘，并通过分层 VVUQ 证明简化不会改变决策。高保真模型界定适用域和偏差，快速模型承担在线计算，两者由实验残差持续校准。</w:t>
      </w:r>
    </w:p>
    <w:p>
      <w:pPr>
        <w:pStyle w:val="Heading2"/>
      </w:pPr>
      <w:r>
        <w:t>集成反演与数据同化：从“多条曲线”到“一致状态”</w:t>
      </w:r>
    </w:p>
    <w:p>
      <w:pPr>
        <w:widowControl/>
      </w:pPr>
      <w:r>
        <w:rPr>
          <w:rFonts w:ascii="Calibri" w:hAnsi="Calibri" w:eastAsia="Microsoft YaHei"/>
        </w:rPr>
        <w:t>不同诊断常观测同一状态的不同投影，也可能互相依赖。例如 Thomson scattering 的径向映射依赖平衡，平衡又可由压力或电流剖面约束；干涉仪提供线积分密度，反射计和散射系统提供局部信息；光谱强度同时依赖温度、密度、杂质丰度和原子系数。逐个诊断独立拟合后再拼接，容易产生相互矛盾的状态。</w:t>
      </w:r>
    </w:p>
    <w:p>
      <w:pPr>
        <w:widowControl/>
      </w:pPr>
      <w:r>
        <w:rPr>
          <w:rFonts w:ascii="Calibri" w:hAnsi="Calibri" w:eastAsia="Microsoft YaHei"/>
        </w:rPr>
        <w:t>集成数据分析使用共同状态、前向模型、先验和不确定度同时解释多诊断数据。Bayesian 图模型、Gaussian process、最大后验、MCMC、变分推断、Kalman/ensemble 滤波和物理约束优化都是可能实现。数字孪生最需要的不是某一种算法，而是可审计的数据契约：哪些观测进入了后验，哪些被质量门拒绝，先验来自哪版模型，状态相关性如何表示，残差是否独立，超出训练或标定域时怎样降级。</w:t>
      </w:r>
    </w:p>
    <w:p>
      <w:pPr>
        <w:widowControl/>
      </w:pPr>
      <w:r>
        <w:rPr>
          <w:rFonts w:ascii="Calibri" w:hAnsi="Calibri" w:eastAsia="Microsoft YaHei"/>
        </w:rPr>
        <w:t>集成反演可以提高信息利用率，却也会引入共同模型失效。如果所有诊断共享错误的平衡、几何或原子数据库，结果可能精确但错误。因此报告把“诊断冗余”与“证据独立性”分开：两个通道只有在传感原理、标定链和故障模式足够独立时，才构成强交叉验证。</w:t>
      </w:r>
    </w:p>
    <w:p>
      <w:pPr>
        <w:keepNext/>
        <w:jc w:val="center"/>
      </w:pPr>
      <w:r>
        <w:drawing>
          <wp:inline xmlns:a="http://schemas.openxmlformats.org/drawingml/2006/main" xmlns:pic="http://schemas.openxmlformats.org/drawingml/2006/picture">
            <wp:extent cx="5577840" cy="3207258"/>
            <wp:docPr id="3" name="Picture 3" descr="图 2-1  聚变诊断跨越微秒事件、脉冲运行、维护周期和电厂寿命的嵌套时间尺度。"/>
            <wp:cNvGraphicFramePr>
              <a:graphicFrameLocks noChangeAspect="1"/>
            </wp:cNvGraphicFramePr>
            <a:graphic>
              <a:graphicData uri="http://schemas.openxmlformats.org/drawingml/2006/picture">
                <pic:pic>
                  <pic:nvPicPr>
                    <pic:cNvPr id="0" name="diagnostics-timescale-nature.png"/>
                    <pic:cNvPicPr/>
                  </pic:nvPicPr>
                  <pic:blipFill>
                    <a:blip r:embed="rId13"/>
                    <a:stretch>
                      <a:fillRect/>
                    </a:stretch>
                  </pic:blipFill>
                  <pic:spPr>
                    <a:xfrm>
                      <a:off x="0" y="0"/>
                      <a:ext cx="5577840" cy="3207258"/>
                    </a:xfrm>
                    <a:prstGeom prst="rect"/>
                  </pic:spPr>
                </pic:pic>
              </a:graphicData>
            </a:graphic>
          </wp:inline>
        </w:drawing>
      </w:r>
    </w:p>
    <w:p>
      <w:pPr>
        <w:pStyle w:val="Caption"/>
        <w:jc w:val="center"/>
      </w:pPr>
      <w:r>
        <w:t>图 2-1  聚变诊断跨越微秒事件、脉冲运行、维护周期和电厂寿命的嵌套时间尺度。</w:t>
      </w:r>
    </w:p>
    <w:p>
      <w:pPr>
        <w:keepNext/>
        <w:pageBreakBefore/>
        <w:spacing w:before="0" w:after="100"/>
      </w:pPr>
      <w:r>
        <w:rPr>
          <w:rFonts w:ascii="Calibri" w:hAnsi="Calibri" w:eastAsia="Microsoft YaHei"/>
          <w:b/>
          <w:caps/>
          <w:color w:val="008C95"/>
          <w:sz w:val="17"/>
        </w:rPr>
        <w:t>03 / TAXONOMY &amp; EVIDENCE</w:t>
      </w:r>
    </w:p>
    <w:p>
      <w:pPr>
        <w:pStyle w:val="Heading1"/>
      </w:pPr>
      <w:r>
        <w:t>十二类任务、八类技术原理与两条成熟度轴</w:t>
      </w:r>
    </w:p>
    <w:tbl>
      <w:tblPr>
        <w:tblStyle w:val="TableGrid"/>
        <w:tblW w:type="dxa" w:w="9360"/>
        <w:jc w:val="left"/>
        <w:tblLayout w:type="fixed"/>
        <w:tblLook w:firstColumn="1" w:firstRow="1" w:lastColumn="0" w:lastRow="0" w:noHBand="0" w:noVBand="1" w:val="04A0"/>
        <w:tblInd w:w="120" w:type="dxa"/>
      </w:tblPr>
      <w:tblGrid>
        <w:gridCol w:w="700"/>
        <w:gridCol w:w="3100"/>
        <w:gridCol w:w="4560"/>
        <w:gridCol w:w="1000"/>
      </w:tblGrid>
      <w:tr>
        <w:trPr>
          <w:tblHeader w:val="true"/>
        </w:trPr>
        <w:tc>
          <w:tcPr>
            <w:tcW w:type="dxa" w:w="7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ID</w:t>
            </w:r>
          </w:p>
        </w:tc>
        <w:tc>
          <w:tcPr>
            <w:tcW w:type="dxa" w:w="31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中文</w:t>
            </w:r>
          </w:p>
        </w:tc>
        <w:tc>
          <w:tcPr>
            <w:tcW w:type="dxa" w:w="456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English</w:t>
            </w:r>
          </w:p>
        </w:tc>
        <w:tc>
          <w:tcPr>
            <w:tcW w:type="dxa" w:w="10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角色</w:t>
            </w:r>
          </w:p>
        </w:tc>
      </w:tr>
      <w:tr>
        <w:trPr>
          <w:cantSplit/>
        </w:trPr>
        <w:tc>
          <w:tcPr>
            <w:tcW w:type="dxa" w:w="700"/>
          </w:tcPr>
          <w:p>
            <w:pPr>
              <w:keepLines/>
              <w:spacing w:after="0" w:line="276" w:lineRule="auto"/>
            </w:pPr>
            <w:r>
              <w:rPr>
                <w:rFonts w:ascii="Calibri" w:hAnsi="Calibri" w:eastAsia="Microsoft YaHei"/>
                <w:color w:val="0B2545"/>
                <w:sz w:val="15"/>
              </w:rPr>
              <w:t>DG0</w:t>
            </w:r>
          </w:p>
        </w:tc>
        <w:tc>
          <w:tcPr>
            <w:tcW w:type="dxa" w:w="3100"/>
          </w:tcPr>
          <w:p>
            <w:pPr>
              <w:keepLines/>
              <w:spacing w:after="0" w:line="276" w:lineRule="auto"/>
            </w:pPr>
            <w:r>
              <w:rPr>
                <w:rFonts w:ascii="Calibri" w:hAnsi="Calibri" w:eastAsia="Microsoft YaHei"/>
                <w:color w:val="0B2545"/>
                <w:sz w:val="15"/>
              </w:rPr>
              <w:t>诊断系统工程、计量与健康</w:t>
            </w:r>
          </w:p>
        </w:tc>
        <w:tc>
          <w:tcPr>
            <w:tcW w:type="dxa" w:w="4560"/>
          </w:tcPr>
          <w:p>
            <w:pPr>
              <w:keepLines/>
              <w:spacing w:after="0" w:line="276" w:lineRule="auto"/>
            </w:pPr>
            <w:r>
              <w:rPr>
                <w:rFonts w:ascii="Calibri" w:hAnsi="Calibri" w:eastAsia="Microsoft YaHei"/>
                <w:color w:val="0B2545"/>
                <w:sz w:val="15"/>
              </w:rPr>
              <w:t>SYSTEMS ENGINEERING, METROLOGY &amp; HEALTH</w:t>
            </w:r>
          </w:p>
        </w:tc>
        <w:tc>
          <w:tcPr>
            <w:tcW w:type="dxa" w:w="1000"/>
          </w:tcPr>
          <w:p>
            <w:pPr>
              <w:keepLines/>
              <w:spacing w:after="0" w:line="276" w:lineRule="auto"/>
            </w:pPr>
            <w:r>
              <w:rPr>
                <w:rFonts w:ascii="Calibri" w:hAnsi="Calibri" w:eastAsia="Microsoft YaHei"/>
                <w:color w:val="0B2545"/>
                <w:sz w:val="15"/>
              </w:rPr>
              <w:t>横切</w:t>
            </w:r>
          </w:p>
        </w:tc>
      </w:tr>
      <w:tr>
        <w:trPr>
          <w:cantSplit/>
        </w:trPr>
        <w:tc>
          <w:tcPr>
            <w:tcW w:type="dxa" w:w="700"/>
          </w:tcPr>
          <w:p>
            <w:pPr>
              <w:keepLines/>
              <w:spacing w:after="0" w:line="276" w:lineRule="auto"/>
            </w:pPr>
            <w:r>
              <w:rPr>
                <w:rFonts w:ascii="Calibri" w:hAnsi="Calibri" w:eastAsia="Microsoft YaHei"/>
                <w:color w:val="0B2545"/>
                <w:sz w:val="15"/>
              </w:rPr>
              <w:t>DG1</w:t>
            </w:r>
          </w:p>
        </w:tc>
        <w:tc>
          <w:tcPr>
            <w:tcW w:type="dxa" w:w="3100"/>
          </w:tcPr>
          <w:p>
            <w:pPr>
              <w:keepLines/>
              <w:spacing w:after="0" w:line="276" w:lineRule="auto"/>
            </w:pPr>
            <w:r>
              <w:rPr>
                <w:rFonts w:ascii="Calibri" w:hAnsi="Calibri" w:eastAsia="Microsoft YaHei"/>
                <w:color w:val="0B2545"/>
                <w:sz w:val="15"/>
              </w:rPr>
              <w:t>磁平衡、电流与位形</w:t>
            </w:r>
          </w:p>
        </w:tc>
        <w:tc>
          <w:tcPr>
            <w:tcW w:type="dxa" w:w="4560"/>
          </w:tcPr>
          <w:p>
            <w:pPr>
              <w:keepLines/>
              <w:spacing w:after="0" w:line="276" w:lineRule="auto"/>
            </w:pPr>
            <w:r>
              <w:rPr>
                <w:rFonts w:ascii="Calibri" w:hAnsi="Calibri" w:eastAsia="Microsoft YaHei"/>
                <w:color w:val="0B2545"/>
                <w:sz w:val="15"/>
              </w:rPr>
              <w:t>MAGNETIC EQUILIBRIUM, CURRENT &amp; CONFIGURATION</w:t>
            </w:r>
          </w:p>
        </w:tc>
        <w:tc>
          <w:tcPr>
            <w:tcW w:type="dxa" w:w="1000"/>
          </w:tcPr>
          <w:p>
            <w:pPr>
              <w:keepLines/>
              <w:spacing w:after="0" w:line="276" w:lineRule="auto"/>
            </w:pPr>
            <w:r>
              <w:rPr>
                <w:rFonts w:ascii="Calibri" w:hAnsi="Calibri" w:eastAsia="Microsoft YaHei"/>
                <w:color w:val="0B2545"/>
                <w:sz w:val="15"/>
              </w:rPr>
              <w:t>测量对象</w:t>
            </w:r>
          </w:p>
        </w:tc>
      </w:tr>
      <w:tr>
        <w:trPr>
          <w:cantSplit/>
        </w:trPr>
        <w:tc>
          <w:tcPr>
            <w:tcW w:type="dxa" w:w="700"/>
          </w:tcPr>
          <w:p>
            <w:pPr>
              <w:keepLines/>
              <w:spacing w:after="0" w:line="276" w:lineRule="auto"/>
            </w:pPr>
            <w:r>
              <w:rPr>
                <w:rFonts w:ascii="Calibri" w:hAnsi="Calibri" w:eastAsia="Microsoft YaHei"/>
                <w:color w:val="0B2545"/>
                <w:sz w:val="15"/>
              </w:rPr>
              <w:t>DG2</w:t>
            </w:r>
          </w:p>
        </w:tc>
        <w:tc>
          <w:tcPr>
            <w:tcW w:type="dxa" w:w="3100"/>
          </w:tcPr>
          <w:p>
            <w:pPr>
              <w:keepLines/>
              <w:spacing w:after="0" w:line="276" w:lineRule="auto"/>
            </w:pPr>
            <w:r>
              <w:rPr>
                <w:rFonts w:ascii="Calibri" w:hAnsi="Calibri" w:eastAsia="Microsoft YaHei"/>
                <w:color w:val="0B2545"/>
                <w:sz w:val="15"/>
              </w:rPr>
              <w:t>电子密度与电子温度</w:t>
            </w:r>
          </w:p>
        </w:tc>
        <w:tc>
          <w:tcPr>
            <w:tcW w:type="dxa" w:w="4560"/>
          </w:tcPr>
          <w:p>
            <w:pPr>
              <w:keepLines/>
              <w:spacing w:after="0" w:line="276" w:lineRule="auto"/>
            </w:pPr>
            <w:r>
              <w:rPr>
                <w:rFonts w:ascii="Calibri" w:hAnsi="Calibri" w:eastAsia="Microsoft YaHei"/>
                <w:color w:val="0B2545"/>
                <w:sz w:val="15"/>
              </w:rPr>
              <w:t>ELECTRON DENSITY &amp; TEMPERATURE</w:t>
            </w:r>
          </w:p>
        </w:tc>
        <w:tc>
          <w:tcPr>
            <w:tcW w:type="dxa" w:w="1000"/>
          </w:tcPr>
          <w:p>
            <w:pPr>
              <w:keepLines/>
              <w:spacing w:after="0" w:line="276" w:lineRule="auto"/>
            </w:pPr>
            <w:r>
              <w:rPr>
                <w:rFonts w:ascii="Calibri" w:hAnsi="Calibri" w:eastAsia="Microsoft YaHei"/>
                <w:color w:val="0B2545"/>
                <w:sz w:val="15"/>
              </w:rPr>
              <w:t>测量对象</w:t>
            </w:r>
          </w:p>
        </w:tc>
      </w:tr>
      <w:tr>
        <w:trPr>
          <w:cantSplit/>
        </w:trPr>
        <w:tc>
          <w:tcPr>
            <w:tcW w:type="dxa" w:w="700"/>
          </w:tcPr>
          <w:p>
            <w:pPr>
              <w:keepLines/>
              <w:spacing w:after="0" w:line="276" w:lineRule="auto"/>
            </w:pPr>
            <w:r>
              <w:rPr>
                <w:rFonts w:ascii="Calibri" w:hAnsi="Calibri" w:eastAsia="Microsoft YaHei"/>
                <w:color w:val="0B2545"/>
                <w:sz w:val="15"/>
              </w:rPr>
              <w:t>DG3</w:t>
            </w:r>
          </w:p>
        </w:tc>
        <w:tc>
          <w:tcPr>
            <w:tcW w:type="dxa" w:w="3100"/>
          </w:tcPr>
          <w:p>
            <w:pPr>
              <w:keepLines/>
              <w:spacing w:after="0" w:line="276" w:lineRule="auto"/>
            </w:pPr>
            <w:r>
              <w:rPr>
                <w:rFonts w:ascii="Calibri" w:hAnsi="Calibri" w:eastAsia="Microsoft YaHei"/>
                <w:color w:val="0B2545"/>
                <w:sz w:val="15"/>
              </w:rPr>
              <w:t>离子状态、流动、组分与中性粒子</w:t>
            </w:r>
          </w:p>
        </w:tc>
        <w:tc>
          <w:tcPr>
            <w:tcW w:type="dxa" w:w="4560"/>
          </w:tcPr>
          <w:p>
            <w:pPr>
              <w:keepLines/>
              <w:spacing w:after="0" w:line="276" w:lineRule="auto"/>
            </w:pPr>
            <w:r>
              <w:rPr>
                <w:rFonts w:ascii="Calibri" w:hAnsi="Calibri" w:eastAsia="Microsoft YaHei"/>
                <w:color w:val="0B2545"/>
                <w:sz w:val="15"/>
              </w:rPr>
              <w:t>ION STATE, FLOW, COMPOSITION &amp; NEUTRALS</w:t>
            </w:r>
          </w:p>
        </w:tc>
        <w:tc>
          <w:tcPr>
            <w:tcW w:type="dxa" w:w="1000"/>
          </w:tcPr>
          <w:p>
            <w:pPr>
              <w:keepLines/>
              <w:spacing w:after="0" w:line="276" w:lineRule="auto"/>
            </w:pPr>
            <w:r>
              <w:rPr>
                <w:rFonts w:ascii="Calibri" w:hAnsi="Calibri" w:eastAsia="Microsoft YaHei"/>
                <w:color w:val="0B2545"/>
                <w:sz w:val="15"/>
              </w:rPr>
              <w:t>测量对象</w:t>
            </w:r>
          </w:p>
        </w:tc>
      </w:tr>
      <w:tr>
        <w:trPr>
          <w:cantSplit/>
        </w:trPr>
        <w:tc>
          <w:tcPr>
            <w:tcW w:type="dxa" w:w="700"/>
          </w:tcPr>
          <w:p>
            <w:pPr>
              <w:keepLines/>
              <w:spacing w:after="0" w:line="276" w:lineRule="auto"/>
            </w:pPr>
            <w:r>
              <w:rPr>
                <w:rFonts w:ascii="Calibri" w:hAnsi="Calibri" w:eastAsia="Microsoft YaHei"/>
                <w:color w:val="0B2545"/>
                <w:sz w:val="15"/>
              </w:rPr>
              <w:t>DG4</w:t>
            </w:r>
          </w:p>
        </w:tc>
        <w:tc>
          <w:tcPr>
            <w:tcW w:type="dxa" w:w="3100"/>
          </w:tcPr>
          <w:p>
            <w:pPr>
              <w:keepLines/>
              <w:spacing w:after="0" w:line="276" w:lineRule="auto"/>
            </w:pPr>
            <w:r>
              <w:rPr>
                <w:rFonts w:ascii="Calibri" w:hAnsi="Calibri" w:eastAsia="Microsoft YaHei"/>
                <w:color w:val="0B2545"/>
                <w:sz w:val="15"/>
              </w:rPr>
              <w:t>辐射、杂质与功率损失</w:t>
            </w:r>
          </w:p>
        </w:tc>
        <w:tc>
          <w:tcPr>
            <w:tcW w:type="dxa" w:w="4560"/>
          </w:tcPr>
          <w:p>
            <w:pPr>
              <w:keepLines/>
              <w:spacing w:after="0" w:line="276" w:lineRule="auto"/>
            </w:pPr>
            <w:r>
              <w:rPr>
                <w:rFonts w:ascii="Calibri" w:hAnsi="Calibri" w:eastAsia="Microsoft YaHei"/>
                <w:color w:val="0B2545"/>
                <w:sz w:val="15"/>
              </w:rPr>
              <w:t>RADIATION, IMPURITIES &amp; POWER LOSS</w:t>
            </w:r>
          </w:p>
        </w:tc>
        <w:tc>
          <w:tcPr>
            <w:tcW w:type="dxa" w:w="1000"/>
          </w:tcPr>
          <w:p>
            <w:pPr>
              <w:keepLines/>
              <w:spacing w:after="0" w:line="276" w:lineRule="auto"/>
            </w:pPr>
            <w:r>
              <w:rPr>
                <w:rFonts w:ascii="Calibri" w:hAnsi="Calibri" w:eastAsia="Microsoft YaHei"/>
                <w:color w:val="0B2545"/>
                <w:sz w:val="15"/>
              </w:rPr>
              <w:t>测量对象</w:t>
            </w:r>
          </w:p>
        </w:tc>
      </w:tr>
      <w:tr>
        <w:trPr>
          <w:cantSplit/>
        </w:trPr>
        <w:tc>
          <w:tcPr>
            <w:tcW w:type="dxa" w:w="700"/>
          </w:tcPr>
          <w:p>
            <w:pPr>
              <w:keepLines/>
              <w:spacing w:after="0" w:line="276" w:lineRule="auto"/>
            </w:pPr>
            <w:r>
              <w:rPr>
                <w:rFonts w:ascii="Calibri" w:hAnsi="Calibri" w:eastAsia="Microsoft YaHei"/>
                <w:color w:val="0B2545"/>
                <w:sz w:val="15"/>
              </w:rPr>
              <w:t>DG5</w:t>
            </w:r>
          </w:p>
        </w:tc>
        <w:tc>
          <w:tcPr>
            <w:tcW w:type="dxa" w:w="3100"/>
          </w:tcPr>
          <w:p>
            <w:pPr>
              <w:keepLines/>
              <w:spacing w:after="0" w:line="276" w:lineRule="auto"/>
            </w:pPr>
            <w:r>
              <w:rPr>
                <w:rFonts w:ascii="Calibri" w:hAnsi="Calibri" w:eastAsia="Microsoft YaHei"/>
                <w:color w:val="0B2545"/>
                <w:sz w:val="15"/>
              </w:rPr>
              <w:t>聚变产物、中子、伽马与高能粒子</w:t>
            </w:r>
          </w:p>
        </w:tc>
        <w:tc>
          <w:tcPr>
            <w:tcW w:type="dxa" w:w="4560"/>
          </w:tcPr>
          <w:p>
            <w:pPr>
              <w:keepLines/>
              <w:spacing w:after="0" w:line="276" w:lineRule="auto"/>
            </w:pPr>
            <w:r>
              <w:rPr>
                <w:rFonts w:ascii="Calibri" w:hAnsi="Calibri" w:eastAsia="Microsoft YaHei"/>
                <w:color w:val="0B2545"/>
                <w:sz w:val="15"/>
              </w:rPr>
              <w:t>FUSION PRODUCTS, NEUTRONS, GAMMA RAYS &amp; ENERGETIC PARTICLES</w:t>
            </w:r>
          </w:p>
        </w:tc>
        <w:tc>
          <w:tcPr>
            <w:tcW w:type="dxa" w:w="1000"/>
          </w:tcPr>
          <w:p>
            <w:pPr>
              <w:keepLines/>
              <w:spacing w:after="0" w:line="276" w:lineRule="auto"/>
            </w:pPr>
            <w:r>
              <w:rPr>
                <w:rFonts w:ascii="Calibri" w:hAnsi="Calibri" w:eastAsia="Microsoft YaHei"/>
                <w:color w:val="0B2545"/>
                <w:sz w:val="15"/>
              </w:rPr>
              <w:t>测量对象</w:t>
            </w:r>
          </w:p>
        </w:tc>
      </w:tr>
      <w:tr>
        <w:trPr>
          <w:cantSplit/>
        </w:trPr>
        <w:tc>
          <w:tcPr>
            <w:tcW w:type="dxa" w:w="700"/>
          </w:tcPr>
          <w:p>
            <w:pPr>
              <w:keepLines/>
              <w:spacing w:after="0" w:line="276" w:lineRule="auto"/>
            </w:pPr>
            <w:r>
              <w:rPr>
                <w:rFonts w:ascii="Calibri" w:hAnsi="Calibri" w:eastAsia="Microsoft YaHei"/>
                <w:color w:val="0B2545"/>
                <w:sz w:val="15"/>
              </w:rPr>
              <w:t>DG6</w:t>
            </w:r>
          </w:p>
        </w:tc>
        <w:tc>
          <w:tcPr>
            <w:tcW w:type="dxa" w:w="3100"/>
          </w:tcPr>
          <w:p>
            <w:pPr>
              <w:keepLines/>
              <w:spacing w:after="0" w:line="276" w:lineRule="auto"/>
            </w:pPr>
            <w:r>
              <w:rPr>
                <w:rFonts w:ascii="Calibri" w:hAnsi="Calibri" w:eastAsia="Microsoft YaHei"/>
                <w:color w:val="0B2545"/>
                <w:sz w:val="15"/>
              </w:rPr>
              <w:t>MHD、波动与湍流</w:t>
            </w:r>
          </w:p>
        </w:tc>
        <w:tc>
          <w:tcPr>
            <w:tcW w:type="dxa" w:w="4560"/>
          </w:tcPr>
          <w:p>
            <w:pPr>
              <w:keepLines/>
              <w:spacing w:after="0" w:line="276" w:lineRule="auto"/>
            </w:pPr>
            <w:r>
              <w:rPr>
                <w:rFonts w:ascii="Calibri" w:hAnsi="Calibri" w:eastAsia="Microsoft YaHei"/>
                <w:color w:val="0B2545"/>
                <w:sz w:val="15"/>
              </w:rPr>
              <w:t>MHD, WAVES &amp; TURBULENCE</w:t>
            </w:r>
          </w:p>
        </w:tc>
        <w:tc>
          <w:tcPr>
            <w:tcW w:type="dxa" w:w="1000"/>
          </w:tcPr>
          <w:p>
            <w:pPr>
              <w:keepLines/>
              <w:spacing w:after="0" w:line="276" w:lineRule="auto"/>
            </w:pPr>
            <w:r>
              <w:rPr>
                <w:rFonts w:ascii="Calibri" w:hAnsi="Calibri" w:eastAsia="Microsoft YaHei"/>
                <w:color w:val="0B2545"/>
                <w:sz w:val="15"/>
              </w:rPr>
              <w:t>测量对象</w:t>
            </w:r>
          </w:p>
        </w:tc>
      </w:tr>
      <w:tr>
        <w:trPr>
          <w:cantSplit/>
        </w:trPr>
        <w:tc>
          <w:tcPr>
            <w:tcW w:type="dxa" w:w="700"/>
          </w:tcPr>
          <w:p>
            <w:pPr>
              <w:keepLines/>
              <w:spacing w:after="0" w:line="276" w:lineRule="auto"/>
            </w:pPr>
            <w:r>
              <w:rPr>
                <w:rFonts w:ascii="Calibri" w:hAnsi="Calibri" w:eastAsia="Microsoft YaHei"/>
                <w:color w:val="0B2545"/>
                <w:sz w:val="15"/>
              </w:rPr>
              <w:t>DG7</w:t>
            </w:r>
          </w:p>
        </w:tc>
        <w:tc>
          <w:tcPr>
            <w:tcW w:type="dxa" w:w="3100"/>
          </w:tcPr>
          <w:p>
            <w:pPr>
              <w:keepLines/>
              <w:spacing w:after="0" w:line="276" w:lineRule="auto"/>
            </w:pPr>
            <w:r>
              <w:rPr>
                <w:rFonts w:ascii="Calibri" w:hAnsi="Calibri" w:eastAsia="Microsoft YaHei"/>
                <w:color w:val="0B2545"/>
                <w:sz w:val="15"/>
              </w:rPr>
              <w:t>边界、SOL、偏滤器与等离子体面对部件</w:t>
            </w:r>
          </w:p>
        </w:tc>
        <w:tc>
          <w:tcPr>
            <w:tcW w:type="dxa" w:w="4560"/>
          </w:tcPr>
          <w:p>
            <w:pPr>
              <w:keepLines/>
              <w:spacing w:after="0" w:line="276" w:lineRule="auto"/>
            </w:pPr>
            <w:r>
              <w:rPr>
                <w:rFonts w:ascii="Calibri" w:hAnsi="Calibri" w:eastAsia="Microsoft YaHei"/>
                <w:color w:val="0B2545"/>
                <w:sz w:val="15"/>
              </w:rPr>
              <w:t>EDGE, SOL, DIVERTOR &amp; PLASMA-FACING COMPONENTS</w:t>
            </w:r>
          </w:p>
        </w:tc>
        <w:tc>
          <w:tcPr>
            <w:tcW w:type="dxa" w:w="1000"/>
          </w:tcPr>
          <w:p>
            <w:pPr>
              <w:keepLines/>
              <w:spacing w:after="0" w:line="276" w:lineRule="auto"/>
            </w:pPr>
            <w:r>
              <w:rPr>
                <w:rFonts w:ascii="Calibri" w:hAnsi="Calibri" w:eastAsia="Microsoft YaHei"/>
                <w:color w:val="0B2545"/>
                <w:sz w:val="15"/>
              </w:rPr>
              <w:t>测量对象</w:t>
            </w:r>
          </w:p>
        </w:tc>
      </w:tr>
      <w:tr>
        <w:trPr>
          <w:cantSplit/>
        </w:trPr>
        <w:tc>
          <w:tcPr>
            <w:tcW w:type="dxa" w:w="700"/>
          </w:tcPr>
          <w:p>
            <w:pPr>
              <w:keepLines/>
              <w:spacing w:after="0" w:line="276" w:lineRule="auto"/>
            </w:pPr>
            <w:r>
              <w:rPr>
                <w:rFonts w:ascii="Calibri" w:hAnsi="Calibri" w:eastAsia="Microsoft YaHei"/>
                <w:color w:val="0B2545"/>
                <w:sz w:val="15"/>
              </w:rPr>
              <w:t>DG8</w:t>
            </w:r>
          </w:p>
        </w:tc>
        <w:tc>
          <w:tcPr>
            <w:tcW w:type="dxa" w:w="3100"/>
          </w:tcPr>
          <w:p>
            <w:pPr>
              <w:keepLines/>
              <w:spacing w:after="0" w:line="276" w:lineRule="auto"/>
            </w:pPr>
            <w:r>
              <w:rPr>
                <w:rFonts w:ascii="Calibri" w:hAnsi="Calibri" w:eastAsia="Microsoft YaHei"/>
                <w:color w:val="0B2545"/>
                <w:sz w:val="15"/>
              </w:rPr>
              <w:t>工程设备与电厂状态监测</w:t>
            </w:r>
          </w:p>
        </w:tc>
        <w:tc>
          <w:tcPr>
            <w:tcW w:type="dxa" w:w="4560"/>
          </w:tcPr>
          <w:p>
            <w:pPr>
              <w:keepLines/>
              <w:spacing w:after="0" w:line="276" w:lineRule="auto"/>
            </w:pPr>
            <w:r>
              <w:rPr>
                <w:rFonts w:ascii="Calibri" w:hAnsi="Calibri" w:eastAsia="Microsoft YaHei"/>
                <w:color w:val="0B2545"/>
                <w:sz w:val="15"/>
              </w:rPr>
              <w:t>ENGINEERING EQUIPMENT &amp; PLANT CONDITION</w:t>
            </w:r>
          </w:p>
        </w:tc>
        <w:tc>
          <w:tcPr>
            <w:tcW w:type="dxa" w:w="1000"/>
          </w:tcPr>
          <w:p>
            <w:pPr>
              <w:keepLines/>
              <w:spacing w:after="0" w:line="276" w:lineRule="auto"/>
            </w:pPr>
            <w:r>
              <w:rPr>
                <w:rFonts w:ascii="Calibri" w:hAnsi="Calibri" w:eastAsia="Microsoft YaHei"/>
                <w:color w:val="0B2545"/>
                <w:sz w:val="15"/>
              </w:rPr>
              <w:t>测量对象</w:t>
            </w:r>
          </w:p>
        </w:tc>
      </w:tr>
      <w:tr>
        <w:trPr>
          <w:cantSplit/>
        </w:trPr>
        <w:tc>
          <w:tcPr>
            <w:tcW w:type="dxa" w:w="700"/>
          </w:tcPr>
          <w:p>
            <w:pPr>
              <w:keepLines/>
              <w:spacing w:after="0" w:line="276" w:lineRule="auto"/>
            </w:pPr>
            <w:r>
              <w:rPr>
                <w:rFonts w:ascii="Calibri" w:hAnsi="Calibri" w:eastAsia="Microsoft YaHei"/>
                <w:color w:val="0B2545"/>
                <w:sz w:val="15"/>
              </w:rPr>
              <w:t>DG9</w:t>
            </w:r>
          </w:p>
        </w:tc>
        <w:tc>
          <w:tcPr>
            <w:tcW w:type="dxa" w:w="3100"/>
          </w:tcPr>
          <w:p>
            <w:pPr>
              <w:keepLines/>
              <w:spacing w:after="0" w:line="276" w:lineRule="auto"/>
            </w:pPr>
            <w:r>
              <w:rPr>
                <w:rFonts w:ascii="Calibri" w:hAnsi="Calibri" w:eastAsia="Microsoft YaHei"/>
                <w:color w:val="0B2545"/>
                <w:sz w:val="15"/>
              </w:rPr>
              <w:t>合成诊断与仪器前向模型</w:t>
            </w:r>
          </w:p>
        </w:tc>
        <w:tc>
          <w:tcPr>
            <w:tcW w:type="dxa" w:w="4560"/>
          </w:tcPr>
          <w:p>
            <w:pPr>
              <w:keepLines/>
              <w:spacing w:after="0" w:line="276" w:lineRule="auto"/>
            </w:pPr>
            <w:r>
              <w:rPr>
                <w:rFonts w:ascii="Calibri" w:hAnsi="Calibri" w:eastAsia="Microsoft YaHei"/>
                <w:color w:val="0B2545"/>
                <w:sz w:val="15"/>
              </w:rPr>
              <w:t>SYNTHETIC DIAGNOSTICS &amp; FORWARD MODELS</w:t>
            </w:r>
          </w:p>
        </w:tc>
        <w:tc>
          <w:tcPr>
            <w:tcW w:type="dxa" w:w="1000"/>
          </w:tcPr>
          <w:p>
            <w:pPr>
              <w:keepLines/>
              <w:spacing w:after="0" w:line="276" w:lineRule="auto"/>
            </w:pPr>
            <w:r>
              <w:rPr>
                <w:rFonts w:ascii="Calibri" w:hAnsi="Calibri" w:eastAsia="Microsoft YaHei"/>
                <w:color w:val="0B2545"/>
                <w:sz w:val="15"/>
              </w:rPr>
              <w:t>横切</w:t>
            </w:r>
          </w:p>
        </w:tc>
      </w:tr>
      <w:tr>
        <w:trPr>
          <w:cantSplit/>
        </w:trPr>
        <w:tc>
          <w:tcPr>
            <w:tcW w:type="dxa" w:w="700"/>
          </w:tcPr>
          <w:p>
            <w:pPr>
              <w:keepLines/>
              <w:spacing w:after="0" w:line="276" w:lineRule="auto"/>
            </w:pPr>
            <w:r>
              <w:rPr>
                <w:rFonts w:ascii="Calibri" w:hAnsi="Calibri" w:eastAsia="Microsoft YaHei"/>
                <w:color w:val="0B2545"/>
                <w:sz w:val="15"/>
              </w:rPr>
              <w:t>DG10</w:t>
            </w:r>
          </w:p>
        </w:tc>
        <w:tc>
          <w:tcPr>
            <w:tcW w:type="dxa" w:w="3100"/>
          </w:tcPr>
          <w:p>
            <w:pPr>
              <w:keepLines/>
              <w:spacing w:after="0" w:line="276" w:lineRule="auto"/>
            </w:pPr>
            <w:r>
              <w:rPr>
                <w:rFonts w:ascii="Calibri" w:hAnsi="Calibri" w:eastAsia="Microsoft YaHei"/>
                <w:color w:val="0B2545"/>
                <w:sz w:val="15"/>
              </w:rPr>
              <w:t>集成反演、层析与数据同化</w:t>
            </w:r>
          </w:p>
        </w:tc>
        <w:tc>
          <w:tcPr>
            <w:tcW w:type="dxa" w:w="4560"/>
          </w:tcPr>
          <w:p>
            <w:pPr>
              <w:keepLines/>
              <w:spacing w:after="0" w:line="276" w:lineRule="auto"/>
            </w:pPr>
            <w:r>
              <w:rPr>
                <w:rFonts w:ascii="Calibri" w:hAnsi="Calibri" w:eastAsia="Microsoft YaHei"/>
                <w:color w:val="0B2545"/>
                <w:sz w:val="15"/>
              </w:rPr>
              <w:t>INTEGRATED INVERSION, TOMOGRAPHY &amp; DATA ASSIMILATION</w:t>
            </w:r>
          </w:p>
        </w:tc>
        <w:tc>
          <w:tcPr>
            <w:tcW w:type="dxa" w:w="1000"/>
          </w:tcPr>
          <w:p>
            <w:pPr>
              <w:keepLines/>
              <w:spacing w:after="0" w:line="276" w:lineRule="auto"/>
            </w:pPr>
            <w:r>
              <w:rPr>
                <w:rFonts w:ascii="Calibri" w:hAnsi="Calibri" w:eastAsia="Microsoft YaHei"/>
                <w:color w:val="0B2545"/>
                <w:sz w:val="15"/>
              </w:rPr>
              <w:t>横切</w:t>
            </w:r>
          </w:p>
        </w:tc>
      </w:tr>
      <w:tr>
        <w:trPr>
          <w:cantSplit/>
        </w:trPr>
        <w:tc>
          <w:tcPr>
            <w:tcW w:type="dxa" w:w="700"/>
          </w:tcPr>
          <w:p>
            <w:pPr>
              <w:keepLines/>
              <w:spacing w:after="0" w:line="276" w:lineRule="auto"/>
            </w:pPr>
            <w:r>
              <w:rPr>
                <w:rFonts w:ascii="Calibri" w:hAnsi="Calibri" w:eastAsia="Microsoft YaHei"/>
                <w:color w:val="0B2545"/>
                <w:sz w:val="15"/>
              </w:rPr>
              <w:t>DG11</w:t>
            </w:r>
          </w:p>
        </w:tc>
        <w:tc>
          <w:tcPr>
            <w:tcW w:type="dxa" w:w="3100"/>
          </w:tcPr>
          <w:p>
            <w:pPr>
              <w:keepLines/>
              <w:spacing w:after="0" w:line="276" w:lineRule="auto"/>
            </w:pPr>
            <w:r>
              <w:rPr>
                <w:rFonts w:ascii="Calibri" w:hAnsi="Calibri" w:eastAsia="Microsoft YaHei"/>
                <w:color w:val="0B2545"/>
                <w:sz w:val="15"/>
              </w:rPr>
              <w:t>实时诊断、AI 与决策接口</w:t>
            </w:r>
          </w:p>
        </w:tc>
        <w:tc>
          <w:tcPr>
            <w:tcW w:type="dxa" w:w="4560"/>
          </w:tcPr>
          <w:p>
            <w:pPr>
              <w:keepLines/>
              <w:spacing w:after="0" w:line="276" w:lineRule="auto"/>
            </w:pPr>
            <w:r>
              <w:rPr>
                <w:rFonts w:ascii="Calibri" w:hAnsi="Calibri" w:eastAsia="Microsoft YaHei"/>
                <w:color w:val="0B2545"/>
                <w:sz w:val="15"/>
              </w:rPr>
              <w:t>REAL-TIME DIAGNOSTICS, AI &amp; DECISION INTERFACES</w:t>
            </w:r>
          </w:p>
        </w:tc>
        <w:tc>
          <w:tcPr>
            <w:tcW w:type="dxa" w:w="1000"/>
          </w:tcPr>
          <w:p>
            <w:pPr>
              <w:keepLines/>
              <w:spacing w:after="0" w:line="276" w:lineRule="auto"/>
            </w:pPr>
            <w:r>
              <w:rPr>
                <w:rFonts w:ascii="Calibri" w:hAnsi="Calibri" w:eastAsia="Microsoft YaHei"/>
                <w:color w:val="0B2545"/>
                <w:sz w:val="15"/>
              </w:rPr>
              <w:t>横切</w:t>
            </w:r>
          </w:p>
        </w:tc>
      </w:tr>
    </w:tbl>
    <w:p>
      <w:pPr>
        <w:spacing w:before="0" w:after="60"/>
      </w:pPr>
    </w:p>
    <w:p>
      <w:pPr>
        <w:widowControl/>
      </w:pPr>
      <w:r>
        <w:rPr>
          <w:rFonts w:ascii="Calibri" w:hAnsi="Calibri" w:eastAsia="Microsoft YaHei"/>
        </w:rPr>
        <w:t>八类技术族用于按仪器原理检索：磁与感应、微波/毫米波、激光与散射、光学/谱学/成像、核与粒子、探针/采样、工程传感以及计算反演。一个工作可有多个技术标签，但只能有一个主 DG 分类。</w:t>
      </w:r>
    </w:p>
    <w:tbl>
      <w:tblPr>
        <w:tblStyle w:val="TableGrid"/>
        <w:tblW w:type="dxa" w:w="9360"/>
        <w:jc w:val="left"/>
        <w:tblLayout w:type="fixed"/>
        <w:tblLook w:firstColumn="1" w:firstRow="1" w:lastColumn="0" w:lastRow="0" w:noHBand="0" w:noVBand="1" w:val="04A0"/>
        <w:tblInd w:w="120" w:type="dxa"/>
      </w:tblPr>
      <w:tblGrid>
        <w:gridCol w:w="850"/>
        <w:gridCol w:w="3650"/>
        <w:gridCol w:w="850"/>
        <w:gridCol w:w="4010"/>
      </w:tblGrid>
      <w:tr>
        <w:trPr>
          <w:tblHeader w:val="true"/>
        </w:trPr>
        <w:tc>
          <w:tcPr>
            <w:tcW w:type="dxa" w:w="8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6"/>
              </w:rPr>
              <w:t>证据</w:t>
            </w:r>
          </w:p>
        </w:tc>
        <w:tc>
          <w:tcPr>
            <w:tcW w:type="dxa" w:w="36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6"/>
              </w:rPr>
              <w:t>证据含义</w:t>
            </w:r>
          </w:p>
        </w:tc>
        <w:tc>
          <w:tcPr>
            <w:tcW w:type="dxa" w:w="8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6"/>
              </w:rPr>
              <w:t>部署</w:t>
            </w:r>
          </w:p>
        </w:tc>
        <w:tc>
          <w:tcPr>
            <w:tcW w:type="dxa" w:w="401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6"/>
              </w:rPr>
              <w:t>部署含义</w:t>
            </w:r>
          </w:p>
        </w:tc>
      </w:tr>
      <w:tr>
        <w:trPr>
          <w:cantSplit/>
        </w:trPr>
        <w:tc>
          <w:tcPr>
            <w:tcW w:type="dxa" w:w="850"/>
          </w:tcPr>
          <w:p>
            <w:pPr>
              <w:keepLines/>
              <w:spacing w:after="0" w:line="276" w:lineRule="auto"/>
            </w:pPr>
            <w:r>
              <w:rPr>
                <w:rFonts w:ascii="Calibri" w:hAnsi="Calibri" w:eastAsia="Microsoft YaHei"/>
                <w:color w:val="0B2545"/>
                <w:sz w:val="16"/>
              </w:rPr>
              <w:t>E0</w:t>
            </w:r>
          </w:p>
        </w:tc>
        <w:tc>
          <w:tcPr>
            <w:tcW w:type="dxa" w:w="3650"/>
          </w:tcPr>
          <w:p>
            <w:pPr>
              <w:keepLines/>
              <w:spacing w:after="0" w:line="276" w:lineRule="auto"/>
            </w:pPr>
            <w:r>
              <w:rPr>
                <w:rFonts w:ascii="Calibri" w:hAnsi="Calibri" w:eastAsia="Microsoft YaHei"/>
                <w:color w:val="0B2545"/>
                <w:sz w:val="16"/>
              </w:rPr>
              <w:t>需求/概念</w:t>
            </w:r>
          </w:p>
        </w:tc>
        <w:tc>
          <w:tcPr>
            <w:tcW w:type="dxa" w:w="850"/>
          </w:tcPr>
          <w:p>
            <w:pPr>
              <w:keepLines/>
              <w:spacing w:after="0" w:line="276" w:lineRule="auto"/>
            </w:pPr>
            <w:r>
              <w:rPr>
                <w:rFonts w:ascii="Calibri" w:hAnsi="Calibri" w:eastAsia="Microsoft YaHei"/>
                <w:color w:val="0B2545"/>
                <w:sz w:val="16"/>
              </w:rPr>
              <w:t>—</w:t>
            </w:r>
          </w:p>
        </w:tc>
        <w:tc>
          <w:tcPr>
            <w:tcW w:type="dxa" w:w="4010"/>
          </w:tcPr>
          <w:p>
            <w:pPr>
              <w:keepLines/>
              <w:spacing w:after="0" w:line="276" w:lineRule="auto"/>
            </w:pPr>
            <w:r>
              <w:rPr>
                <w:rFonts w:ascii="Calibri" w:hAnsi="Calibri" w:eastAsia="Microsoft YaHei"/>
                <w:color w:val="0B2545"/>
                <w:sz w:val="16"/>
              </w:rPr>
              <w:t>—</w:t>
            </w:r>
          </w:p>
        </w:tc>
      </w:tr>
      <w:tr>
        <w:trPr>
          <w:cantSplit/>
        </w:trPr>
        <w:tc>
          <w:tcPr>
            <w:tcW w:type="dxa" w:w="850"/>
          </w:tcPr>
          <w:p>
            <w:pPr>
              <w:keepLines/>
              <w:spacing w:after="0" w:line="276" w:lineRule="auto"/>
            </w:pPr>
            <w:r>
              <w:rPr>
                <w:rFonts w:ascii="Calibri" w:hAnsi="Calibri" w:eastAsia="Microsoft YaHei"/>
                <w:color w:val="0B2545"/>
                <w:sz w:val="16"/>
              </w:rPr>
              <w:t>E1</w:t>
            </w:r>
          </w:p>
        </w:tc>
        <w:tc>
          <w:tcPr>
            <w:tcW w:type="dxa" w:w="3650"/>
          </w:tcPr>
          <w:p>
            <w:pPr>
              <w:keepLines/>
              <w:spacing w:after="0" w:line="276" w:lineRule="auto"/>
            </w:pPr>
            <w:r>
              <w:rPr>
                <w:rFonts w:ascii="Calibri" w:hAnsi="Calibri" w:eastAsia="Microsoft YaHei"/>
                <w:color w:val="0B2545"/>
                <w:sz w:val="16"/>
              </w:rPr>
              <w:t>数值/合成验证</w:t>
            </w:r>
          </w:p>
        </w:tc>
        <w:tc>
          <w:tcPr>
            <w:tcW w:type="dxa" w:w="850"/>
          </w:tcPr>
          <w:p>
            <w:pPr>
              <w:keepLines/>
              <w:spacing w:after="0" w:line="276" w:lineRule="auto"/>
            </w:pPr>
            <w:r>
              <w:rPr>
                <w:rFonts w:ascii="Calibri" w:hAnsi="Calibri" w:eastAsia="Microsoft YaHei"/>
                <w:color w:val="0B2545"/>
                <w:sz w:val="16"/>
              </w:rPr>
              <w:t>D1</w:t>
            </w:r>
          </w:p>
        </w:tc>
        <w:tc>
          <w:tcPr>
            <w:tcW w:type="dxa" w:w="4010"/>
          </w:tcPr>
          <w:p>
            <w:pPr>
              <w:keepLines/>
              <w:spacing w:after="0" w:line="276" w:lineRule="auto"/>
            </w:pPr>
            <w:r>
              <w:rPr>
                <w:rFonts w:ascii="Calibri" w:hAnsi="Calibri" w:eastAsia="Microsoft YaHei"/>
                <w:color w:val="0B2545"/>
                <w:sz w:val="16"/>
              </w:rPr>
              <w:t>概念/需求</w:t>
            </w:r>
          </w:p>
        </w:tc>
      </w:tr>
      <w:tr>
        <w:trPr>
          <w:cantSplit/>
        </w:trPr>
        <w:tc>
          <w:tcPr>
            <w:tcW w:type="dxa" w:w="850"/>
          </w:tcPr>
          <w:p>
            <w:pPr>
              <w:keepLines/>
              <w:spacing w:after="0" w:line="276" w:lineRule="auto"/>
            </w:pPr>
            <w:r>
              <w:rPr>
                <w:rFonts w:ascii="Calibri" w:hAnsi="Calibri" w:eastAsia="Microsoft YaHei"/>
                <w:color w:val="0B2545"/>
                <w:sz w:val="16"/>
              </w:rPr>
              <w:t>E2</w:t>
            </w:r>
          </w:p>
        </w:tc>
        <w:tc>
          <w:tcPr>
            <w:tcW w:type="dxa" w:w="3650"/>
          </w:tcPr>
          <w:p>
            <w:pPr>
              <w:keepLines/>
              <w:spacing w:after="0" w:line="276" w:lineRule="auto"/>
            </w:pPr>
            <w:r>
              <w:rPr>
                <w:rFonts w:ascii="Calibri" w:hAnsi="Calibri" w:eastAsia="Microsoft YaHei"/>
                <w:color w:val="0B2545"/>
                <w:sz w:val="16"/>
              </w:rPr>
              <w:t>实验室/原型/标定</w:t>
            </w:r>
          </w:p>
        </w:tc>
        <w:tc>
          <w:tcPr>
            <w:tcW w:type="dxa" w:w="850"/>
          </w:tcPr>
          <w:p>
            <w:pPr>
              <w:keepLines/>
              <w:spacing w:after="0" w:line="276" w:lineRule="auto"/>
            </w:pPr>
            <w:r>
              <w:rPr>
                <w:rFonts w:ascii="Calibri" w:hAnsi="Calibri" w:eastAsia="Microsoft YaHei"/>
                <w:color w:val="0B2545"/>
                <w:sz w:val="16"/>
              </w:rPr>
              <w:t>D2</w:t>
            </w:r>
          </w:p>
        </w:tc>
        <w:tc>
          <w:tcPr>
            <w:tcW w:type="dxa" w:w="4010"/>
          </w:tcPr>
          <w:p>
            <w:pPr>
              <w:keepLines/>
              <w:spacing w:after="0" w:line="276" w:lineRule="auto"/>
            </w:pPr>
            <w:r>
              <w:rPr>
                <w:rFonts w:ascii="Calibri" w:hAnsi="Calibri" w:eastAsia="Microsoft YaHei"/>
                <w:color w:val="0B2545"/>
                <w:sz w:val="16"/>
              </w:rPr>
              <w:t>软件或实验室原型</w:t>
            </w:r>
          </w:p>
        </w:tc>
      </w:tr>
      <w:tr>
        <w:trPr>
          <w:cantSplit/>
        </w:trPr>
        <w:tc>
          <w:tcPr>
            <w:tcW w:type="dxa" w:w="850"/>
          </w:tcPr>
          <w:p>
            <w:pPr>
              <w:keepLines/>
              <w:spacing w:after="0" w:line="276" w:lineRule="auto"/>
            </w:pPr>
            <w:r>
              <w:rPr>
                <w:rFonts w:ascii="Calibri" w:hAnsi="Calibri" w:eastAsia="Microsoft YaHei"/>
                <w:color w:val="0B2545"/>
                <w:sz w:val="16"/>
              </w:rPr>
              <w:t>E3</w:t>
            </w:r>
          </w:p>
        </w:tc>
        <w:tc>
          <w:tcPr>
            <w:tcW w:type="dxa" w:w="3650"/>
          </w:tcPr>
          <w:p>
            <w:pPr>
              <w:keepLines/>
              <w:spacing w:after="0" w:line="276" w:lineRule="auto"/>
            </w:pPr>
            <w:r>
              <w:rPr>
                <w:rFonts w:ascii="Calibri" w:hAnsi="Calibri" w:eastAsia="Microsoft YaHei"/>
                <w:color w:val="0B2545"/>
                <w:sz w:val="16"/>
              </w:rPr>
              <w:t>装置数据/安装调试/交叉验证</w:t>
            </w:r>
          </w:p>
        </w:tc>
        <w:tc>
          <w:tcPr>
            <w:tcW w:type="dxa" w:w="850"/>
          </w:tcPr>
          <w:p>
            <w:pPr>
              <w:keepLines/>
              <w:spacing w:after="0" w:line="276" w:lineRule="auto"/>
            </w:pPr>
            <w:r>
              <w:rPr>
                <w:rFonts w:ascii="Calibri" w:hAnsi="Calibri" w:eastAsia="Microsoft YaHei"/>
                <w:color w:val="0B2545"/>
                <w:sz w:val="16"/>
              </w:rPr>
              <w:t>D3</w:t>
            </w:r>
          </w:p>
        </w:tc>
        <w:tc>
          <w:tcPr>
            <w:tcW w:type="dxa" w:w="4010"/>
          </w:tcPr>
          <w:p>
            <w:pPr>
              <w:keepLines/>
              <w:spacing w:after="0" w:line="276" w:lineRule="auto"/>
            </w:pPr>
            <w:r>
              <w:rPr>
                <w:rFonts w:ascii="Calibri" w:hAnsi="Calibri" w:eastAsia="Microsoft YaHei"/>
                <w:color w:val="0B2545"/>
                <w:sz w:val="16"/>
              </w:rPr>
              <w:t>安装/联调/回放/影子/HIL</w:t>
            </w:r>
          </w:p>
        </w:tc>
      </w:tr>
      <w:tr>
        <w:trPr>
          <w:cantSplit/>
        </w:trPr>
        <w:tc>
          <w:tcPr>
            <w:tcW w:type="dxa" w:w="850"/>
          </w:tcPr>
          <w:p>
            <w:pPr>
              <w:keepLines/>
              <w:spacing w:after="0" w:line="276" w:lineRule="auto"/>
            </w:pPr>
            <w:r>
              <w:rPr>
                <w:rFonts w:ascii="Calibri" w:hAnsi="Calibri" w:eastAsia="Microsoft YaHei"/>
                <w:color w:val="0B2545"/>
                <w:sz w:val="16"/>
              </w:rPr>
              <w:t>E4</w:t>
            </w:r>
          </w:p>
        </w:tc>
        <w:tc>
          <w:tcPr>
            <w:tcW w:type="dxa" w:w="3650"/>
          </w:tcPr>
          <w:p>
            <w:pPr>
              <w:keepLines/>
              <w:spacing w:after="0" w:line="276" w:lineRule="auto"/>
            </w:pPr>
            <w:r>
              <w:rPr>
                <w:rFonts w:ascii="Calibri" w:hAnsi="Calibri" w:eastAsia="Microsoft YaHei"/>
                <w:color w:val="0B2545"/>
                <w:sz w:val="16"/>
              </w:rPr>
              <w:t>装置在线/实时/常规使用</w:t>
            </w:r>
          </w:p>
        </w:tc>
        <w:tc>
          <w:tcPr>
            <w:tcW w:type="dxa" w:w="850"/>
          </w:tcPr>
          <w:p>
            <w:pPr>
              <w:keepLines/>
              <w:spacing w:after="0" w:line="276" w:lineRule="auto"/>
            </w:pPr>
            <w:r>
              <w:rPr>
                <w:rFonts w:ascii="Calibri" w:hAnsi="Calibri" w:eastAsia="Microsoft YaHei"/>
                <w:color w:val="0B2545"/>
                <w:sz w:val="16"/>
              </w:rPr>
              <w:t>D4</w:t>
            </w:r>
          </w:p>
        </w:tc>
        <w:tc>
          <w:tcPr>
            <w:tcW w:type="dxa" w:w="4010"/>
          </w:tcPr>
          <w:p>
            <w:pPr>
              <w:keepLines/>
              <w:spacing w:after="0" w:line="276" w:lineRule="auto"/>
            </w:pPr>
            <w:r>
              <w:rPr>
                <w:rFonts w:ascii="Calibri" w:hAnsi="Calibri" w:eastAsia="Microsoft YaHei"/>
                <w:color w:val="0B2545"/>
                <w:sz w:val="16"/>
              </w:rPr>
              <w:t>常规装置工作流</w:t>
            </w:r>
          </w:p>
        </w:tc>
      </w:tr>
    </w:tbl>
    <w:p>
      <w:pPr>
        <w:spacing w:before="0" w:after="60"/>
      </w:pPr>
    </w:p>
    <w:tbl>
      <w:tblPr>
        <w:tblStyle w:val="TableGrid"/>
        <w:tblW w:type="dxa" w:w="9360"/>
        <w:jc w:val="left"/>
        <w:tblLayout w:type="fixed"/>
        <w:tblLook w:firstColumn="1" w:firstRow="1" w:lastColumn="0" w:lastRow="0" w:noHBand="0" w:noVBand="1" w:val="04A0"/>
        <w:tblInd w:w="120" w:type="dxa"/>
      </w:tblPr>
      <w:tblGrid>
        <w:gridCol w:w="9360"/>
      </w:tblGrid>
      <w:tr>
        <w:trPr>
          <w:cantSplit/>
        </w:trPr>
        <w:tc>
          <w:tcPr>
            <w:tcW w:type="dxa" w:w="9360"/>
            <w:tcMar>
              <w:top w:w="80" w:type="dxa"/>
              <w:bottom w:w="80" w:type="dxa"/>
              <w:start w:w="120" w:type="dxa"/>
              <w:end w:w="120" w:type="dxa"/>
            </w:tcMar>
            <w:vAlign w:val="center"/>
            <w:shd w:fill="F4F6F9"/>
          </w:tcPr>
          <w:p>
            <w:pPr>
              <w:keepNext/>
              <w:keepLines/>
              <w:spacing w:after="40"/>
            </w:pPr>
            <w:r>
              <w:rPr>
                <w:rFonts w:ascii="Calibri" w:hAnsi="Calibri" w:eastAsia="Microsoft YaHei"/>
                <w:b/>
                <w:color w:val="008C95"/>
                <w:sz w:val="17"/>
              </w:rPr>
              <w:t>禁止外推</w:t>
            </w:r>
          </w:p>
          <w:p>
            <w:pPr>
              <w:spacing w:after="0"/>
            </w:pPr>
            <w:r>
              <w:rPr>
                <w:rFonts w:ascii="Calibri" w:hAnsi="Calibri" w:eastAsia="Microsoft YaHei"/>
                <w:color w:val="0B2545"/>
                <w:sz w:val="20"/>
              </w:rPr>
              <w:t>E4 只说明真实装置在线、实时或常规使用，不自动等于 D5。D5 必须有正式审批、配置责任、独立测试、质量保证和生命周期证据。</w:t>
            </w:r>
          </w:p>
        </w:tc>
      </w:tr>
    </w:tbl>
    <w:p>
      <w:pPr>
        <w:keepNext/>
        <w:pageBreakBefore/>
        <w:spacing w:before="0" w:after="100"/>
      </w:pPr>
      <w:r>
        <w:rPr>
          <w:rFonts w:ascii="Calibri" w:hAnsi="Calibri" w:eastAsia="Microsoft YaHei"/>
          <w:b/>
          <w:caps/>
          <w:color w:val="008C95"/>
          <w:sz w:val="17"/>
        </w:rPr>
        <w:t>04 / PLANT &amp; LIFECYCLE</w:t>
      </w:r>
    </w:p>
    <w:p>
      <w:pPr>
        <w:pStyle w:val="Heading1"/>
      </w:pPr>
      <w:r>
        <w:t>从实验装置到聚变电厂：诊断目标从丰富观测转向长期可信与可维护</w:t>
      </w:r>
    </w:p>
    <w:p>
      <w:pPr>
        <w:pStyle w:val="Heading2"/>
      </w:pPr>
      <w:r>
        <w:t>AI 的正确位置：受约束的加速器，而不是事实来源</w:t>
      </w:r>
    </w:p>
    <w:p>
      <w:pPr>
        <w:widowControl/>
      </w:pPr>
      <w:r>
        <w:rPr>
          <w:rFonts w:ascii="Calibri" w:hAnsi="Calibri" w:eastAsia="Microsoft YaHei"/>
        </w:rPr>
        <w:t>AI 可在诊断链中承担六类工作：原始信号去噪与缺失补全；图像、光谱和时序特征提取；高代价反演或前向模型的代理；多诊断状态融合；异常、漂移和传感器故障检测；实验后自动标注与知识检索。基础模型还可连接论文、配置、日志和分析代码，帮助专家追溯证据。</w:t>
      </w:r>
    </w:p>
    <w:p>
      <w:pPr>
        <w:widowControl/>
      </w:pPr>
      <w:r>
        <w:rPr>
          <w:rFonts w:ascii="Calibri" w:hAnsi="Calibri" w:eastAsia="Microsoft YaHei"/>
        </w:rPr>
        <w:t>每类应用都需保留物理和计量边界。训练集不等于运行域；高置信分类不等于标定可追溯；跨装置迁移需要重新验证几何、噪声、场景和标签定义；生成模型不能填补本来不可观测的状态并把结果伪装成实测。在线 AI 产品至少发布 OOD 指标、输入质量、版本、延迟、校准度、残差和降级状态。进入控制前还需最坏情况测试、影子运行、权限门和回滚；机器保护与核安全相关测量应保留独立、确定性和经批准的链路。</w:t>
      </w:r>
    </w:p>
    <w:p>
      <w:pPr>
        <w:pStyle w:val="Heading2"/>
      </w:pPr>
      <w:r>
        <w:t>工程设备诊断为什么必须纳入同一知识域</w:t>
      </w:r>
    </w:p>
    <w:p>
      <w:pPr>
        <w:widowControl/>
      </w:pPr>
      <w:r>
        <w:rPr>
          <w:rFonts w:ascii="Calibri" w:hAnsi="Calibri" w:eastAsia="Microsoft YaHei"/>
        </w:rPr>
        <w:t>聚变电厂数字孪生的实体对象不只等离子体。磁体和电源、真空室与支撑、低温系统、真空与排气、氚与燃料循环、包层与冷却、热交换与汽轮发电、远程维护设备共同决定可用率和安全。力、位移、应变、应力、温度、振动、声发射、流量、压力、氚浓度和电气量等工程传感器，需要与电磁、热流体、结构、辐照和寿命模型对接。</w:t>
      </w:r>
    </w:p>
    <w:p>
      <w:pPr>
        <w:widowControl/>
      </w:pPr>
      <w:r>
        <w:rPr>
          <w:rFonts w:ascii="Calibri" w:hAnsi="Calibri" w:eastAsia="Microsoft YaHei"/>
        </w:rPr>
        <w:t>工程诊断与等离子体诊断共享时间、配置和事件，但验证方式不同。应力往往不是传感器直接测量，而是由应变、温度、边界条件和材料模型反演；热负荷需要表面温度、发射率、热传导和冷却条件共同推断；磁体失超检测要求极低延迟和独立保护，而寿命模型关注长期累积。网站因此把 DG8 单列，并在工程仿真知识域与聚变诊断知识域之间建立交叉链接。</w:t>
      </w:r>
    </w:p>
    <w:p>
      <w:pPr>
        <w:pStyle w:val="Heading2"/>
      </w:pPr>
      <w:r>
        <w:t>面向数字孪生的参考架构</w:t>
      </w:r>
    </w:p>
    <w:p>
      <w:pPr>
        <w:widowControl/>
      </w:pPr>
      <w:r>
        <w:rPr>
          <w:rFonts w:ascii="Calibri" w:hAnsi="Calibri" w:eastAsia="Microsoft YaHei"/>
        </w:rPr>
        <w:t>第一层是实体与仪器层：装置、等离子体、电厂设备、传感器、参考源和采集电子学。第二层是时间与配置层：统一时钟、坐标、几何、单位、通道、场景、校准和数据血缘。第三层是观测产品层：原始、校正、反演和融合状态，均带质量与不确定度。第四层是模型层：物理/工程模型、诊断前向模型、代理模型和故障模型。第五层是决策服务层：实验解释、场景评估、控制状态、机器保护输入、维护建议和寿命预测。第六层是证据与治理层：VVUQ、适用域、版本、审批、权限、回放和审计。</w:t>
      </w:r>
    </w:p>
    <w:p>
      <w:pPr>
        <w:widowControl/>
      </w:pPr>
      <w:r>
        <w:rPr>
          <w:rFonts w:ascii="Calibri" w:hAnsi="Calibri" w:eastAsia="Microsoft YaHei"/>
        </w:rPr>
        <w:t>数据流不应只向上。模型预测要通过合成诊断返回观测空间，与实测残差比较；残差更新模型适用域、标定和不确定度；操作、维护和校准事件再写回配置基线。这个闭环才是诊断数字孪生，而不是把历史数据库加一个三维界面。</w:t>
      </w:r>
    </w:p>
    <w:p>
      <w:pPr>
        <w:pStyle w:val="Heading2"/>
      </w:pPr>
      <w:r>
        <w:t>验证路线：从仪器到决策逐层建立证据</w:t>
      </w:r>
    </w:p>
    <w:p>
      <w:pPr>
        <w:widowControl/>
      </w:pPr>
      <w:r>
        <w:rPr>
          <w:rFonts w:ascii="Calibri" w:hAnsi="Calibri" w:eastAsia="Microsoft YaHei"/>
        </w:rPr>
        <w:t>仪器级验证检查传感器、光路、探测器、电子学、动态范围、带宽、噪声和环境适应。计量级验证检查参考标准、校准转移、重复性、漂移和不确定度预算。算法级验证用解析解、制造数据、合成盲测、代码间基准和数值收敛检查前向/反演。装置级验证使用真实放电、跨诊断比较、物理守恒和跨场景测试。在线级验证再增加延迟、抖动、丢包、饱和、重启、故障注入和降级。决策级验证最终回答：诊断误差会不会改变控制、保护、维护或安全判断。</w:t>
      </w:r>
    </w:p>
    <w:p>
      <w:pPr>
        <w:widowControl/>
      </w:pPr>
      <w:r>
        <w:rPr>
          <w:rFonts w:ascii="Calibri" w:hAnsi="Calibri" w:eastAsia="Microsoft YaHei"/>
        </w:rPr>
        <w:t>E0-E4 记录“证据做到哪里”，D1-D5 记录“能力部署到哪里”。实验室校准可以是 E2/D2；装置历史数据上的高质量重建可以是 E3/D2；已安装但尚未正式使用可能是 E2/D3；常规实时状态可以是 E4/D4。D5 不是“更先进”的同义词，而是正式责任、质量保证、配置控制、独立测试和生命周期治理的结果，本报告默认不把研究诊断升为 D5。</w:t>
      </w:r>
    </w:p>
    <w:p>
      <w:pPr>
        <w:keepNext/>
        <w:jc w:val="center"/>
      </w:pPr>
      <w:r>
        <w:drawing>
          <wp:inline xmlns:a="http://schemas.openxmlformats.org/drawingml/2006/main" xmlns:pic="http://schemas.openxmlformats.org/drawingml/2006/picture">
            <wp:extent cx="5577840" cy="3207258"/>
            <wp:docPr id="4" name="Picture 4" descr="图 4-1  面向数字孪生的诊断参考架构：实体、时间/配置、观测、模型、决策与证据治理。"/>
            <wp:cNvGraphicFramePr>
              <a:graphicFrameLocks noChangeAspect="1"/>
            </wp:cNvGraphicFramePr>
            <a:graphic>
              <a:graphicData uri="http://schemas.openxmlformats.org/drawingml/2006/picture">
                <pic:pic>
                  <pic:nvPicPr>
                    <pic:cNvPr id="0" name="diagnostics-digital-twin-architecture-nature.png"/>
                    <pic:cNvPicPr/>
                  </pic:nvPicPr>
                  <pic:blipFill>
                    <a:blip r:embed="rId14"/>
                    <a:stretch>
                      <a:fillRect/>
                    </a:stretch>
                  </pic:blipFill>
                  <pic:spPr>
                    <a:xfrm>
                      <a:off x="0" y="0"/>
                      <a:ext cx="5577840" cy="3207258"/>
                    </a:xfrm>
                    <a:prstGeom prst="rect"/>
                  </pic:spPr>
                </pic:pic>
              </a:graphicData>
            </a:graphic>
          </wp:inline>
        </w:drawing>
      </w:r>
    </w:p>
    <w:p>
      <w:pPr>
        <w:pStyle w:val="Caption"/>
        <w:jc w:val="center"/>
      </w:pPr>
      <w:r>
        <w:t>图 4-1  面向数字孪生的诊断参考架构：实体、时间/配置、观测、模型、决策与证据治理。</w:t>
      </w:r>
    </w:p>
    <w:p>
      <w:pPr>
        <w:pStyle w:val="Heading2"/>
      </w:pPr>
      <w:r>
        <w:t>研究基线与一手来源边界</w:t>
      </w:r>
    </w:p>
    <w:p>
      <w:pPr>
        <w:numPr>
          <w:ilvl w:val="0"/>
          <w:numId w:val="10"/>
        </w:numPr>
        <w:spacing w:after="80" w:line="300" w:lineRule="auto"/>
      </w:pPr>
      <w:r>
        <w:rPr>
          <w:rFonts w:ascii="Calibri" w:hAnsi="Calibri" w:eastAsia="Microsoft YaHei"/>
        </w:rPr>
        <w:t>ITER Engineering Basis Handbook, Vol. 1, Chapter 4：给出 ITER 诊断类别、用途以及核环境、真空、氚、压力事故、活化和远程维护约束。https://www.iter.org/sites/default/files/media/2026-01/vol.1_ch.04_role_and_distinctive_feature_dv4qgd_v2_0.pdf</w:t>
      </w:r>
    </w:p>
    <w:p>
      <w:pPr>
        <w:numPr>
          <w:ilvl w:val="0"/>
          <w:numId w:val="10"/>
        </w:numPr>
        <w:spacing w:after="80" w:line="300" w:lineRule="auto"/>
      </w:pPr>
      <w:r>
        <w:rPr>
          <w:rFonts w:ascii="Calibri" w:hAnsi="Calibri" w:eastAsia="Microsoft YaHei"/>
        </w:rPr>
        <w:t>ITER Research Plan within the Staged Approach：给出分阶段测量需求和首批诊断系统边界。https://www.iter.org/sites/default/files/ITER_Research_Plan_within_the_Staged_Approach_levIII_provversion.pdf</w:t>
      </w:r>
    </w:p>
    <w:p>
      <w:pPr>
        <w:numPr>
          <w:ilvl w:val="0"/>
          <w:numId w:val="10"/>
        </w:numPr>
        <w:spacing w:after="80" w:line="300" w:lineRule="auto"/>
      </w:pPr>
      <w:r>
        <w:rPr>
          <w:rFonts w:ascii="Calibri" w:hAnsi="Calibri" w:eastAsia="Microsoft YaHei"/>
        </w:rPr>
        <w:t>ITPEA Diagnostics Topical Group：把机器保护、控制、性能评估和物理理解作为反应堆级诊断需求，并组织跨装置研发。https://www.iter.org/scientists/itpea/diagnostics</w:t>
      </w:r>
    </w:p>
    <w:p>
      <w:pPr>
        <w:numPr>
          <w:ilvl w:val="0"/>
          <w:numId w:val="10"/>
        </w:numPr>
        <w:spacing w:after="80" w:line="300" w:lineRule="auto"/>
      </w:pPr>
      <w:r>
        <w:rPr>
          <w:rFonts w:ascii="Calibri" w:hAnsi="Calibri" w:eastAsia="Microsoft YaHei"/>
        </w:rPr>
        <w:t>Costley et al., Technological challenges of ITER diagnostics, Fusion Engineering and Design 74 (2005) 109-119, DOI 10.1016/j.fusengdes.2005.08.026。</w:t>
      </w:r>
    </w:p>
    <w:p>
      <w:pPr>
        <w:numPr>
          <w:ilvl w:val="0"/>
          <w:numId w:val="10"/>
        </w:numPr>
        <w:spacing w:after="80" w:line="300" w:lineRule="auto"/>
      </w:pPr>
      <w:r>
        <w:rPr>
          <w:rFonts w:ascii="Calibri" w:hAnsi="Calibri" w:eastAsia="Microsoft YaHei"/>
        </w:rPr>
        <w:t>Neilson et al., Diagnostics for Burning Plasmas, IEEE Transactions on Plasma Science 50 (2022) 4144-4149, DOI 10.1109/TPS.2022.3178962。</w:t>
      </w:r>
    </w:p>
    <w:p>
      <w:pPr>
        <w:numPr>
          <w:ilvl w:val="0"/>
          <w:numId w:val="10"/>
        </w:numPr>
        <w:spacing w:after="80" w:line="300" w:lineRule="auto"/>
      </w:pPr>
      <w:r>
        <w:rPr>
          <w:rFonts w:ascii="Calibri" w:hAnsi="Calibri" w:eastAsia="Microsoft YaHei"/>
        </w:rPr>
        <w:t>Fischer et al., Integrated Data Analysis and Validation：系统说明联合诊断、Bayesian 推断和不确定度的价值。https://arxiv.org/abs/2411.09270</w:t>
      </w:r>
    </w:p>
    <w:p>
      <w:pPr>
        <w:numPr>
          <w:ilvl w:val="0"/>
          <w:numId w:val="10"/>
        </w:numPr>
        <w:spacing w:after="80" w:line="300" w:lineRule="auto"/>
      </w:pPr>
      <w:r>
        <w:rPr>
          <w:rFonts w:ascii="Calibri" w:hAnsi="Calibri" w:eastAsia="Microsoft YaHei"/>
        </w:rPr>
        <w:t>Tokamak Energy Team, From minimum-viable-products to full models, Plasma Physics and Controlled Fusion 66 (2024) 095011, DOI 10.1088/1361-6587/ad668f：展示诊断前向模型从设计、调试到实验解释的分步路线。</w:t>
      </w:r>
    </w:p>
    <w:p>
      <w:pPr>
        <w:numPr>
          <w:ilvl w:val="0"/>
          <w:numId w:val="10"/>
        </w:numPr>
        <w:spacing w:after="80" w:line="300" w:lineRule="auto"/>
      </w:pPr>
      <w:r>
        <w:rPr>
          <w:rFonts w:ascii="Calibri" w:hAnsi="Calibri" w:eastAsia="Microsoft YaHei"/>
        </w:rPr>
        <w:t>CHERAB 官方文档：面向融合光谱诊断的前向建模库。https://www.cherab.info/</w:t>
      </w:r>
    </w:p>
    <w:p>
      <w:pPr>
        <w:widowControl/>
      </w:pPr>
      <w:r>
        <w:rPr>
          <w:rFonts w:ascii="Calibri" w:hAnsi="Calibri" w:eastAsia="Microsoft YaHei"/>
        </w:rPr>
        <w:t>这些来源定义架构与共性边界；具体技术、装置、论文和代码关系以本专题结构化条目为准。公开论文没有说明的实时性、安全资格、完整源码、标定不确定度或装置状态，不从相邻事实推断。</w:t>
      </w:r>
    </w:p>
    <w:p>
      <w:pPr>
        <w:keepNext/>
        <w:pageBreakBefore/>
        <w:spacing w:before="0" w:after="100"/>
      </w:pPr>
      <w:r>
        <w:rPr>
          <w:rFonts w:ascii="Calibri" w:hAnsi="Calibri" w:eastAsia="Microsoft YaHei"/>
          <w:b/>
          <w:caps/>
          <w:color w:val="008C95"/>
          <w:sz w:val="17"/>
        </w:rPr>
        <w:t>05 / DG0 / SYSTEMS ENGINEERING, METROLOGY &amp; HEALTH</w:t>
      </w:r>
    </w:p>
    <w:p>
      <w:pPr>
        <w:pStyle w:val="Heading1"/>
      </w:pPr>
      <w:r>
        <w:t>诊断系统工程、计量与健康</w:t>
      </w:r>
    </w:p>
    <w:tbl>
      <w:tblPr>
        <w:tblStyle w:val="TableGrid"/>
        <w:tblW w:type="dxa" w:w="9360"/>
        <w:jc w:val="left"/>
        <w:tblLayout w:type="fixed"/>
        <w:tblLook w:firstColumn="1" w:firstRow="1" w:lastColumn="0" w:lastRow="0" w:noHBand="0" w:noVBand="1" w:val="04A0"/>
        <w:tblInd w:w="120" w:type="dxa"/>
      </w:tblPr>
      <w:tblGrid>
        <w:gridCol w:w="9360"/>
      </w:tblGrid>
      <w:tr>
        <w:trPr>
          <w:cantSplit/>
        </w:trPr>
        <w:tc>
          <w:tcPr>
            <w:tcW w:type="dxa" w:w="9360"/>
            <w:tcMar>
              <w:top w:w="80" w:type="dxa"/>
              <w:bottom w:w="80" w:type="dxa"/>
              <w:start w:w="120" w:type="dxa"/>
              <w:end w:w="120" w:type="dxa"/>
            </w:tcMar>
            <w:vAlign w:val="center"/>
            <w:shd w:fill="F2F4F7"/>
          </w:tcPr>
          <w:p>
            <w:pPr>
              <w:keepNext/>
              <w:keepLines/>
              <w:spacing w:after="40"/>
            </w:pPr>
            <w:r>
              <w:rPr>
                <w:rFonts w:ascii="Calibri" w:hAnsi="Calibri" w:eastAsia="Microsoft YaHei"/>
                <w:b/>
                <w:color w:val="008C95"/>
                <w:sz w:val="17"/>
              </w:rPr>
              <w:t>CHAPTER SCOPE</w:t>
            </w:r>
          </w:p>
          <w:p>
            <w:pPr>
              <w:spacing w:after="0"/>
            </w:pPr>
            <w:r>
              <w:rPr>
                <w:rFonts w:ascii="Calibri" w:hAnsi="Calibri" w:eastAsia="Microsoft YaHei"/>
                <w:color w:val="0B2545"/>
                <w:sz w:val="20"/>
              </w:rPr>
              <w:t>本章全文展开 8 项主工作，并列出 27 项跨域关联工作。关联工作只在其主任务章节全文展开，避免重复计数。</w:t>
            </w:r>
          </w:p>
        </w:tc>
      </w:tr>
    </w:tbl>
    <w:p>
      <w:pPr>
        <w:spacing w:after="40"/>
      </w:pPr>
    </w:p>
    <w:p>
      <w:pPr>
        <w:keepNext/>
        <w:jc w:val="center"/>
      </w:pPr>
      <w:r>
        <w:drawing>
          <wp:inline xmlns:a="http://schemas.openxmlformats.org/drawingml/2006/main" xmlns:pic="http://schemas.openxmlformats.org/drawingml/2006/picture">
            <wp:extent cx="5486400" cy="3154680"/>
            <wp:docPr id="5" name="Picture 5" descr="图 5-1  诊断系统工程、计量与健康的关键链路。"/>
            <wp:cNvGraphicFramePr>
              <a:graphicFrameLocks noChangeAspect="1"/>
            </wp:cNvGraphicFramePr>
            <a:graphic>
              <a:graphicData uri="http://schemas.openxmlformats.org/drawingml/2006/picture">
                <pic:pic>
                  <pic:nvPicPr>
                    <pic:cNvPr id="0" name="diagnostics-measurement-chain-nature.png"/>
                    <pic:cNvPicPr/>
                  </pic:nvPicPr>
                  <pic:blipFill>
                    <a:blip r:embed="rId11"/>
                    <a:stretch>
                      <a:fillRect/>
                    </a:stretch>
                  </pic:blipFill>
                  <pic:spPr>
                    <a:xfrm>
                      <a:off x="0" y="0"/>
                      <a:ext cx="5486400" cy="3154680"/>
                    </a:xfrm>
                    <a:prstGeom prst="rect"/>
                  </pic:spPr>
                </pic:pic>
              </a:graphicData>
            </a:graphic>
          </wp:inline>
        </w:drawing>
      </w:r>
    </w:p>
    <w:p>
      <w:pPr>
        <w:pStyle w:val="Caption"/>
        <w:jc w:val="center"/>
      </w:pPr>
      <w:r>
        <w:t>图 5-1  诊断系统工程、计量与健康的关键链路。</w:t>
      </w:r>
    </w:p>
    <w:p>
      <w:pPr>
        <w:pStyle w:val="Heading3"/>
        <w:keepNext/>
      </w:pPr>
      <w:r>
        <w:t>DG0.01  IMAS 接口数据结构与数据字典</w:t>
      </w:r>
    </w:p>
    <w:p>
      <w:pPr>
        <w:keepNext/>
        <w:spacing w:after="80"/>
      </w:pPr>
      <w:r>
        <w:rPr>
          <w:rFonts w:ascii="Calibri" w:hAnsi="Calibri" w:eastAsia="Microsoft YaHei"/>
          <w:i/>
          <w:color w:val="566573"/>
          <w:sz w:val="18"/>
        </w:rPr>
        <w:t>IMAS Interface Data Structures and Data Dictionary</w:t>
      </w:r>
    </w:p>
    <w:tbl>
      <w:tblPr>
        <w:tblStyle w:val="TableGrid"/>
        <w:tblW w:type="dxa" w:w="9360"/>
        <w:jc w:val="left"/>
        <w:tblLayout w:type="fixed"/>
        <w:tblLook w:firstColumn="1" w:firstRow="1" w:lastColumn="0" w:lastRow="0" w:noHBand="0" w:noVBand="1" w:val="04A0"/>
        <w:tblInd w:w="120" w:type="dxa"/>
      </w:tblPr>
      <w:tblGrid>
        <w:gridCol w:w="1200"/>
        <w:gridCol w:w="750"/>
        <w:gridCol w:w="750"/>
        <w:gridCol w:w="2100"/>
        <w:gridCol w:w="4560"/>
      </w:tblGrid>
      <w:tr>
        <w:trPr>
          <w:tblHeader w:val="true"/>
        </w:trPr>
        <w:tc>
          <w:tcPr>
            <w:tcW w:type="dxa" w:w="12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工作 ID</w:t>
            </w:r>
          </w:p>
        </w:tc>
        <w:tc>
          <w:tcPr>
            <w:tcW w:type="dxa" w:w="7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证据</w:t>
            </w:r>
          </w:p>
        </w:tc>
        <w:tc>
          <w:tcPr>
            <w:tcW w:type="dxa" w:w="7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部署</w:t>
            </w:r>
          </w:p>
        </w:tc>
        <w:tc>
          <w:tcPr>
            <w:tcW w:type="dxa" w:w="21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技术族</w:t>
            </w:r>
          </w:p>
        </w:tc>
        <w:tc>
          <w:tcPr>
            <w:tcW w:type="dxa" w:w="456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装置</w:t>
            </w:r>
          </w:p>
        </w:tc>
      </w:tr>
      <w:tr>
        <w:trPr>
          <w:cantSplit/>
        </w:trPr>
        <w:tc>
          <w:tcPr>
            <w:tcW w:type="dxa" w:w="1200"/>
          </w:tcPr>
          <w:p>
            <w:pPr>
              <w:keepLines/>
              <w:spacing w:after="0" w:line="276" w:lineRule="auto"/>
            </w:pPr>
            <w:r>
              <w:rPr>
                <w:rFonts w:ascii="Calibri" w:hAnsi="Calibri" w:eastAsia="Microsoft YaHei"/>
                <w:color w:val="0B2545"/>
                <w:sz w:val="15"/>
              </w:rPr>
              <w:t>DSI-001</w:t>
            </w:r>
          </w:p>
        </w:tc>
        <w:tc>
          <w:tcPr>
            <w:tcW w:type="dxa" w:w="750"/>
          </w:tcPr>
          <w:p>
            <w:pPr>
              <w:keepLines/>
              <w:spacing w:after="0" w:line="276" w:lineRule="auto"/>
            </w:pPr>
            <w:r>
              <w:rPr>
                <w:rFonts w:ascii="Calibri" w:hAnsi="Calibri" w:eastAsia="Microsoft YaHei"/>
                <w:color w:val="0B2545"/>
                <w:sz w:val="15"/>
              </w:rPr>
              <w:t>E3</w:t>
            </w:r>
          </w:p>
        </w:tc>
        <w:tc>
          <w:tcPr>
            <w:tcW w:type="dxa" w:w="750"/>
          </w:tcPr>
          <w:p>
            <w:pPr>
              <w:keepLines/>
              <w:spacing w:after="0" w:line="276" w:lineRule="auto"/>
            </w:pPr>
            <w:r>
              <w:rPr>
                <w:rFonts w:ascii="Calibri" w:hAnsi="Calibri" w:eastAsia="Microsoft YaHei"/>
                <w:color w:val="0B2545"/>
                <w:sz w:val="15"/>
              </w:rPr>
              <w:t>D3</w:t>
            </w:r>
          </w:p>
        </w:tc>
        <w:tc>
          <w:tcPr>
            <w:tcW w:type="dxa" w:w="2100"/>
          </w:tcPr>
          <w:p>
            <w:pPr>
              <w:keepLines/>
              <w:spacing w:after="0" w:line="276" w:lineRule="auto"/>
            </w:pPr>
            <w:r>
              <w:rPr>
                <w:rFonts w:ascii="Calibri" w:hAnsi="Calibri" w:eastAsia="Microsoft YaHei"/>
                <w:color w:val="0B2545"/>
                <w:sz w:val="15"/>
              </w:rPr>
              <w:t>COMPUTATIONAL</w:t>
            </w:r>
          </w:p>
        </w:tc>
        <w:tc>
          <w:tcPr>
            <w:tcW w:type="dxa" w:w="4560"/>
          </w:tcPr>
          <w:p>
            <w:pPr>
              <w:keepLines/>
              <w:spacing w:after="0" w:line="276" w:lineRule="auto"/>
            </w:pPr>
            <w:r>
              <w:rPr>
                <w:rFonts w:ascii="Calibri" w:hAnsi="Calibri" w:eastAsia="Microsoft YaHei"/>
                <w:color w:val="0B2545"/>
                <w:sz w:val="15"/>
              </w:rPr>
              <w:t>ITER；EUROfusion devices；JET；ASDEX Upgrade；WEST；TCV；W7-X</w:t>
            </w:r>
          </w:p>
        </w:tc>
      </w:tr>
    </w:tbl>
    <w:p>
      <w:pPr>
        <w:spacing w:before="0" w:after="60"/>
      </w:pPr>
    </w:p>
    <w:p>
      <w:pPr>
        <w:widowControl/>
      </w:pPr>
      <w:r>
        <w:rPr>
          <w:rFonts w:ascii="Calibri" w:hAnsi="Calibri" w:eastAsia="Microsoft YaHei"/>
          <w:b/>
          <w:color w:val="1F4D78"/>
        </w:rPr>
        <w:t>解决问题：</w:t>
      </w:r>
      <w:r>
        <w:rPr>
          <w:rFonts w:ascii="Calibri" w:hAnsi="Calibri" w:eastAsia="Microsoft YaHei"/>
        </w:rPr>
        <w:t>跨装置、跨代码与跨诊断的数据命名、单位、坐标、时间、误差和血缘不一致，使联合分析与长期可复现性失效。</w:t>
      </w:r>
    </w:p>
    <w:p>
      <w:pPr>
        <w:widowControl/>
      </w:pPr>
      <w:r>
        <w:rPr>
          <w:rFonts w:ascii="Calibri" w:hAnsi="Calibri" w:eastAsia="Microsoft YaHei"/>
          <w:b/>
          <w:color w:val="1F4D78"/>
        </w:rPr>
        <w:t>测量原理：</w:t>
      </w:r>
      <w:r>
        <w:rPr>
          <w:rFonts w:ascii="Calibri" w:hAnsi="Calibri" w:eastAsia="Microsoft YaHei"/>
        </w:rPr>
        <w:t>不直接测量；把原始、处理后和模拟数据映射到版本化 IDS，并用机器描述和数据字典规定结构、单位、坐标及关系。</w:t>
      </w:r>
    </w:p>
    <w:p>
      <w:pPr>
        <w:widowControl/>
      </w:pPr>
      <w:r>
        <w:rPr>
          <w:rFonts w:ascii="Calibri" w:hAnsi="Calibri" w:eastAsia="Microsoft YaHei"/>
          <w:b/>
          <w:color w:val="1F4D78"/>
        </w:rPr>
        <w:t>测量产品：</w:t>
      </w:r>
      <w:r>
        <w:rPr>
          <w:rFonts w:ascii="Calibri" w:hAnsi="Calibri" w:eastAsia="Microsoft YaHei"/>
        </w:rPr>
        <w:t>signals；profiles；equilibrium；geometry；units；uncertainty；provenance</w:t>
      </w:r>
    </w:p>
    <w:p>
      <w:pPr>
        <w:widowControl/>
      </w:pPr>
      <w:r>
        <w:rPr>
          <w:rFonts w:ascii="Calibri" w:hAnsi="Calibri" w:eastAsia="Microsoft YaHei"/>
          <w:b/>
          <w:color w:val="1F4D78"/>
        </w:rPr>
        <w:t>时空分辨与覆盖：</w:t>
      </w:r>
      <w:r>
        <w:rPr>
          <w:rFonts w:ascii="Calibri" w:hAnsi="Calibri" w:eastAsia="Microsoft YaHei"/>
        </w:rPr>
        <w:t>时间：因装置、采集和分析链而异；原始来源未给出统一数值。；空间：由视线、几何和反演设定；原始来源未给出统一数值。</w:t>
      </w:r>
    </w:p>
    <w:p>
      <w:pPr>
        <w:widowControl/>
      </w:pPr>
      <w:r>
        <w:rPr>
          <w:rFonts w:ascii="Calibri" w:hAnsi="Calibri" w:eastAsia="Microsoft YaHei"/>
          <w:b/>
          <w:color w:val="1F4D78"/>
        </w:rPr>
        <w:t>仪器与传感器：</w:t>
      </w:r>
      <w:r>
        <w:rPr>
          <w:rFonts w:ascii="Calibri" w:hAnsi="Calibri" w:eastAsia="Microsoft YaHei"/>
        </w:rPr>
        <w:t>HDF5/MDSplus/UDA compatible backends；analysis servers</w:t>
      </w:r>
    </w:p>
    <w:p>
      <w:pPr>
        <w:widowControl/>
      </w:pPr>
      <w:r>
        <w:rPr>
          <w:rFonts w:ascii="Calibri" w:hAnsi="Calibri" w:eastAsia="Microsoft YaHei"/>
          <w:b/>
          <w:color w:val="1F4D78"/>
        </w:rPr>
        <w:t>标定与质量：</w:t>
      </w:r>
      <w:r>
        <w:rPr>
          <w:rFonts w:ascii="Calibri" w:hAnsi="Calibri" w:eastAsia="Microsoft YaHei"/>
        </w:rPr>
        <w:t>契约可保存校准量、几何和误差，但校准算法与证书仍由各诊断负责；数据字典版本必须随结果固化。</w:t>
      </w:r>
    </w:p>
    <w:p>
      <w:pPr>
        <w:widowControl/>
      </w:pPr>
      <w:r>
        <w:rPr>
          <w:rFonts w:ascii="Calibri" w:hAnsi="Calibri" w:eastAsia="Microsoft YaHei"/>
          <w:b/>
          <w:color w:val="1F4D78"/>
        </w:rPr>
        <w:t>反演与分析：</w:t>
      </w:r>
      <w:r>
        <w:rPr>
          <w:rFonts w:ascii="Calibri" w:hAnsi="Calibri" w:eastAsia="Microsoft YaHei"/>
        </w:rPr>
        <w:t>schema validation；cross-code data mapping；integrated-workflow exchange</w:t>
      </w:r>
    </w:p>
    <w:p>
      <w:pPr>
        <w:widowControl/>
      </w:pPr>
      <w:r>
        <w:rPr>
          <w:rFonts w:ascii="Calibri" w:hAnsi="Calibri" w:eastAsia="Microsoft YaHei"/>
          <w:b/>
          <w:color w:val="1F4D78"/>
        </w:rPr>
        <w:t>验证与应用：</w:t>
      </w:r>
      <w:r>
        <w:rPr>
          <w:rFonts w:ascii="Calibri" w:hAnsi="Calibri" w:eastAsia="Microsoft YaHei"/>
        </w:rPr>
        <w:t>ITER 与 EUROfusion 的集成建模工作流持续使用；论文报告代码集成、数据核验和模型验证，2025 年基础设施与物理模型开放源代码。</w:t>
      </w:r>
    </w:p>
    <w:p>
      <w:pPr>
        <w:widowControl/>
      </w:pPr>
      <w:r>
        <w:rPr>
          <w:rFonts w:ascii="Calibri" w:hAnsi="Calibri" w:eastAsia="Microsoft YaHei"/>
          <w:b/>
          <w:color w:val="1F4D78"/>
        </w:rPr>
        <w:t>局限与边界：</w:t>
      </w:r>
      <w:r>
        <w:rPr>
          <w:rFonts w:ascii="Calibri" w:hAnsi="Calibri" w:eastAsia="Microsoft YaHei"/>
        </w:rPr>
        <w:t>IDS 语义覆盖不等于源诊断可比；时间基准、几何误差、校准证书、质量位和后验协方差在不同适配器中仍可能丢失。</w:t>
      </w:r>
    </w:p>
    <w:tbl>
      <w:tblPr>
        <w:tblStyle w:val="TableGrid"/>
        <w:tblW w:type="dxa" w:w="9360"/>
        <w:jc w:val="left"/>
        <w:tblLayout w:type="fixed"/>
        <w:tblLook w:firstColumn="1" w:firstRow="1" w:lastColumn="0" w:lastRow="0" w:noHBand="0" w:noVBand="1" w:val="04A0"/>
        <w:tblInd w:w="120" w:type="dxa"/>
      </w:tblPr>
      <w:tblGrid>
        <w:gridCol w:w="9360"/>
      </w:tblGrid>
      <w:tr>
        <w:trPr>
          <w:cantSplit/>
        </w:trPr>
        <w:tc>
          <w:tcPr>
            <w:tcW w:type="dxa" w:w="9360"/>
            <w:tcMar>
              <w:top w:w="80" w:type="dxa"/>
              <w:bottom w:w="80" w:type="dxa"/>
              <w:start w:w="120" w:type="dxa"/>
              <w:end w:w="120" w:type="dxa"/>
            </w:tcMar>
            <w:vAlign w:val="center"/>
            <w:shd w:fill="EEF7F7"/>
          </w:tcPr>
          <w:p>
            <w:pPr>
              <w:keepNext/>
              <w:keepLines/>
              <w:spacing w:after="40"/>
            </w:pPr>
            <w:r>
              <w:rPr>
                <w:rFonts w:ascii="Calibri" w:hAnsi="Calibri" w:eastAsia="Microsoft YaHei"/>
                <w:b/>
                <w:color w:val="008C95"/>
                <w:sz w:val="17"/>
              </w:rPr>
              <w:t>DIGITAL-TWIN RELEVANCE</w:t>
            </w:r>
          </w:p>
          <w:p>
            <w:pPr>
              <w:spacing w:after="0"/>
            </w:pPr>
            <w:r>
              <w:rPr>
                <w:rFonts w:ascii="Calibri" w:hAnsi="Calibri" w:eastAsia="Microsoft YaHei"/>
                <w:color w:val="0B2545"/>
                <w:sz w:val="20"/>
              </w:rPr>
              <w:t>是数字孪生最接近跨域数据契约的现成基础，但还需事件语义、在线质量状态、模型版本和不确定度传播的强制规则。</w:t>
            </w:r>
          </w:p>
        </w:tc>
      </w:tr>
    </w:tbl>
    <w:p>
      <w:pPr>
        <w:spacing w:after="40"/>
      </w:pPr>
    </w:p>
    <w:tbl>
      <w:tblPr>
        <w:tblStyle w:val="TableGrid"/>
        <w:tblW w:type="dxa" w:w="9360"/>
        <w:jc w:val="left"/>
        <w:tblLayout w:type="fixed"/>
        <w:tblLook w:firstColumn="1" w:firstRow="1" w:lastColumn="0" w:lastRow="0" w:noHBand="0" w:noVBand="1" w:val="04A0"/>
        <w:tblInd w:w="120" w:type="dxa"/>
      </w:tblPr>
      <w:tblGrid>
        <w:gridCol w:w="850"/>
        <w:gridCol w:w="2500"/>
        <w:gridCol w:w="1600"/>
        <w:gridCol w:w="2300"/>
        <w:gridCol w:w="2110"/>
      </w:tblGrid>
      <w:tr>
        <w:trPr>
          <w:tblHeader w:val="true"/>
        </w:trPr>
        <w:tc>
          <w:tcPr>
            <w:tcW w:type="dxa" w:w="8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年份/类型</w:t>
            </w:r>
          </w:p>
        </w:tc>
        <w:tc>
          <w:tcPr>
            <w:tcW w:type="dxa" w:w="25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论文或软件</w:t>
            </w:r>
          </w:p>
        </w:tc>
        <w:tc>
          <w:tcPr>
            <w:tcW w:type="dxa" w:w="16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期刊/开放性</w:t>
            </w:r>
          </w:p>
        </w:tc>
        <w:tc>
          <w:tcPr>
            <w:tcW w:type="dxa" w:w="23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来源类型/关系</w:t>
            </w:r>
          </w:p>
        </w:tc>
        <w:tc>
          <w:tcPr>
            <w:tcW w:type="dxa" w:w="211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链接</w:t>
            </w:r>
          </w:p>
        </w:tc>
      </w:tr>
      <w:tr>
        <w:trPr>
          <w:cantSplit/>
        </w:trPr>
        <w:tc>
          <w:tcPr>
            <w:tcW w:type="dxa" w:w="850"/>
          </w:tcPr>
          <w:p>
            <w:pPr>
              <w:keepLines/>
              <w:spacing w:after="0" w:line="276" w:lineRule="auto"/>
            </w:pPr>
            <w:r>
              <w:rPr>
                <w:rFonts w:ascii="Calibri" w:hAnsi="Calibri" w:eastAsia="Microsoft YaHei"/>
                <w:color w:val="0B2545"/>
                <w:sz w:val="14"/>
              </w:rPr>
              <w:t>2020</w:t>
            </w:r>
          </w:p>
        </w:tc>
        <w:tc>
          <w:tcPr>
            <w:tcW w:type="dxa" w:w="2500"/>
          </w:tcPr>
          <w:p>
            <w:pPr>
              <w:keepLines/>
              <w:spacing w:after="0" w:line="276" w:lineRule="auto"/>
            </w:pPr>
            <w:r>
              <w:rPr>
                <w:rFonts w:ascii="Calibri" w:hAnsi="Calibri" w:eastAsia="Microsoft YaHei"/>
                <w:color w:val="0B2545"/>
                <w:sz w:val="14"/>
              </w:rPr>
              <w:t>Code Integration, Data Verification, and Models Validation Using the ITER Integrated Modeling and Analysis System (IMAS) in EUROfusion</w:t>
            </w:r>
          </w:p>
        </w:tc>
        <w:tc>
          <w:tcPr>
            <w:tcW w:type="dxa" w:w="1600"/>
          </w:tcPr>
          <w:p>
            <w:pPr>
              <w:keepLines/>
              <w:spacing w:after="0" w:line="276" w:lineRule="auto"/>
            </w:pPr>
            <w:r>
              <w:rPr>
                <w:rFonts w:ascii="Calibri" w:hAnsi="Calibri" w:eastAsia="Microsoft YaHei"/>
                <w:color w:val="0B2545"/>
                <w:sz w:val="14"/>
              </w:rPr>
              <w:t>Fusion Science and Technology</w:t>
            </w:r>
          </w:p>
        </w:tc>
        <w:tc>
          <w:tcPr>
            <w:tcW w:type="dxa" w:w="2300"/>
          </w:tcPr>
          <w:p>
            <w:pPr>
              <w:keepLines/>
              <w:spacing w:after="0" w:line="276" w:lineRule="auto"/>
            </w:pPr>
            <w:r>
              <w:rPr>
                <w:rFonts w:ascii="Calibri" w:hAnsi="Calibri" w:eastAsia="Microsoft YaHei"/>
                <w:color w:val="0B2545"/>
                <w:sz w:val="14"/>
              </w:rPr>
              <w:t>peer-reviewed primary framework report</w:t>
            </w:r>
          </w:p>
        </w:tc>
        <w:tc>
          <w:tcPr>
            <w:tcW w:type="dxa" w:w="2110"/>
          </w:tcPr>
          <w:p>
            <w:pPr>
              <w:keepLines/>
              <w:spacing w:after="0" w:line="276" w:lineRule="auto"/>
            </w:pPr>
            <w:hyperlink r:id="rId15">
              <w:r>
                <w:rPr>
                  <w:rFonts w:ascii="Calibri" w:hAnsi="Calibri" w:eastAsia="Microsoft YaHei"/>
                  <w:color w:val="008C95"/>
                  <w:u w:val="single"/>
                </w:rPr>
                <w:t>打开原始来源 ↗</w:t>
              </w:r>
            </w:hyperlink>
          </w:p>
        </w:tc>
      </w:tr>
      <w:tr>
        <w:trPr>
          <w:cantSplit/>
        </w:trPr>
        <w:tc>
          <w:tcPr>
            <w:tcW w:type="dxa" w:w="850"/>
          </w:tcPr>
          <w:p>
            <w:pPr>
              <w:keepLines/>
              <w:spacing w:after="0" w:line="276" w:lineRule="auto"/>
            </w:pPr>
            <w:r>
              <w:rPr>
                <w:rFonts w:ascii="Calibri" w:hAnsi="Calibri" w:eastAsia="Microsoft YaHei"/>
                <w:color w:val="0B2545"/>
                <w:sz w:val="14"/>
              </w:rPr>
              <w:t>2025</w:t>
            </w:r>
          </w:p>
        </w:tc>
        <w:tc>
          <w:tcPr>
            <w:tcW w:type="dxa" w:w="2500"/>
          </w:tcPr>
          <w:p>
            <w:pPr>
              <w:keepLines/>
              <w:spacing w:after="0" w:line="276" w:lineRule="auto"/>
            </w:pPr>
            <w:r>
              <w:rPr>
                <w:rFonts w:ascii="Calibri" w:hAnsi="Calibri" w:eastAsia="Microsoft YaHei"/>
                <w:color w:val="0B2545"/>
                <w:sz w:val="14"/>
              </w:rPr>
              <w:t>Release of IMAS infrastructure and physics models as open source</w:t>
            </w:r>
          </w:p>
        </w:tc>
        <w:tc>
          <w:tcPr>
            <w:tcW w:type="dxa" w:w="1600"/>
          </w:tcPr>
          <w:p>
            <w:pPr>
              <w:keepLines/>
              <w:spacing w:after="0" w:line="276" w:lineRule="auto"/>
            </w:pPr>
            <w:r>
              <w:rPr>
                <w:rFonts w:ascii="Calibri" w:hAnsi="Calibri" w:eastAsia="Microsoft YaHei"/>
                <w:color w:val="0B2545"/>
                <w:sz w:val="14"/>
              </w:rPr>
              <w:t>原始论文 / 官方来源</w:t>
            </w:r>
          </w:p>
        </w:tc>
        <w:tc>
          <w:tcPr>
            <w:tcW w:type="dxa" w:w="2300"/>
          </w:tcPr>
          <w:p>
            <w:pPr>
              <w:keepLines/>
              <w:spacing w:after="0" w:line="276" w:lineRule="auto"/>
            </w:pPr>
            <w:r>
              <w:rPr>
                <w:rFonts w:ascii="Calibri" w:hAnsi="Calibri" w:eastAsia="Microsoft YaHei"/>
                <w:color w:val="0B2545"/>
                <w:sz w:val="14"/>
              </w:rPr>
              <w:t>ITER official announcement</w:t>
            </w:r>
          </w:p>
        </w:tc>
        <w:tc>
          <w:tcPr>
            <w:tcW w:type="dxa" w:w="2110"/>
          </w:tcPr>
          <w:p>
            <w:pPr>
              <w:keepLines/>
              <w:spacing w:after="0" w:line="276" w:lineRule="auto"/>
            </w:pPr>
            <w:hyperlink r:id="rId16">
              <w:r>
                <w:rPr>
                  <w:rFonts w:ascii="Calibri" w:hAnsi="Calibri" w:eastAsia="Microsoft YaHei"/>
                  <w:color w:val="008C95"/>
                  <w:u w:val="single"/>
                </w:rPr>
                <w:t>打开原始来源 ↗</w:t>
              </w:r>
            </w:hyperlink>
          </w:p>
        </w:tc>
      </w:tr>
      <w:tr>
        <w:trPr>
          <w:cantSplit/>
        </w:trPr>
        <w:tc>
          <w:tcPr>
            <w:tcW w:type="dxa" w:w="850"/>
          </w:tcPr>
          <w:p>
            <w:pPr>
              <w:keepLines/>
              <w:spacing w:after="0" w:line="276" w:lineRule="auto"/>
            </w:pPr>
            <w:r>
              <w:rPr>
                <w:rFonts w:ascii="Calibri" w:hAnsi="Calibri" w:eastAsia="Microsoft YaHei"/>
                <w:color w:val="0B2545"/>
                <w:sz w:val="14"/>
              </w:rPr>
              <w:t>软件</w:t>
            </w:r>
          </w:p>
        </w:tc>
        <w:tc>
          <w:tcPr>
            <w:tcW w:type="dxa" w:w="2500"/>
          </w:tcPr>
          <w:p>
            <w:pPr>
              <w:keepLines/>
              <w:spacing w:after="0" w:line="276" w:lineRule="auto"/>
            </w:pPr>
            <w:r>
              <w:rPr>
                <w:rFonts w:ascii="Calibri" w:hAnsi="Calibri" w:eastAsia="Microsoft YaHei"/>
                <w:color w:val="0B2545"/>
                <w:sz w:val="14"/>
              </w:rPr>
              <w:t>IMAS Data Dictionary</w:t>
            </w:r>
          </w:p>
        </w:tc>
        <w:tc>
          <w:tcPr>
            <w:tcW w:type="dxa" w:w="1600"/>
          </w:tcPr>
          <w:p>
            <w:pPr>
              <w:keepLines/>
              <w:spacing w:after="0" w:line="276" w:lineRule="auto"/>
            </w:pPr>
            <w:r>
              <w:rPr>
                <w:rFonts w:ascii="Calibri" w:hAnsi="Calibri" w:eastAsia="Microsoft YaHei"/>
                <w:color w:val="0B2545"/>
                <w:sz w:val="14"/>
              </w:rPr>
              <w:t>official-direct</w:t>
            </w:r>
          </w:p>
        </w:tc>
        <w:tc>
          <w:tcPr>
            <w:tcW w:type="dxa" w:w="2300"/>
          </w:tcPr>
          <w:p>
            <w:pPr>
              <w:keepLines/>
              <w:spacing w:after="0" w:line="276" w:lineRule="auto"/>
            </w:pPr>
            <w:r>
              <w:rPr>
                <w:rFonts w:ascii="Calibri" w:hAnsi="Calibri" w:eastAsia="Microsoft YaHei"/>
                <w:color w:val="0B2545"/>
                <w:sz w:val="14"/>
              </w:rPr>
              <w:t>ITER Organization 维护的数据模式与生成资产。</w:t>
            </w:r>
          </w:p>
        </w:tc>
        <w:tc>
          <w:tcPr>
            <w:tcW w:type="dxa" w:w="2110"/>
          </w:tcPr>
          <w:p>
            <w:pPr>
              <w:keepLines/>
              <w:spacing w:after="0" w:line="276" w:lineRule="auto"/>
            </w:pPr>
            <w:hyperlink r:id="rId17">
              <w:r>
                <w:rPr>
                  <w:rFonts w:ascii="Calibri" w:hAnsi="Calibri" w:eastAsia="Microsoft YaHei"/>
                  <w:color w:val="008C95"/>
                  <w:u w:val="single"/>
                </w:rPr>
                <w:t>打开原始来源 ↗</w:t>
              </w:r>
            </w:hyperlink>
          </w:p>
        </w:tc>
      </w:tr>
      <w:tr>
        <w:trPr>
          <w:cantSplit/>
        </w:trPr>
        <w:tc>
          <w:tcPr>
            <w:tcW w:type="dxa" w:w="850"/>
          </w:tcPr>
          <w:p>
            <w:pPr>
              <w:keepLines/>
              <w:spacing w:after="0" w:line="276" w:lineRule="auto"/>
            </w:pPr>
            <w:r>
              <w:rPr>
                <w:rFonts w:ascii="Calibri" w:hAnsi="Calibri" w:eastAsia="Microsoft YaHei"/>
                <w:color w:val="0B2545"/>
                <w:sz w:val="14"/>
              </w:rPr>
              <w:t>软件</w:t>
            </w:r>
          </w:p>
        </w:tc>
        <w:tc>
          <w:tcPr>
            <w:tcW w:type="dxa" w:w="2500"/>
          </w:tcPr>
          <w:p>
            <w:pPr>
              <w:keepLines/>
              <w:spacing w:after="0" w:line="276" w:lineRule="auto"/>
            </w:pPr>
            <w:r>
              <w:rPr>
                <w:rFonts w:ascii="Calibri" w:hAnsi="Calibri" w:eastAsia="Microsoft YaHei"/>
                <w:color w:val="0B2545"/>
                <w:sz w:val="14"/>
              </w:rPr>
              <w:t>IMAS Python</w:t>
            </w:r>
          </w:p>
        </w:tc>
        <w:tc>
          <w:tcPr>
            <w:tcW w:type="dxa" w:w="1600"/>
          </w:tcPr>
          <w:p>
            <w:pPr>
              <w:keepLines/>
              <w:spacing w:after="0" w:line="276" w:lineRule="auto"/>
            </w:pPr>
            <w:r>
              <w:rPr>
                <w:rFonts w:ascii="Calibri" w:hAnsi="Calibri" w:eastAsia="Microsoft YaHei"/>
                <w:color w:val="0B2545"/>
                <w:sz w:val="14"/>
              </w:rPr>
              <w:t>official-direct</w:t>
            </w:r>
          </w:p>
        </w:tc>
        <w:tc>
          <w:tcPr>
            <w:tcW w:type="dxa" w:w="2300"/>
          </w:tcPr>
          <w:p>
            <w:pPr>
              <w:keepLines/>
              <w:spacing w:after="0" w:line="276" w:lineRule="auto"/>
            </w:pPr>
            <w:r>
              <w:rPr>
                <w:rFonts w:ascii="Calibri" w:hAnsi="Calibri" w:eastAsia="Microsoft YaHei"/>
                <w:color w:val="0B2545"/>
                <w:sz w:val="14"/>
              </w:rPr>
              <w:t>IDS 的 Python 访问层。</w:t>
            </w:r>
          </w:p>
        </w:tc>
        <w:tc>
          <w:tcPr>
            <w:tcW w:type="dxa" w:w="2110"/>
          </w:tcPr>
          <w:p>
            <w:pPr>
              <w:keepLines/>
              <w:spacing w:after="0" w:line="276" w:lineRule="auto"/>
            </w:pPr>
            <w:hyperlink r:id="rId18">
              <w:r>
                <w:rPr>
                  <w:rFonts w:ascii="Calibri" w:hAnsi="Calibri" w:eastAsia="Microsoft YaHei"/>
                  <w:color w:val="008C95"/>
                  <w:u w:val="single"/>
                </w:rPr>
                <w:t>打开原始来源 ↗</w:t>
              </w:r>
            </w:hyperlink>
          </w:p>
        </w:tc>
      </w:tr>
    </w:tbl>
    <w:p>
      <w:pPr>
        <w:spacing w:before="0" w:after="60"/>
      </w:pPr>
    </w:p>
    <w:p>
      <w:pPr>
        <w:pStyle w:val="Heading3"/>
        <w:keepNext/>
      </w:pPr>
      <w:r>
        <w:t>DG0.02  MDSplus 脉冲树、数据采集与时序数据管理</w:t>
      </w:r>
    </w:p>
    <w:p>
      <w:pPr>
        <w:keepNext/>
        <w:spacing w:after="80"/>
      </w:pPr>
      <w:r>
        <w:rPr>
          <w:rFonts w:ascii="Calibri" w:hAnsi="Calibri" w:eastAsia="Microsoft YaHei"/>
          <w:i/>
          <w:color w:val="566573"/>
          <w:sz w:val="18"/>
        </w:rPr>
        <w:t>MDSplus Pulse Trees, Acquisition and Time-Series Data Management</w:t>
      </w:r>
    </w:p>
    <w:tbl>
      <w:tblPr>
        <w:tblStyle w:val="TableGrid"/>
        <w:tblW w:type="dxa" w:w="9360"/>
        <w:jc w:val="left"/>
        <w:tblLayout w:type="fixed"/>
        <w:tblLook w:firstColumn="1" w:firstRow="1" w:lastColumn="0" w:lastRow="0" w:noHBand="0" w:noVBand="1" w:val="04A0"/>
        <w:tblInd w:w="120" w:type="dxa"/>
      </w:tblPr>
      <w:tblGrid>
        <w:gridCol w:w="1200"/>
        <w:gridCol w:w="750"/>
        <w:gridCol w:w="750"/>
        <w:gridCol w:w="2100"/>
        <w:gridCol w:w="4560"/>
      </w:tblGrid>
      <w:tr>
        <w:trPr>
          <w:tblHeader w:val="true"/>
        </w:trPr>
        <w:tc>
          <w:tcPr>
            <w:tcW w:type="dxa" w:w="12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工作 ID</w:t>
            </w:r>
          </w:p>
        </w:tc>
        <w:tc>
          <w:tcPr>
            <w:tcW w:type="dxa" w:w="7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证据</w:t>
            </w:r>
          </w:p>
        </w:tc>
        <w:tc>
          <w:tcPr>
            <w:tcW w:type="dxa" w:w="7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部署</w:t>
            </w:r>
          </w:p>
        </w:tc>
        <w:tc>
          <w:tcPr>
            <w:tcW w:type="dxa" w:w="21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技术族</w:t>
            </w:r>
          </w:p>
        </w:tc>
        <w:tc>
          <w:tcPr>
            <w:tcW w:type="dxa" w:w="456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装置</w:t>
            </w:r>
          </w:p>
        </w:tc>
      </w:tr>
      <w:tr>
        <w:trPr>
          <w:cantSplit/>
        </w:trPr>
        <w:tc>
          <w:tcPr>
            <w:tcW w:type="dxa" w:w="1200"/>
          </w:tcPr>
          <w:p>
            <w:pPr>
              <w:keepLines/>
              <w:spacing w:after="0" w:line="276" w:lineRule="auto"/>
            </w:pPr>
            <w:r>
              <w:rPr>
                <w:rFonts w:ascii="Calibri" w:hAnsi="Calibri" w:eastAsia="Microsoft YaHei"/>
                <w:color w:val="0B2545"/>
                <w:sz w:val="15"/>
              </w:rPr>
              <w:t>DSI-002</w:t>
            </w:r>
          </w:p>
        </w:tc>
        <w:tc>
          <w:tcPr>
            <w:tcW w:type="dxa" w:w="750"/>
          </w:tcPr>
          <w:p>
            <w:pPr>
              <w:keepLines/>
              <w:spacing w:after="0" w:line="276" w:lineRule="auto"/>
            </w:pPr>
            <w:r>
              <w:rPr>
                <w:rFonts w:ascii="Calibri" w:hAnsi="Calibri" w:eastAsia="Microsoft YaHei"/>
                <w:color w:val="0B2545"/>
                <w:sz w:val="15"/>
              </w:rPr>
              <w:t>E4</w:t>
            </w:r>
          </w:p>
        </w:tc>
        <w:tc>
          <w:tcPr>
            <w:tcW w:type="dxa" w:w="750"/>
          </w:tcPr>
          <w:p>
            <w:pPr>
              <w:keepLines/>
              <w:spacing w:after="0" w:line="276" w:lineRule="auto"/>
            </w:pPr>
            <w:r>
              <w:rPr>
                <w:rFonts w:ascii="Calibri" w:hAnsi="Calibri" w:eastAsia="Microsoft YaHei"/>
                <w:color w:val="0B2545"/>
                <w:sz w:val="15"/>
              </w:rPr>
              <w:t>D4</w:t>
            </w:r>
          </w:p>
        </w:tc>
        <w:tc>
          <w:tcPr>
            <w:tcW w:type="dxa" w:w="2100"/>
          </w:tcPr>
          <w:p>
            <w:pPr>
              <w:keepLines/>
              <w:spacing w:after="0" w:line="276" w:lineRule="auto"/>
            </w:pPr>
            <w:r>
              <w:rPr>
                <w:rFonts w:ascii="Calibri" w:hAnsi="Calibri" w:eastAsia="Microsoft YaHei"/>
                <w:color w:val="0B2545"/>
                <w:sz w:val="15"/>
              </w:rPr>
              <w:t>COMPUTATIONAL</w:t>
            </w:r>
          </w:p>
        </w:tc>
        <w:tc>
          <w:tcPr>
            <w:tcW w:type="dxa" w:w="4560"/>
          </w:tcPr>
          <w:p>
            <w:pPr>
              <w:keepLines/>
              <w:spacing w:after="0" w:line="276" w:lineRule="auto"/>
            </w:pPr>
            <w:r>
              <w:rPr>
                <w:rFonts w:ascii="Calibri" w:hAnsi="Calibri" w:eastAsia="Microsoft YaHei"/>
                <w:color w:val="0B2545"/>
                <w:sz w:val="15"/>
              </w:rPr>
              <w:t>Alcator C-Mod；RFX-mod；TCV；DIII-D；KSTAR；EAST；NSTX-U；SPIDER</w:t>
            </w:r>
          </w:p>
        </w:tc>
      </w:tr>
    </w:tbl>
    <w:p>
      <w:pPr>
        <w:spacing w:before="0" w:after="60"/>
      </w:pPr>
    </w:p>
    <w:p>
      <w:pPr>
        <w:widowControl/>
      </w:pPr>
      <w:r>
        <w:rPr>
          <w:rFonts w:ascii="Calibri" w:hAnsi="Calibri" w:eastAsia="Microsoft YaHei"/>
          <w:b/>
          <w:color w:val="1F4D78"/>
        </w:rPr>
        <w:t>解决问题：</w:t>
      </w:r>
      <w:r>
        <w:rPr>
          <w:rFonts w:ascii="Calibri" w:hAnsi="Calibri" w:eastAsia="Microsoft YaHei"/>
        </w:rPr>
        <w:t>聚变实验需要在一个可追溯脉冲上下文中配置采集硬件、并发写入高速时序并连接分析结果。</w:t>
      </w:r>
    </w:p>
    <w:p>
      <w:pPr>
        <w:widowControl/>
      </w:pPr>
      <w:r>
        <w:rPr>
          <w:rFonts w:ascii="Calibri" w:hAnsi="Calibri" w:eastAsia="Microsoft YaHei"/>
          <w:b/>
          <w:color w:val="1F4D78"/>
        </w:rPr>
        <w:t>测量原理：</w:t>
      </w:r>
      <w:r>
        <w:rPr>
          <w:rFonts w:ascii="Calibri" w:hAnsi="Calibri" w:eastAsia="Microsoft YaHei"/>
        </w:rPr>
        <w:t>不改变传感器物理；以树节点保存配置、原始波形、时间基、表达式与派生结果，并支持分布式读写。</w:t>
      </w:r>
    </w:p>
    <w:p>
      <w:pPr>
        <w:widowControl/>
      </w:pPr>
      <w:r>
        <w:rPr>
          <w:rFonts w:ascii="Calibri" w:hAnsi="Calibri" w:eastAsia="Microsoft YaHei"/>
          <w:b/>
          <w:color w:val="1F4D78"/>
        </w:rPr>
        <w:t>测量产品：</w:t>
      </w:r>
      <w:r>
        <w:rPr>
          <w:rFonts w:ascii="Calibri" w:hAnsi="Calibri" w:eastAsia="Microsoft YaHei"/>
        </w:rPr>
        <w:t>waveforms；events；configuration；timebase；processed products</w:t>
      </w:r>
    </w:p>
    <w:p>
      <w:pPr>
        <w:widowControl/>
      </w:pPr>
      <w:r>
        <w:rPr>
          <w:rFonts w:ascii="Calibri" w:hAnsi="Calibri" w:eastAsia="Microsoft YaHei"/>
          <w:b/>
          <w:color w:val="1F4D78"/>
        </w:rPr>
        <w:t>时空分辨与覆盖：</w:t>
      </w:r>
      <w:r>
        <w:rPr>
          <w:rFonts w:ascii="Calibri" w:hAnsi="Calibri" w:eastAsia="Microsoft YaHei"/>
        </w:rPr>
        <w:t>时间：因装置、采集和分析链而异；原始来源未给出统一数值。；空间：由视线、几何和反演设定；原始来源未给出统一数值。</w:t>
      </w:r>
    </w:p>
    <w:p>
      <w:pPr>
        <w:widowControl/>
      </w:pPr>
      <w:r>
        <w:rPr>
          <w:rFonts w:ascii="Calibri" w:hAnsi="Calibri" w:eastAsia="Microsoft YaHei"/>
          <w:b/>
          <w:color w:val="1F4D78"/>
        </w:rPr>
        <w:t>仪器与传感器：</w:t>
      </w:r>
      <w:r>
        <w:rPr>
          <w:rFonts w:ascii="Calibri" w:hAnsi="Calibri" w:eastAsia="Microsoft YaHei"/>
        </w:rPr>
        <w:t>DAQ servers；storage arrays；timing interfaces</w:t>
      </w:r>
    </w:p>
    <w:p>
      <w:pPr>
        <w:widowControl/>
      </w:pPr>
      <w:r>
        <w:rPr>
          <w:rFonts w:ascii="Calibri" w:hAnsi="Calibri" w:eastAsia="Microsoft YaHei"/>
          <w:b/>
          <w:color w:val="1F4D78"/>
        </w:rPr>
        <w:t>标定与质量：</w:t>
      </w:r>
      <w:r>
        <w:rPr>
          <w:rFonts w:ascii="Calibri" w:hAnsi="Calibri" w:eastAsia="Microsoft YaHei"/>
        </w:rPr>
        <w:t>可把校准系数与表达式绑定到树节点；若缺少不可变证书、有效期与原始 ADC 保留，仍不能构成计量追溯。</w:t>
      </w:r>
    </w:p>
    <w:p>
      <w:pPr>
        <w:widowControl/>
      </w:pPr>
      <w:r>
        <w:rPr>
          <w:rFonts w:ascii="Calibri" w:hAnsi="Calibri" w:eastAsia="Microsoft YaHei"/>
          <w:b/>
          <w:color w:val="1F4D78"/>
        </w:rPr>
        <w:t>反演与分析：</w:t>
      </w:r>
      <w:r>
        <w:rPr>
          <w:rFonts w:ascii="Calibri" w:hAnsi="Calibri" w:eastAsia="Microsoft YaHei"/>
        </w:rPr>
        <w:t>on-demand expressions；pulse replay；analysis orchestration</w:t>
      </w:r>
    </w:p>
    <w:p>
      <w:pPr>
        <w:widowControl/>
      </w:pPr>
      <w:r>
        <w:rPr>
          <w:rFonts w:ascii="Calibri" w:hAnsi="Calibri" w:eastAsia="Microsoft YaHei"/>
          <w:b/>
          <w:color w:val="1F4D78"/>
        </w:rPr>
        <w:t>验证与应用：</w:t>
      </w:r>
      <w:r>
        <w:rPr>
          <w:rFonts w:ascii="Calibri" w:hAnsi="Calibri" w:eastAsia="Microsoft YaHei"/>
        </w:rPr>
        <w:t>自 1990 年代在多装置长期运行；MARTe/MDSplus 组合自 2012 年用于 RFX-mod 数据采集与实时控制。</w:t>
      </w:r>
    </w:p>
    <w:p>
      <w:pPr>
        <w:widowControl/>
      </w:pPr>
      <w:r>
        <w:rPr>
          <w:rFonts w:ascii="Calibri" w:hAnsi="Calibri" w:eastAsia="Microsoft YaHei"/>
          <w:b/>
          <w:color w:val="1F4D78"/>
        </w:rPr>
        <w:t>局限与边界：</w:t>
      </w:r>
      <w:r>
        <w:rPr>
          <w:rFonts w:ascii="Calibri" w:hAnsi="Calibri" w:eastAsia="Microsoft YaHei"/>
        </w:rPr>
        <w:t>树结构灵活但跨装置语义不自动一致；复杂表达式和外部依赖的版本冻结、细粒度质量标志及大规模对象存储需额外治理。</w:t>
      </w:r>
    </w:p>
    <w:tbl>
      <w:tblPr>
        <w:tblStyle w:val="TableGrid"/>
        <w:tblW w:type="dxa" w:w="9360"/>
        <w:jc w:val="left"/>
        <w:tblLayout w:type="fixed"/>
        <w:tblLook w:firstColumn="1" w:firstRow="1" w:lastColumn="0" w:lastRow="0" w:noHBand="0" w:noVBand="1" w:val="04A0"/>
        <w:tblInd w:w="120" w:type="dxa"/>
      </w:tblPr>
      <w:tblGrid>
        <w:gridCol w:w="9360"/>
      </w:tblGrid>
      <w:tr>
        <w:trPr>
          <w:cantSplit/>
        </w:trPr>
        <w:tc>
          <w:tcPr>
            <w:tcW w:type="dxa" w:w="9360"/>
            <w:tcMar>
              <w:top w:w="80" w:type="dxa"/>
              <w:bottom w:w="80" w:type="dxa"/>
              <w:start w:w="120" w:type="dxa"/>
              <w:end w:w="120" w:type="dxa"/>
            </w:tcMar>
            <w:vAlign w:val="center"/>
            <w:shd w:fill="EEF7F7"/>
          </w:tcPr>
          <w:p>
            <w:pPr>
              <w:keepNext/>
              <w:keepLines/>
              <w:spacing w:after="40"/>
            </w:pPr>
            <w:r>
              <w:rPr>
                <w:rFonts w:ascii="Calibri" w:hAnsi="Calibri" w:eastAsia="Microsoft YaHei"/>
                <w:b/>
                <w:color w:val="008C95"/>
                <w:sz w:val="17"/>
              </w:rPr>
              <w:t>DIGITAL-TWIN RELEVANCE</w:t>
            </w:r>
          </w:p>
          <w:p>
            <w:pPr>
              <w:spacing w:after="0"/>
            </w:pPr>
            <w:r>
              <w:rPr>
                <w:rFonts w:ascii="Calibri" w:hAnsi="Calibri" w:eastAsia="Microsoft YaHei"/>
                <w:color w:val="0B2545"/>
                <w:sz w:val="20"/>
              </w:rPr>
              <w:t>提供数字孪生所需的放电回放、原始证据保全和事件对齐底座。</w:t>
            </w:r>
          </w:p>
        </w:tc>
      </w:tr>
    </w:tbl>
    <w:p>
      <w:pPr>
        <w:spacing w:after="40"/>
      </w:pPr>
    </w:p>
    <w:tbl>
      <w:tblPr>
        <w:tblStyle w:val="TableGrid"/>
        <w:tblW w:type="dxa" w:w="9360"/>
        <w:jc w:val="left"/>
        <w:tblLayout w:type="fixed"/>
        <w:tblLook w:firstColumn="1" w:firstRow="1" w:lastColumn="0" w:lastRow="0" w:noHBand="0" w:noVBand="1" w:val="04A0"/>
        <w:tblInd w:w="120" w:type="dxa"/>
      </w:tblPr>
      <w:tblGrid>
        <w:gridCol w:w="850"/>
        <w:gridCol w:w="2500"/>
        <w:gridCol w:w="1600"/>
        <w:gridCol w:w="2300"/>
        <w:gridCol w:w="2110"/>
      </w:tblGrid>
      <w:tr>
        <w:trPr>
          <w:tblHeader w:val="true"/>
        </w:trPr>
        <w:tc>
          <w:tcPr>
            <w:tcW w:type="dxa" w:w="8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年份/类型</w:t>
            </w:r>
          </w:p>
        </w:tc>
        <w:tc>
          <w:tcPr>
            <w:tcW w:type="dxa" w:w="25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论文或软件</w:t>
            </w:r>
          </w:p>
        </w:tc>
        <w:tc>
          <w:tcPr>
            <w:tcW w:type="dxa" w:w="16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期刊/开放性</w:t>
            </w:r>
          </w:p>
        </w:tc>
        <w:tc>
          <w:tcPr>
            <w:tcW w:type="dxa" w:w="23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来源类型/关系</w:t>
            </w:r>
          </w:p>
        </w:tc>
        <w:tc>
          <w:tcPr>
            <w:tcW w:type="dxa" w:w="211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链接</w:t>
            </w:r>
          </w:p>
        </w:tc>
      </w:tr>
      <w:tr>
        <w:trPr>
          <w:cantSplit/>
        </w:trPr>
        <w:tc>
          <w:tcPr>
            <w:tcW w:type="dxa" w:w="850"/>
          </w:tcPr>
          <w:p>
            <w:pPr>
              <w:keepLines/>
              <w:spacing w:after="0" w:line="276" w:lineRule="auto"/>
            </w:pPr>
            <w:r>
              <w:rPr>
                <w:rFonts w:ascii="Calibri" w:hAnsi="Calibri" w:eastAsia="Microsoft YaHei"/>
                <w:color w:val="0B2545"/>
                <w:sz w:val="14"/>
              </w:rPr>
              <w:t>2018</w:t>
            </w:r>
          </w:p>
        </w:tc>
        <w:tc>
          <w:tcPr>
            <w:tcW w:type="dxa" w:w="2500"/>
          </w:tcPr>
          <w:p>
            <w:pPr>
              <w:keepLines/>
              <w:spacing w:after="0" w:line="276" w:lineRule="auto"/>
            </w:pPr>
            <w:r>
              <w:rPr>
                <w:rFonts w:ascii="Calibri" w:hAnsi="Calibri" w:eastAsia="Microsoft YaHei"/>
                <w:color w:val="0B2545"/>
                <w:sz w:val="14"/>
              </w:rPr>
              <w:t>MDSplus yesterday, today and tomorrow</w:t>
            </w:r>
          </w:p>
        </w:tc>
        <w:tc>
          <w:tcPr>
            <w:tcW w:type="dxa" w:w="1600"/>
          </w:tcPr>
          <w:p>
            <w:pPr>
              <w:keepLines/>
              <w:spacing w:after="0" w:line="276" w:lineRule="auto"/>
            </w:pPr>
            <w:r>
              <w:rPr>
                <w:rFonts w:ascii="Calibri" w:hAnsi="Calibri" w:eastAsia="Microsoft YaHei"/>
                <w:color w:val="0B2545"/>
                <w:sz w:val="14"/>
              </w:rPr>
              <w:t>Fusion Engineering and Design</w:t>
            </w:r>
          </w:p>
        </w:tc>
        <w:tc>
          <w:tcPr>
            <w:tcW w:type="dxa" w:w="2300"/>
          </w:tcPr>
          <w:p>
            <w:pPr>
              <w:keepLines/>
              <w:spacing w:after="0" w:line="276" w:lineRule="auto"/>
            </w:pPr>
            <w:r>
              <w:rPr>
                <w:rFonts w:ascii="Calibri" w:hAnsi="Calibri" w:eastAsia="Microsoft YaHei"/>
                <w:color w:val="0B2545"/>
                <w:sz w:val="14"/>
              </w:rPr>
              <w:t>peer-reviewed primary framework report</w:t>
            </w:r>
          </w:p>
        </w:tc>
        <w:tc>
          <w:tcPr>
            <w:tcW w:type="dxa" w:w="2110"/>
          </w:tcPr>
          <w:p>
            <w:pPr>
              <w:keepLines/>
              <w:spacing w:after="0" w:line="276" w:lineRule="auto"/>
            </w:pPr>
            <w:hyperlink r:id="rId19">
              <w:r>
                <w:rPr>
                  <w:rFonts w:ascii="Calibri" w:hAnsi="Calibri" w:eastAsia="Microsoft YaHei"/>
                  <w:color w:val="008C95"/>
                  <w:u w:val="single"/>
                </w:rPr>
                <w:t>打开原始来源 ↗</w:t>
              </w:r>
            </w:hyperlink>
          </w:p>
        </w:tc>
      </w:tr>
      <w:tr>
        <w:trPr>
          <w:cantSplit/>
        </w:trPr>
        <w:tc>
          <w:tcPr>
            <w:tcW w:type="dxa" w:w="850"/>
          </w:tcPr>
          <w:p>
            <w:pPr>
              <w:keepLines/>
              <w:spacing w:after="0" w:line="276" w:lineRule="auto"/>
            </w:pPr>
            <w:r>
              <w:rPr>
                <w:rFonts w:ascii="Calibri" w:hAnsi="Calibri" w:eastAsia="Microsoft YaHei"/>
                <w:color w:val="0B2545"/>
                <w:sz w:val="14"/>
              </w:rPr>
              <w:t>1999</w:t>
            </w:r>
          </w:p>
        </w:tc>
        <w:tc>
          <w:tcPr>
            <w:tcW w:type="dxa" w:w="2500"/>
          </w:tcPr>
          <w:p>
            <w:pPr>
              <w:keepLines/>
              <w:spacing w:after="0" w:line="276" w:lineRule="auto"/>
            </w:pPr>
            <w:r>
              <w:rPr>
                <w:rFonts w:ascii="Calibri" w:hAnsi="Calibri" w:eastAsia="Microsoft YaHei"/>
                <w:color w:val="0B2545"/>
                <w:sz w:val="14"/>
              </w:rPr>
              <w:t>The MDSplus data acquisition system, current status and future directions</w:t>
            </w:r>
          </w:p>
        </w:tc>
        <w:tc>
          <w:tcPr>
            <w:tcW w:type="dxa" w:w="1600"/>
          </w:tcPr>
          <w:p>
            <w:pPr>
              <w:keepLines/>
              <w:spacing w:after="0" w:line="276" w:lineRule="auto"/>
            </w:pPr>
            <w:r>
              <w:rPr>
                <w:rFonts w:ascii="Calibri" w:hAnsi="Calibri" w:eastAsia="Microsoft YaHei"/>
                <w:color w:val="0B2545"/>
                <w:sz w:val="14"/>
              </w:rPr>
              <w:t>Fusion Engineering and Design / MIT PSFC</w:t>
            </w:r>
          </w:p>
        </w:tc>
        <w:tc>
          <w:tcPr>
            <w:tcW w:type="dxa" w:w="2300"/>
          </w:tcPr>
          <w:p>
            <w:pPr>
              <w:keepLines/>
              <w:spacing w:after="0" w:line="276" w:lineRule="auto"/>
            </w:pPr>
            <w:r>
              <w:rPr>
                <w:rFonts w:ascii="Calibri" w:hAnsi="Calibri" w:eastAsia="Microsoft YaHei"/>
                <w:color w:val="0B2545"/>
                <w:sz w:val="14"/>
              </w:rPr>
              <w:t>MIT PSFC primary report</w:t>
            </w:r>
          </w:p>
        </w:tc>
        <w:tc>
          <w:tcPr>
            <w:tcW w:type="dxa" w:w="2110"/>
          </w:tcPr>
          <w:p>
            <w:pPr>
              <w:keepLines/>
              <w:spacing w:after="0" w:line="276" w:lineRule="auto"/>
            </w:pPr>
            <w:hyperlink r:id="rId20">
              <w:r>
                <w:rPr>
                  <w:rFonts w:ascii="Calibri" w:hAnsi="Calibri" w:eastAsia="Microsoft YaHei"/>
                  <w:color w:val="008C95"/>
                  <w:u w:val="single"/>
                </w:rPr>
                <w:t>打开原始来源 ↗</w:t>
              </w:r>
            </w:hyperlink>
          </w:p>
        </w:tc>
      </w:tr>
      <w:tr>
        <w:trPr>
          <w:cantSplit/>
        </w:trPr>
        <w:tc>
          <w:tcPr>
            <w:tcW w:type="dxa" w:w="850"/>
          </w:tcPr>
          <w:p>
            <w:pPr>
              <w:keepLines/>
              <w:spacing w:after="0" w:line="276" w:lineRule="auto"/>
            </w:pPr>
            <w:r>
              <w:rPr>
                <w:rFonts w:ascii="Calibri" w:hAnsi="Calibri" w:eastAsia="Microsoft YaHei"/>
                <w:color w:val="0B2545"/>
                <w:sz w:val="14"/>
              </w:rPr>
              <w:t>软件</w:t>
            </w:r>
          </w:p>
        </w:tc>
        <w:tc>
          <w:tcPr>
            <w:tcW w:type="dxa" w:w="2500"/>
          </w:tcPr>
          <w:p>
            <w:pPr>
              <w:keepLines/>
              <w:spacing w:after="0" w:line="276" w:lineRule="auto"/>
            </w:pPr>
            <w:r>
              <w:rPr>
                <w:rFonts w:ascii="Calibri" w:hAnsi="Calibri" w:eastAsia="Microsoft YaHei"/>
                <w:color w:val="0B2545"/>
                <w:sz w:val="14"/>
              </w:rPr>
              <w:t>MDSplus</w:t>
            </w:r>
          </w:p>
        </w:tc>
        <w:tc>
          <w:tcPr>
            <w:tcW w:type="dxa" w:w="1600"/>
          </w:tcPr>
          <w:p>
            <w:pPr>
              <w:keepLines/>
              <w:spacing w:after="0" w:line="276" w:lineRule="auto"/>
            </w:pPr>
            <w:r>
              <w:rPr>
                <w:rFonts w:ascii="Calibri" w:hAnsi="Calibri" w:eastAsia="Microsoft YaHei"/>
                <w:color w:val="0B2545"/>
                <w:sz w:val="14"/>
              </w:rPr>
              <w:t>official-direct</w:t>
            </w:r>
          </w:p>
        </w:tc>
        <w:tc>
          <w:tcPr>
            <w:tcW w:type="dxa" w:w="2300"/>
          </w:tcPr>
          <w:p>
            <w:pPr>
              <w:keepLines/>
              <w:spacing w:after="0" w:line="276" w:lineRule="auto"/>
            </w:pPr>
            <w:r>
              <w:rPr>
                <w:rFonts w:ascii="Calibri" w:hAnsi="Calibri" w:eastAsia="Microsoft YaHei"/>
                <w:color w:val="0B2545"/>
                <w:sz w:val="14"/>
              </w:rPr>
              <w:t>项目官方源代码与语言接口。</w:t>
            </w:r>
          </w:p>
        </w:tc>
        <w:tc>
          <w:tcPr>
            <w:tcW w:type="dxa" w:w="2110"/>
          </w:tcPr>
          <w:p>
            <w:pPr>
              <w:keepLines/>
              <w:spacing w:after="0" w:line="276" w:lineRule="auto"/>
            </w:pPr>
            <w:hyperlink r:id="rId21">
              <w:r>
                <w:rPr>
                  <w:rFonts w:ascii="Calibri" w:hAnsi="Calibri" w:eastAsia="Microsoft YaHei"/>
                  <w:color w:val="008C95"/>
                  <w:u w:val="single"/>
                </w:rPr>
                <w:t>打开原始来源 ↗</w:t>
              </w:r>
            </w:hyperlink>
          </w:p>
        </w:tc>
      </w:tr>
    </w:tbl>
    <w:p>
      <w:pPr>
        <w:spacing w:before="0" w:after="60"/>
      </w:pPr>
    </w:p>
    <w:p>
      <w:pPr>
        <w:pStyle w:val="Heading3"/>
        <w:keepNext/>
      </w:pPr>
      <w:r>
        <w:t>DG0.03  UDA 统一数据访问层</w:t>
      </w:r>
    </w:p>
    <w:p>
      <w:pPr>
        <w:keepNext/>
        <w:spacing w:after="80"/>
      </w:pPr>
      <w:r>
        <w:rPr>
          <w:rFonts w:ascii="Calibri" w:hAnsi="Calibri" w:eastAsia="Microsoft YaHei"/>
          <w:i/>
          <w:color w:val="566573"/>
          <w:sz w:val="18"/>
        </w:rPr>
        <w:t>Universal Data Access (UDA)</w:t>
      </w:r>
    </w:p>
    <w:tbl>
      <w:tblPr>
        <w:tblStyle w:val="TableGrid"/>
        <w:tblW w:type="dxa" w:w="9360"/>
        <w:jc w:val="left"/>
        <w:tblLayout w:type="fixed"/>
        <w:tblLook w:firstColumn="1" w:firstRow="1" w:lastColumn="0" w:lastRow="0" w:noHBand="0" w:noVBand="1" w:val="04A0"/>
        <w:tblInd w:w="120" w:type="dxa"/>
      </w:tblPr>
      <w:tblGrid>
        <w:gridCol w:w="1200"/>
        <w:gridCol w:w="750"/>
        <w:gridCol w:w="750"/>
        <w:gridCol w:w="2100"/>
        <w:gridCol w:w="4560"/>
      </w:tblGrid>
      <w:tr>
        <w:trPr>
          <w:tblHeader w:val="true"/>
        </w:trPr>
        <w:tc>
          <w:tcPr>
            <w:tcW w:type="dxa" w:w="12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工作 ID</w:t>
            </w:r>
          </w:p>
        </w:tc>
        <w:tc>
          <w:tcPr>
            <w:tcW w:type="dxa" w:w="7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证据</w:t>
            </w:r>
          </w:p>
        </w:tc>
        <w:tc>
          <w:tcPr>
            <w:tcW w:type="dxa" w:w="7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部署</w:t>
            </w:r>
          </w:p>
        </w:tc>
        <w:tc>
          <w:tcPr>
            <w:tcW w:type="dxa" w:w="21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技术族</w:t>
            </w:r>
          </w:p>
        </w:tc>
        <w:tc>
          <w:tcPr>
            <w:tcW w:type="dxa" w:w="456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装置</w:t>
            </w:r>
          </w:p>
        </w:tc>
      </w:tr>
      <w:tr>
        <w:trPr>
          <w:cantSplit/>
        </w:trPr>
        <w:tc>
          <w:tcPr>
            <w:tcW w:type="dxa" w:w="1200"/>
          </w:tcPr>
          <w:p>
            <w:pPr>
              <w:keepLines/>
              <w:spacing w:after="0" w:line="276" w:lineRule="auto"/>
            </w:pPr>
            <w:r>
              <w:rPr>
                <w:rFonts w:ascii="Calibri" w:hAnsi="Calibri" w:eastAsia="Microsoft YaHei"/>
                <w:color w:val="0B2545"/>
                <w:sz w:val="15"/>
              </w:rPr>
              <w:t>DSI-003</w:t>
            </w:r>
          </w:p>
        </w:tc>
        <w:tc>
          <w:tcPr>
            <w:tcW w:type="dxa" w:w="750"/>
          </w:tcPr>
          <w:p>
            <w:pPr>
              <w:keepLines/>
              <w:spacing w:after="0" w:line="276" w:lineRule="auto"/>
            </w:pPr>
            <w:r>
              <w:rPr>
                <w:rFonts w:ascii="Calibri" w:hAnsi="Calibri" w:eastAsia="Microsoft YaHei"/>
                <w:color w:val="0B2545"/>
                <w:sz w:val="15"/>
              </w:rPr>
              <w:t>E3</w:t>
            </w:r>
          </w:p>
        </w:tc>
        <w:tc>
          <w:tcPr>
            <w:tcW w:type="dxa" w:w="750"/>
          </w:tcPr>
          <w:p>
            <w:pPr>
              <w:keepLines/>
              <w:spacing w:after="0" w:line="276" w:lineRule="auto"/>
            </w:pPr>
            <w:r>
              <w:rPr>
                <w:rFonts w:ascii="Calibri" w:hAnsi="Calibri" w:eastAsia="Microsoft YaHei"/>
                <w:color w:val="0B2545"/>
                <w:sz w:val="15"/>
              </w:rPr>
              <w:t>D3</w:t>
            </w:r>
          </w:p>
        </w:tc>
        <w:tc>
          <w:tcPr>
            <w:tcW w:type="dxa" w:w="2100"/>
          </w:tcPr>
          <w:p>
            <w:pPr>
              <w:keepLines/>
              <w:spacing w:after="0" w:line="276" w:lineRule="auto"/>
            </w:pPr>
            <w:r>
              <w:rPr>
                <w:rFonts w:ascii="Calibri" w:hAnsi="Calibri" w:eastAsia="Microsoft YaHei"/>
                <w:color w:val="0B2545"/>
                <w:sz w:val="15"/>
              </w:rPr>
              <w:t>COMPUTATIONAL</w:t>
            </w:r>
          </w:p>
        </w:tc>
        <w:tc>
          <w:tcPr>
            <w:tcW w:type="dxa" w:w="4560"/>
          </w:tcPr>
          <w:p>
            <w:pPr>
              <w:keepLines/>
              <w:spacing w:after="0" w:line="276" w:lineRule="auto"/>
            </w:pPr>
            <w:r>
              <w:rPr>
                <w:rFonts w:ascii="Calibri" w:hAnsi="Calibri" w:eastAsia="Microsoft YaHei"/>
                <w:color w:val="0B2545"/>
                <w:sz w:val="15"/>
              </w:rPr>
              <w:t>JET；MAST Upgrade；ITER/IMAS workflows；UKAEA facilities</w:t>
            </w:r>
          </w:p>
        </w:tc>
      </w:tr>
    </w:tbl>
    <w:p>
      <w:pPr>
        <w:spacing w:before="0" w:after="60"/>
      </w:pPr>
    </w:p>
    <w:p>
      <w:pPr>
        <w:widowControl/>
      </w:pPr>
      <w:r>
        <w:rPr>
          <w:rFonts w:ascii="Calibri" w:hAnsi="Calibri" w:eastAsia="Microsoft YaHei"/>
          <w:b/>
          <w:color w:val="1F4D78"/>
        </w:rPr>
        <w:t>解决问题：</w:t>
      </w:r>
      <w:r>
        <w:rPr>
          <w:rFonts w:ascii="Calibri" w:hAnsi="Calibri" w:eastAsia="Microsoft YaHei"/>
        </w:rPr>
        <w:t>分析软件面对 MDSplus、文件、数据库和远端服务时容易把设备专用访问逻辑写进物理算法。</w:t>
      </w:r>
    </w:p>
    <w:p>
      <w:pPr>
        <w:widowControl/>
      </w:pPr>
      <w:r>
        <w:rPr>
          <w:rFonts w:ascii="Calibri" w:hAnsi="Calibri" w:eastAsia="Microsoft YaHei"/>
          <w:b/>
          <w:color w:val="1F4D78"/>
        </w:rPr>
        <w:t>测量原理：</w:t>
      </w:r>
      <w:r>
        <w:rPr>
          <w:rFonts w:ascii="Calibri" w:hAnsi="Calibri" w:eastAsia="Microsoft YaHei"/>
        </w:rPr>
        <w:t>通过插件把不同数据源转换为统一对象并经网络或本地客户端返回，不修改源测量。</w:t>
      </w:r>
    </w:p>
    <w:p>
      <w:pPr>
        <w:widowControl/>
      </w:pPr>
      <w:r>
        <w:rPr>
          <w:rFonts w:ascii="Calibri" w:hAnsi="Calibri" w:eastAsia="Microsoft YaHei"/>
          <w:b/>
          <w:color w:val="1F4D78"/>
        </w:rPr>
        <w:t>测量产品：</w:t>
      </w:r>
      <w:r>
        <w:rPr>
          <w:rFonts w:ascii="Calibri" w:hAnsi="Calibri" w:eastAsia="Microsoft YaHei"/>
        </w:rPr>
        <w:t>arrays；scalars；metadata；errors；dimensions</w:t>
      </w:r>
    </w:p>
    <w:p>
      <w:pPr>
        <w:widowControl/>
      </w:pPr>
      <w:r>
        <w:rPr>
          <w:rFonts w:ascii="Calibri" w:hAnsi="Calibri" w:eastAsia="Microsoft YaHei"/>
          <w:b/>
          <w:color w:val="1F4D78"/>
        </w:rPr>
        <w:t>时空分辨与覆盖：</w:t>
      </w:r>
      <w:r>
        <w:rPr>
          <w:rFonts w:ascii="Calibri" w:hAnsi="Calibri" w:eastAsia="Microsoft YaHei"/>
        </w:rPr>
        <w:t>时间：因装置、采集和分析链而异；原始来源未给出统一数值。；空间：由视线、几何和反演设定；原始来源未给出统一数值。</w:t>
      </w:r>
    </w:p>
    <w:p>
      <w:pPr>
        <w:widowControl/>
      </w:pPr>
      <w:r>
        <w:rPr>
          <w:rFonts w:ascii="Calibri" w:hAnsi="Calibri" w:eastAsia="Microsoft YaHei"/>
          <w:b/>
          <w:color w:val="1F4D78"/>
        </w:rPr>
        <w:t>仪器与传感器：</w:t>
      </w:r>
      <w:r>
        <w:rPr>
          <w:rFonts w:ascii="Calibri" w:hAnsi="Calibri" w:eastAsia="Microsoft YaHei"/>
        </w:rPr>
        <w:t>data servers；network clients</w:t>
      </w:r>
    </w:p>
    <w:p>
      <w:pPr>
        <w:widowControl/>
      </w:pPr>
      <w:r>
        <w:rPr>
          <w:rFonts w:ascii="Calibri" w:hAnsi="Calibri" w:eastAsia="Microsoft YaHei"/>
          <w:b/>
          <w:color w:val="1F4D78"/>
        </w:rPr>
        <w:t>标定与质量：</w:t>
      </w:r>
      <w:r>
        <w:rPr>
          <w:rFonts w:ascii="Calibri" w:hAnsi="Calibri" w:eastAsia="Microsoft YaHei"/>
        </w:rPr>
        <w:t>只传递后端提供的校准和误差信息；统一 API 不会自动证明这些元数据完整。</w:t>
      </w:r>
    </w:p>
    <w:p>
      <w:pPr>
        <w:widowControl/>
      </w:pPr>
      <w:r>
        <w:rPr>
          <w:rFonts w:ascii="Calibri" w:hAnsi="Calibri" w:eastAsia="Microsoft YaHei"/>
          <w:b/>
          <w:color w:val="1F4D78"/>
        </w:rPr>
        <w:t>反演与分析：</w:t>
      </w:r>
      <w:r>
        <w:rPr>
          <w:rFonts w:ascii="Calibri" w:hAnsi="Calibri" w:eastAsia="Microsoft YaHei"/>
        </w:rPr>
        <w:t>data discovery；format abstraction；remote access</w:t>
      </w:r>
    </w:p>
    <w:p>
      <w:pPr>
        <w:widowControl/>
      </w:pPr>
      <w:r>
        <w:rPr>
          <w:rFonts w:ascii="Calibri" w:hAnsi="Calibri" w:eastAsia="Microsoft YaHei"/>
          <w:b/>
          <w:color w:val="1F4D78"/>
        </w:rPr>
        <w:t>验证与应用：</w:t>
      </w:r>
      <w:r>
        <w:rPr>
          <w:rFonts w:ascii="Calibri" w:hAnsi="Calibri" w:eastAsia="Microsoft YaHei"/>
        </w:rPr>
        <w:t>官方仓库提供 C/C++/Python 客户端、构建测试和 ITER 培训材料；公开来源支持软件实现与设施数据链使用，但本记录没有证明给定版本的持续在线服务等级。</w:t>
      </w:r>
    </w:p>
    <w:p>
      <w:pPr>
        <w:widowControl/>
      </w:pPr>
      <w:r>
        <w:rPr>
          <w:rFonts w:ascii="Calibri" w:hAnsi="Calibri" w:eastAsia="Microsoft YaHei"/>
          <w:b/>
          <w:color w:val="1F4D78"/>
        </w:rPr>
        <w:t>局限与边界：</w:t>
      </w:r>
      <w:r>
        <w:rPr>
          <w:rFonts w:ascii="Calibri" w:hAnsi="Calibri" w:eastAsia="Microsoft YaHei"/>
        </w:rPr>
        <w:t>可用性取决于站点插件、授权、网络和数据语义；统一对象不等于统一诊断本体。</w:t>
      </w:r>
    </w:p>
    <w:tbl>
      <w:tblPr>
        <w:tblStyle w:val="TableGrid"/>
        <w:tblW w:type="dxa" w:w="9360"/>
        <w:jc w:val="left"/>
        <w:tblLayout w:type="fixed"/>
        <w:tblLook w:firstColumn="1" w:firstRow="1" w:lastColumn="0" w:lastRow="0" w:noHBand="0" w:noVBand="1" w:val="04A0"/>
        <w:tblInd w:w="120" w:type="dxa"/>
      </w:tblPr>
      <w:tblGrid>
        <w:gridCol w:w="9360"/>
      </w:tblGrid>
      <w:tr>
        <w:trPr>
          <w:cantSplit/>
        </w:trPr>
        <w:tc>
          <w:tcPr>
            <w:tcW w:type="dxa" w:w="9360"/>
            <w:tcMar>
              <w:top w:w="80" w:type="dxa"/>
              <w:bottom w:w="80" w:type="dxa"/>
              <w:start w:w="120" w:type="dxa"/>
              <w:end w:w="120" w:type="dxa"/>
            </w:tcMar>
            <w:vAlign w:val="center"/>
            <w:shd w:fill="EEF7F7"/>
          </w:tcPr>
          <w:p>
            <w:pPr>
              <w:keepNext/>
              <w:keepLines/>
              <w:spacing w:after="40"/>
            </w:pPr>
            <w:r>
              <w:rPr>
                <w:rFonts w:ascii="Calibri" w:hAnsi="Calibri" w:eastAsia="Microsoft YaHei"/>
                <w:b/>
                <w:color w:val="008C95"/>
                <w:sz w:val="17"/>
              </w:rPr>
              <w:t>DIGITAL-TWIN RELEVANCE</w:t>
            </w:r>
          </w:p>
          <w:p>
            <w:pPr>
              <w:spacing w:after="0"/>
            </w:pPr>
            <w:r>
              <w:rPr>
                <w:rFonts w:ascii="Calibri" w:hAnsi="Calibri" w:eastAsia="Microsoft YaHei"/>
                <w:color w:val="0B2545"/>
                <w:sz w:val="20"/>
              </w:rPr>
              <w:t>把数字孪生服务与装置数据库解耦，是在线/离线共用数据入口，但需叠加契约、缓存和 SLA。</w:t>
            </w:r>
          </w:p>
        </w:tc>
      </w:tr>
    </w:tbl>
    <w:p>
      <w:pPr>
        <w:spacing w:after="40"/>
      </w:pPr>
    </w:p>
    <w:tbl>
      <w:tblPr>
        <w:tblStyle w:val="TableGrid"/>
        <w:tblW w:type="dxa" w:w="9360"/>
        <w:jc w:val="left"/>
        <w:tblLayout w:type="fixed"/>
        <w:tblLook w:firstColumn="1" w:firstRow="1" w:lastColumn="0" w:lastRow="0" w:noHBand="0" w:noVBand="1" w:val="04A0"/>
        <w:tblInd w:w="120" w:type="dxa"/>
      </w:tblPr>
      <w:tblGrid>
        <w:gridCol w:w="850"/>
        <w:gridCol w:w="2500"/>
        <w:gridCol w:w="1600"/>
        <w:gridCol w:w="2300"/>
        <w:gridCol w:w="2110"/>
      </w:tblGrid>
      <w:tr>
        <w:trPr>
          <w:tblHeader w:val="true"/>
        </w:trPr>
        <w:tc>
          <w:tcPr>
            <w:tcW w:type="dxa" w:w="8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年份/类型</w:t>
            </w:r>
          </w:p>
        </w:tc>
        <w:tc>
          <w:tcPr>
            <w:tcW w:type="dxa" w:w="25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论文或软件</w:t>
            </w:r>
          </w:p>
        </w:tc>
        <w:tc>
          <w:tcPr>
            <w:tcW w:type="dxa" w:w="16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期刊/开放性</w:t>
            </w:r>
          </w:p>
        </w:tc>
        <w:tc>
          <w:tcPr>
            <w:tcW w:type="dxa" w:w="23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来源类型/关系</w:t>
            </w:r>
          </w:p>
        </w:tc>
        <w:tc>
          <w:tcPr>
            <w:tcW w:type="dxa" w:w="211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链接</w:t>
            </w:r>
          </w:p>
        </w:tc>
      </w:tr>
      <w:tr>
        <w:trPr>
          <w:cantSplit/>
        </w:trPr>
        <w:tc>
          <w:tcPr>
            <w:tcW w:type="dxa" w:w="850"/>
          </w:tcPr>
          <w:p>
            <w:pPr>
              <w:keepLines/>
              <w:spacing w:after="0" w:line="276" w:lineRule="auto"/>
            </w:pPr>
            <w:r>
              <w:rPr>
                <w:rFonts w:ascii="Calibri" w:hAnsi="Calibri" w:eastAsia="Microsoft YaHei"/>
                <w:color w:val="0B2545"/>
                <w:sz w:val="14"/>
              </w:rPr>
              <w:t>2026</w:t>
            </w:r>
          </w:p>
        </w:tc>
        <w:tc>
          <w:tcPr>
            <w:tcW w:type="dxa" w:w="2500"/>
          </w:tcPr>
          <w:p>
            <w:pPr>
              <w:keepLines/>
              <w:spacing w:after="0" w:line="276" w:lineRule="auto"/>
            </w:pPr>
            <w:r>
              <w:rPr>
                <w:rFonts w:ascii="Calibri" w:hAnsi="Calibri" w:eastAsia="Microsoft YaHei"/>
                <w:color w:val="0B2545"/>
                <w:sz w:val="14"/>
              </w:rPr>
              <w:t>Universal Data Access official repository and documentation</w:t>
            </w:r>
          </w:p>
        </w:tc>
        <w:tc>
          <w:tcPr>
            <w:tcW w:type="dxa" w:w="1600"/>
          </w:tcPr>
          <w:p>
            <w:pPr>
              <w:keepLines/>
              <w:spacing w:after="0" w:line="276" w:lineRule="auto"/>
            </w:pPr>
            <w:r>
              <w:rPr>
                <w:rFonts w:ascii="Calibri" w:hAnsi="Calibri" w:eastAsia="Microsoft YaHei"/>
                <w:color w:val="0B2545"/>
                <w:sz w:val="14"/>
              </w:rPr>
              <w:t>原始论文 / 官方来源</w:t>
            </w:r>
          </w:p>
        </w:tc>
        <w:tc>
          <w:tcPr>
            <w:tcW w:type="dxa" w:w="2300"/>
          </w:tcPr>
          <w:p>
            <w:pPr>
              <w:keepLines/>
              <w:spacing w:after="0" w:line="276" w:lineRule="auto"/>
            </w:pPr>
            <w:r>
              <w:rPr>
                <w:rFonts w:ascii="Calibri" w:hAnsi="Calibri" w:eastAsia="Microsoft YaHei"/>
                <w:color w:val="0B2545"/>
                <w:sz w:val="14"/>
              </w:rPr>
              <w:t>UKAEA official repository</w:t>
            </w:r>
          </w:p>
        </w:tc>
        <w:tc>
          <w:tcPr>
            <w:tcW w:type="dxa" w:w="2110"/>
          </w:tcPr>
          <w:p>
            <w:pPr>
              <w:keepLines/>
              <w:spacing w:after="0" w:line="276" w:lineRule="auto"/>
            </w:pPr>
            <w:hyperlink r:id="rId22">
              <w:r>
                <w:rPr>
                  <w:rFonts w:ascii="Calibri" w:hAnsi="Calibri" w:eastAsia="Microsoft YaHei"/>
                  <w:color w:val="008C95"/>
                  <w:u w:val="single"/>
                </w:rPr>
                <w:t>打开原始来源 ↗</w:t>
              </w:r>
            </w:hyperlink>
          </w:p>
        </w:tc>
      </w:tr>
      <w:tr>
        <w:trPr>
          <w:cantSplit/>
        </w:trPr>
        <w:tc>
          <w:tcPr>
            <w:tcW w:type="dxa" w:w="850"/>
          </w:tcPr>
          <w:p>
            <w:pPr>
              <w:keepLines/>
              <w:spacing w:after="0" w:line="276" w:lineRule="auto"/>
            </w:pPr>
            <w:r>
              <w:rPr>
                <w:rFonts w:ascii="Calibri" w:hAnsi="Calibri" w:eastAsia="Microsoft YaHei"/>
                <w:color w:val="0B2545"/>
                <w:sz w:val="14"/>
              </w:rPr>
              <w:t>软件</w:t>
            </w:r>
          </w:p>
        </w:tc>
        <w:tc>
          <w:tcPr>
            <w:tcW w:type="dxa" w:w="2500"/>
          </w:tcPr>
          <w:p>
            <w:pPr>
              <w:keepLines/>
              <w:spacing w:after="0" w:line="276" w:lineRule="auto"/>
            </w:pPr>
            <w:r>
              <w:rPr>
                <w:rFonts w:ascii="Calibri" w:hAnsi="Calibri" w:eastAsia="Microsoft YaHei"/>
                <w:color w:val="0B2545"/>
                <w:sz w:val="14"/>
              </w:rPr>
              <w:t>UDA</w:t>
            </w:r>
          </w:p>
        </w:tc>
        <w:tc>
          <w:tcPr>
            <w:tcW w:type="dxa" w:w="1600"/>
          </w:tcPr>
          <w:p>
            <w:pPr>
              <w:keepLines/>
              <w:spacing w:after="0" w:line="276" w:lineRule="auto"/>
            </w:pPr>
            <w:r>
              <w:rPr>
                <w:rFonts w:ascii="Calibri" w:hAnsi="Calibri" w:eastAsia="Microsoft YaHei"/>
                <w:color w:val="0B2545"/>
                <w:sz w:val="14"/>
              </w:rPr>
              <w:t>official-direct</w:t>
            </w:r>
          </w:p>
        </w:tc>
        <w:tc>
          <w:tcPr>
            <w:tcW w:type="dxa" w:w="2300"/>
          </w:tcPr>
          <w:p>
            <w:pPr>
              <w:keepLines/>
              <w:spacing w:after="0" w:line="276" w:lineRule="auto"/>
            </w:pPr>
            <w:r>
              <w:rPr>
                <w:rFonts w:ascii="Calibri" w:hAnsi="Calibri" w:eastAsia="Microsoft YaHei"/>
                <w:color w:val="0B2545"/>
                <w:sz w:val="14"/>
              </w:rPr>
              <w:t>UKAEA 维护的统一数据访问核心。</w:t>
            </w:r>
          </w:p>
        </w:tc>
        <w:tc>
          <w:tcPr>
            <w:tcW w:type="dxa" w:w="2110"/>
          </w:tcPr>
          <w:p>
            <w:pPr>
              <w:keepLines/>
              <w:spacing w:after="0" w:line="276" w:lineRule="auto"/>
            </w:pPr>
            <w:hyperlink r:id="rId22">
              <w:r>
                <w:rPr>
                  <w:rFonts w:ascii="Calibri" w:hAnsi="Calibri" w:eastAsia="Microsoft YaHei"/>
                  <w:color w:val="008C95"/>
                  <w:u w:val="single"/>
                </w:rPr>
                <w:t>打开原始来源 ↗</w:t>
              </w:r>
            </w:hyperlink>
          </w:p>
        </w:tc>
      </w:tr>
      <w:tr>
        <w:trPr>
          <w:cantSplit/>
        </w:trPr>
        <w:tc>
          <w:tcPr>
            <w:tcW w:type="dxa" w:w="850"/>
          </w:tcPr>
          <w:p>
            <w:pPr>
              <w:keepLines/>
              <w:spacing w:after="0" w:line="276" w:lineRule="auto"/>
            </w:pPr>
            <w:r>
              <w:rPr>
                <w:rFonts w:ascii="Calibri" w:hAnsi="Calibri" w:eastAsia="Microsoft YaHei"/>
                <w:color w:val="0B2545"/>
                <w:sz w:val="14"/>
              </w:rPr>
              <w:t>软件</w:t>
            </w:r>
          </w:p>
        </w:tc>
        <w:tc>
          <w:tcPr>
            <w:tcW w:type="dxa" w:w="2500"/>
          </w:tcPr>
          <w:p>
            <w:pPr>
              <w:keepLines/>
              <w:spacing w:after="0" w:line="276" w:lineRule="auto"/>
            </w:pPr>
            <w:r>
              <w:rPr>
                <w:rFonts w:ascii="Calibri" w:hAnsi="Calibri" w:eastAsia="Microsoft YaHei"/>
                <w:color w:val="0B2545"/>
                <w:sz w:val="14"/>
              </w:rPr>
              <w:t>pyuda</w:t>
            </w:r>
          </w:p>
        </w:tc>
        <w:tc>
          <w:tcPr>
            <w:tcW w:type="dxa" w:w="1600"/>
          </w:tcPr>
          <w:p>
            <w:pPr>
              <w:keepLines/>
              <w:spacing w:after="0" w:line="276" w:lineRule="auto"/>
            </w:pPr>
            <w:r>
              <w:rPr>
                <w:rFonts w:ascii="Calibri" w:hAnsi="Calibri" w:eastAsia="Microsoft YaHei"/>
                <w:color w:val="0B2545"/>
                <w:sz w:val="14"/>
              </w:rPr>
              <w:t>official-direct</w:t>
            </w:r>
          </w:p>
        </w:tc>
        <w:tc>
          <w:tcPr>
            <w:tcW w:type="dxa" w:w="2300"/>
          </w:tcPr>
          <w:p>
            <w:pPr>
              <w:keepLines/>
              <w:spacing w:after="0" w:line="276" w:lineRule="auto"/>
            </w:pPr>
            <w:r>
              <w:rPr>
                <w:rFonts w:ascii="Calibri" w:hAnsi="Calibri" w:eastAsia="Microsoft YaHei"/>
                <w:color w:val="0B2545"/>
                <w:sz w:val="14"/>
              </w:rPr>
              <w:t>UDA 官方 Python 客户端发行包。</w:t>
            </w:r>
          </w:p>
        </w:tc>
        <w:tc>
          <w:tcPr>
            <w:tcW w:type="dxa" w:w="2110"/>
          </w:tcPr>
          <w:p>
            <w:pPr>
              <w:keepLines/>
              <w:spacing w:after="0" w:line="276" w:lineRule="auto"/>
            </w:pPr>
            <w:hyperlink r:id="rId23">
              <w:r>
                <w:rPr>
                  <w:rFonts w:ascii="Calibri" w:hAnsi="Calibri" w:eastAsia="Microsoft YaHei"/>
                  <w:color w:val="008C95"/>
                  <w:u w:val="single"/>
                </w:rPr>
                <w:t>打开原始来源 ↗</w:t>
              </w:r>
            </w:hyperlink>
          </w:p>
        </w:tc>
      </w:tr>
    </w:tbl>
    <w:p>
      <w:pPr>
        <w:spacing w:before="0" w:after="60"/>
      </w:pPr>
    </w:p>
    <w:p>
      <w:pPr>
        <w:pStyle w:val="Heading3"/>
        <w:keepNext/>
      </w:pPr>
      <w:r>
        <w:t>DG0.04  OMAS：轻量 IMAS 兼容数据对象与装置映射</w:t>
      </w:r>
    </w:p>
    <w:p>
      <w:pPr>
        <w:keepNext/>
        <w:spacing w:after="80"/>
      </w:pPr>
      <w:r>
        <w:rPr>
          <w:rFonts w:ascii="Calibri" w:hAnsi="Calibri" w:eastAsia="Microsoft YaHei"/>
          <w:i/>
          <w:color w:val="566573"/>
          <w:sz w:val="18"/>
        </w:rPr>
        <w:t>OMAS: Lightweight IMAS-Compatible Data Objects</w:t>
      </w:r>
    </w:p>
    <w:tbl>
      <w:tblPr>
        <w:tblStyle w:val="TableGrid"/>
        <w:tblW w:type="dxa" w:w="9360"/>
        <w:jc w:val="left"/>
        <w:tblLayout w:type="fixed"/>
        <w:tblLook w:firstColumn="1" w:firstRow="1" w:lastColumn="0" w:lastRow="0" w:noHBand="0" w:noVBand="1" w:val="04A0"/>
        <w:tblInd w:w="120" w:type="dxa"/>
      </w:tblPr>
      <w:tblGrid>
        <w:gridCol w:w="1200"/>
        <w:gridCol w:w="750"/>
        <w:gridCol w:w="750"/>
        <w:gridCol w:w="2100"/>
        <w:gridCol w:w="4560"/>
      </w:tblGrid>
      <w:tr>
        <w:trPr>
          <w:tblHeader w:val="true"/>
        </w:trPr>
        <w:tc>
          <w:tcPr>
            <w:tcW w:type="dxa" w:w="12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工作 ID</w:t>
            </w:r>
          </w:p>
        </w:tc>
        <w:tc>
          <w:tcPr>
            <w:tcW w:type="dxa" w:w="7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证据</w:t>
            </w:r>
          </w:p>
        </w:tc>
        <w:tc>
          <w:tcPr>
            <w:tcW w:type="dxa" w:w="7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部署</w:t>
            </w:r>
          </w:p>
        </w:tc>
        <w:tc>
          <w:tcPr>
            <w:tcW w:type="dxa" w:w="21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技术族</w:t>
            </w:r>
          </w:p>
        </w:tc>
        <w:tc>
          <w:tcPr>
            <w:tcW w:type="dxa" w:w="456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装置</w:t>
            </w:r>
          </w:p>
        </w:tc>
      </w:tr>
      <w:tr>
        <w:trPr>
          <w:cantSplit/>
        </w:trPr>
        <w:tc>
          <w:tcPr>
            <w:tcW w:type="dxa" w:w="1200"/>
          </w:tcPr>
          <w:p>
            <w:pPr>
              <w:keepLines/>
              <w:spacing w:after="0" w:line="276" w:lineRule="auto"/>
            </w:pPr>
            <w:r>
              <w:rPr>
                <w:rFonts w:ascii="Calibri" w:hAnsi="Calibri" w:eastAsia="Microsoft YaHei"/>
                <w:color w:val="0B2545"/>
                <w:sz w:val="15"/>
              </w:rPr>
              <w:t>DSI-004</w:t>
            </w:r>
          </w:p>
        </w:tc>
        <w:tc>
          <w:tcPr>
            <w:tcW w:type="dxa" w:w="750"/>
          </w:tcPr>
          <w:p>
            <w:pPr>
              <w:keepLines/>
              <w:spacing w:after="0" w:line="276" w:lineRule="auto"/>
            </w:pPr>
            <w:r>
              <w:rPr>
                <w:rFonts w:ascii="Calibri" w:hAnsi="Calibri" w:eastAsia="Microsoft YaHei"/>
                <w:color w:val="0B2545"/>
                <w:sz w:val="15"/>
              </w:rPr>
              <w:t>E2</w:t>
            </w:r>
          </w:p>
        </w:tc>
        <w:tc>
          <w:tcPr>
            <w:tcW w:type="dxa" w:w="750"/>
          </w:tcPr>
          <w:p>
            <w:pPr>
              <w:keepLines/>
              <w:spacing w:after="0" w:line="276" w:lineRule="auto"/>
            </w:pPr>
            <w:r>
              <w:rPr>
                <w:rFonts w:ascii="Calibri" w:hAnsi="Calibri" w:eastAsia="Microsoft YaHei"/>
                <w:color w:val="0B2545"/>
                <w:sz w:val="15"/>
              </w:rPr>
              <w:t>D2</w:t>
            </w:r>
          </w:p>
        </w:tc>
        <w:tc>
          <w:tcPr>
            <w:tcW w:type="dxa" w:w="2100"/>
          </w:tcPr>
          <w:p>
            <w:pPr>
              <w:keepLines/>
              <w:spacing w:after="0" w:line="276" w:lineRule="auto"/>
            </w:pPr>
            <w:r>
              <w:rPr>
                <w:rFonts w:ascii="Calibri" w:hAnsi="Calibri" w:eastAsia="Microsoft YaHei"/>
                <w:color w:val="0B2545"/>
                <w:sz w:val="15"/>
              </w:rPr>
              <w:t>COMPUTATIONAL</w:t>
            </w:r>
          </w:p>
        </w:tc>
        <w:tc>
          <w:tcPr>
            <w:tcW w:type="dxa" w:w="4560"/>
          </w:tcPr>
          <w:p>
            <w:pPr>
              <w:keepLines/>
              <w:spacing w:after="0" w:line="276" w:lineRule="auto"/>
            </w:pPr>
            <w:r>
              <w:rPr>
                <w:rFonts w:ascii="Calibri" w:hAnsi="Calibri" w:eastAsia="Microsoft YaHei"/>
                <w:color w:val="0B2545"/>
                <w:sz w:val="15"/>
              </w:rPr>
              <w:t>DIII-D；NSTX-U；ITER scenario studies；GA workflows</w:t>
            </w:r>
          </w:p>
        </w:tc>
      </w:tr>
    </w:tbl>
    <w:p>
      <w:pPr>
        <w:spacing w:before="0" w:after="60"/>
      </w:pPr>
    </w:p>
    <w:p>
      <w:pPr>
        <w:widowControl/>
      </w:pPr>
      <w:r>
        <w:rPr>
          <w:rFonts w:ascii="Calibri" w:hAnsi="Calibri" w:eastAsia="Microsoft YaHei"/>
          <w:b/>
          <w:color w:val="1F4D78"/>
        </w:rPr>
        <w:t>解决问题：</w:t>
      </w:r>
      <w:r>
        <w:rPr>
          <w:rFonts w:ascii="Calibri" w:hAnsi="Calibri" w:eastAsia="Microsoft YaHei"/>
        </w:rPr>
        <w:t>研究者在没有完整 IMAS 安装的环境中仍需读写标准化 IDS、映射装置数据和搭建可测试工作流。</w:t>
      </w:r>
    </w:p>
    <w:p>
      <w:pPr>
        <w:widowControl/>
      </w:pPr>
      <w:r>
        <w:rPr>
          <w:rFonts w:ascii="Calibri" w:hAnsi="Calibri" w:eastAsia="Microsoft YaHei"/>
          <w:b/>
          <w:color w:val="1F4D78"/>
        </w:rPr>
        <w:t>测量原理：</w:t>
      </w:r>
      <w:r>
        <w:rPr>
          <w:rFonts w:ascii="Calibri" w:hAnsi="Calibri" w:eastAsia="Microsoft YaHei"/>
        </w:rPr>
        <w:t>用 Python 对象实现 IMAS 数据结构和装置映射，支持一致路径、单位与格式转换。</w:t>
      </w:r>
    </w:p>
    <w:p>
      <w:pPr>
        <w:widowControl/>
      </w:pPr>
      <w:r>
        <w:rPr>
          <w:rFonts w:ascii="Calibri" w:hAnsi="Calibri" w:eastAsia="Microsoft YaHei"/>
          <w:b/>
          <w:color w:val="1F4D78"/>
        </w:rPr>
        <w:t>测量产品：</w:t>
      </w:r>
      <w:r>
        <w:rPr>
          <w:rFonts w:ascii="Calibri" w:hAnsi="Calibri" w:eastAsia="Microsoft YaHei"/>
        </w:rPr>
        <w:t>IDS fields；equilibrium；profiles；sources；diagnostics</w:t>
      </w:r>
    </w:p>
    <w:p>
      <w:pPr>
        <w:widowControl/>
      </w:pPr>
      <w:r>
        <w:rPr>
          <w:rFonts w:ascii="Calibri" w:hAnsi="Calibri" w:eastAsia="Microsoft YaHei"/>
          <w:b/>
          <w:color w:val="1F4D78"/>
        </w:rPr>
        <w:t>时空分辨与覆盖：</w:t>
      </w:r>
      <w:r>
        <w:rPr>
          <w:rFonts w:ascii="Calibri" w:hAnsi="Calibri" w:eastAsia="Microsoft YaHei"/>
        </w:rPr>
        <w:t>时间：因装置、采集和分析链而异；原始来源未给出统一数值。；空间：由视线、几何和反演设定；原始来源未给出统一数值。</w:t>
      </w:r>
    </w:p>
    <w:p>
      <w:pPr>
        <w:widowControl/>
      </w:pPr>
      <w:r>
        <w:rPr>
          <w:rFonts w:ascii="Calibri" w:hAnsi="Calibri" w:eastAsia="Microsoft YaHei"/>
          <w:b/>
          <w:color w:val="1F4D78"/>
        </w:rPr>
        <w:t>仪器与传感器：</w:t>
      </w:r>
      <w:r>
        <w:rPr>
          <w:rFonts w:ascii="Calibri" w:hAnsi="Calibri" w:eastAsia="Microsoft YaHei"/>
        </w:rPr>
        <w:t>CPU workstations</w:t>
      </w:r>
    </w:p>
    <w:p>
      <w:pPr>
        <w:widowControl/>
      </w:pPr>
      <w:r>
        <w:rPr>
          <w:rFonts w:ascii="Calibri" w:hAnsi="Calibri" w:eastAsia="Microsoft YaHei"/>
          <w:b/>
          <w:color w:val="1F4D78"/>
        </w:rPr>
        <w:t>标定与质量：</w:t>
      </w:r>
      <w:r>
        <w:rPr>
          <w:rFonts w:ascii="Calibri" w:hAnsi="Calibri" w:eastAsia="Microsoft YaHei"/>
        </w:rPr>
        <w:t>可承载校准后的数据与元数据；映射脚本必须单独进行通道、单位和时间验证。</w:t>
      </w:r>
    </w:p>
    <w:p>
      <w:pPr>
        <w:widowControl/>
      </w:pPr>
      <w:r>
        <w:rPr>
          <w:rFonts w:ascii="Calibri" w:hAnsi="Calibri" w:eastAsia="Microsoft YaHei"/>
          <w:b/>
          <w:color w:val="1F4D78"/>
        </w:rPr>
        <w:t>反演与分析：</w:t>
      </w:r>
      <w:r>
        <w:rPr>
          <w:rFonts w:ascii="Calibri" w:hAnsi="Calibri" w:eastAsia="Microsoft YaHei"/>
        </w:rPr>
        <w:t>schema checking；machine mapping；workflow exchange</w:t>
      </w:r>
    </w:p>
    <w:p>
      <w:pPr>
        <w:widowControl/>
      </w:pPr>
      <w:r>
        <w:rPr>
          <w:rFonts w:ascii="Calibri" w:hAnsi="Calibri" w:eastAsia="Microsoft YaHei"/>
          <w:b/>
          <w:color w:val="1F4D78"/>
        </w:rPr>
        <w:t>验证与应用：</w:t>
      </w:r>
      <w:r>
        <w:rPr>
          <w:rFonts w:ascii="Calibri" w:hAnsi="Calibri" w:eastAsia="Microsoft YaHei"/>
        </w:rPr>
        <w:t>官方仓库包含持续测试和多种格式示例，已用于 GA/跨机构建模工作流。</w:t>
      </w:r>
    </w:p>
    <w:p>
      <w:pPr>
        <w:widowControl/>
      </w:pPr>
      <w:r>
        <w:rPr>
          <w:rFonts w:ascii="Calibri" w:hAnsi="Calibri" w:eastAsia="Microsoft YaHei"/>
          <w:b/>
          <w:color w:val="1F4D78"/>
        </w:rPr>
        <w:t>局限与边界：</w:t>
      </w:r>
      <w:r>
        <w:rPr>
          <w:rFonts w:ascii="Calibri" w:hAnsi="Calibri" w:eastAsia="Microsoft YaHei"/>
        </w:rPr>
        <w:t>不是实时总线或计量系统；部分 IDS 与机器映射覆盖随版本变化，需固定 schema 和映射提交。</w:t>
      </w:r>
    </w:p>
    <w:tbl>
      <w:tblPr>
        <w:tblStyle w:val="TableGrid"/>
        <w:tblW w:type="dxa" w:w="9360"/>
        <w:jc w:val="left"/>
        <w:tblLayout w:type="fixed"/>
        <w:tblLook w:firstColumn="1" w:firstRow="1" w:lastColumn="0" w:lastRow="0" w:noHBand="0" w:noVBand="1" w:val="04A0"/>
        <w:tblInd w:w="120" w:type="dxa"/>
      </w:tblPr>
      <w:tblGrid>
        <w:gridCol w:w="9360"/>
      </w:tblGrid>
      <w:tr>
        <w:trPr>
          <w:cantSplit/>
        </w:trPr>
        <w:tc>
          <w:tcPr>
            <w:tcW w:type="dxa" w:w="9360"/>
            <w:tcMar>
              <w:top w:w="80" w:type="dxa"/>
              <w:bottom w:w="80" w:type="dxa"/>
              <w:start w:w="120" w:type="dxa"/>
              <w:end w:w="120" w:type="dxa"/>
            </w:tcMar>
            <w:vAlign w:val="center"/>
            <w:shd w:fill="EEF7F7"/>
          </w:tcPr>
          <w:p>
            <w:pPr>
              <w:keepNext/>
              <w:keepLines/>
              <w:spacing w:after="40"/>
            </w:pPr>
            <w:r>
              <w:rPr>
                <w:rFonts w:ascii="Calibri" w:hAnsi="Calibri" w:eastAsia="Microsoft YaHei"/>
                <w:b/>
                <w:color w:val="008C95"/>
                <w:sz w:val="17"/>
              </w:rPr>
              <w:t>DIGITAL-TWIN RELEVANCE</w:t>
            </w:r>
          </w:p>
          <w:p>
            <w:pPr>
              <w:spacing w:after="0"/>
            </w:pPr>
            <w:r>
              <w:rPr>
                <w:rFonts w:ascii="Calibri" w:hAnsi="Calibri" w:eastAsia="Microsoft YaHei"/>
                <w:color w:val="0B2545"/>
                <w:sz w:val="20"/>
              </w:rPr>
              <w:t>适合孪生原型快速采用 IMAS 语义，也能作为源数据到正式 IDS 的过渡适配器。</w:t>
            </w:r>
          </w:p>
        </w:tc>
      </w:tr>
    </w:tbl>
    <w:p>
      <w:pPr>
        <w:spacing w:after="40"/>
      </w:pPr>
    </w:p>
    <w:tbl>
      <w:tblPr>
        <w:tblStyle w:val="TableGrid"/>
        <w:tblW w:type="dxa" w:w="9360"/>
        <w:jc w:val="left"/>
        <w:tblLayout w:type="fixed"/>
        <w:tblLook w:firstColumn="1" w:firstRow="1" w:lastColumn="0" w:lastRow="0" w:noHBand="0" w:noVBand="1" w:val="04A0"/>
        <w:tblInd w:w="120" w:type="dxa"/>
      </w:tblPr>
      <w:tblGrid>
        <w:gridCol w:w="850"/>
        <w:gridCol w:w="2500"/>
        <w:gridCol w:w="1600"/>
        <w:gridCol w:w="2300"/>
        <w:gridCol w:w="2110"/>
      </w:tblGrid>
      <w:tr>
        <w:trPr>
          <w:tblHeader w:val="true"/>
        </w:trPr>
        <w:tc>
          <w:tcPr>
            <w:tcW w:type="dxa" w:w="8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年份/类型</w:t>
            </w:r>
          </w:p>
        </w:tc>
        <w:tc>
          <w:tcPr>
            <w:tcW w:type="dxa" w:w="25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论文或软件</w:t>
            </w:r>
          </w:p>
        </w:tc>
        <w:tc>
          <w:tcPr>
            <w:tcW w:type="dxa" w:w="16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期刊/开放性</w:t>
            </w:r>
          </w:p>
        </w:tc>
        <w:tc>
          <w:tcPr>
            <w:tcW w:type="dxa" w:w="23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来源类型/关系</w:t>
            </w:r>
          </w:p>
        </w:tc>
        <w:tc>
          <w:tcPr>
            <w:tcW w:type="dxa" w:w="211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链接</w:t>
            </w:r>
          </w:p>
        </w:tc>
      </w:tr>
      <w:tr>
        <w:trPr>
          <w:cantSplit/>
        </w:trPr>
        <w:tc>
          <w:tcPr>
            <w:tcW w:type="dxa" w:w="850"/>
          </w:tcPr>
          <w:p>
            <w:pPr>
              <w:keepLines/>
              <w:spacing w:after="0" w:line="276" w:lineRule="auto"/>
            </w:pPr>
            <w:r>
              <w:rPr>
                <w:rFonts w:ascii="Calibri" w:hAnsi="Calibri" w:eastAsia="Microsoft YaHei"/>
                <w:color w:val="0B2545"/>
                <w:sz w:val="14"/>
              </w:rPr>
              <w:t>2026</w:t>
            </w:r>
          </w:p>
        </w:tc>
        <w:tc>
          <w:tcPr>
            <w:tcW w:type="dxa" w:w="2500"/>
          </w:tcPr>
          <w:p>
            <w:pPr>
              <w:keepLines/>
              <w:spacing w:after="0" w:line="276" w:lineRule="auto"/>
            </w:pPr>
            <w:r>
              <w:rPr>
                <w:rFonts w:ascii="Calibri" w:hAnsi="Calibri" w:eastAsia="Microsoft YaHei"/>
                <w:color w:val="0B2545"/>
                <w:sz w:val="14"/>
              </w:rPr>
              <w:t>OMAS documentation</w:t>
            </w:r>
          </w:p>
        </w:tc>
        <w:tc>
          <w:tcPr>
            <w:tcW w:type="dxa" w:w="1600"/>
          </w:tcPr>
          <w:p>
            <w:pPr>
              <w:keepLines/>
              <w:spacing w:after="0" w:line="276" w:lineRule="auto"/>
            </w:pPr>
            <w:r>
              <w:rPr>
                <w:rFonts w:ascii="Calibri" w:hAnsi="Calibri" w:eastAsia="Microsoft YaHei"/>
                <w:color w:val="0B2545"/>
                <w:sz w:val="14"/>
              </w:rPr>
              <w:t>原始论文 / 官方来源</w:t>
            </w:r>
          </w:p>
        </w:tc>
        <w:tc>
          <w:tcPr>
            <w:tcW w:type="dxa" w:w="2300"/>
          </w:tcPr>
          <w:p>
            <w:pPr>
              <w:keepLines/>
              <w:spacing w:after="0" w:line="276" w:lineRule="auto"/>
            </w:pPr>
            <w:r>
              <w:rPr>
                <w:rFonts w:ascii="Calibri" w:hAnsi="Calibri" w:eastAsia="Microsoft YaHei"/>
                <w:color w:val="0B2545"/>
                <w:sz w:val="14"/>
              </w:rPr>
              <w:t>official project documentation</w:t>
            </w:r>
          </w:p>
        </w:tc>
        <w:tc>
          <w:tcPr>
            <w:tcW w:type="dxa" w:w="2110"/>
          </w:tcPr>
          <w:p>
            <w:pPr>
              <w:keepLines/>
              <w:spacing w:after="0" w:line="276" w:lineRule="auto"/>
            </w:pPr>
            <w:hyperlink r:id="rId24">
              <w:r>
                <w:rPr>
                  <w:rFonts w:ascii="Calibri" w:hAnsi="Calibri" w:eastAsia="Microsoft YaHei"/>
                  <w:color w:val="008C95"/>
                  <w:u w:val="single"/>
                </w:rPr>
                <w:t>打开原始来源 ↗</w:t>
              </w:r>
            </w:hyperlink>
          </w:p>
        </w:tc>
      </w:tr>
      <w:tr>
        <w:trPr>
          <w:cantSplit/>
        </w:trPr>
        <w:tc>
          <w:tcPr>
            <w:tcW w:type="dxa" w:w="850"/>
          </w:tcPr>
          <w:p>
            <w:pPr>
              <w:keepLines/>
              <w:spacing w:after="0" w:line="276" w:lineRule="auto"/>
            </w:pPr>
            <w:r>
              <w:rPr>
                <w:rFonts w:ascii="Calibri" w:hAnsi="Calibri" w:eastAsia="Microsoft YaHei"/>
                <w:color w:val="0B2545"/>
                <w:sz w:val="14"/>
              </w:rPr>
              <w:t>软件</w:t>
            </w:r>
          </w:p>
        </w:tc>
        <w:tc>
          <w:tcPr>
            <w:tcW w:type="dxa" w:w="2500"/>
          </w:tcPr>
          <w:p>
            <w:pPr>
              <w:keepLines/>
              <w:spacing w:after="0" w:line="276" w:lineRule="auto"/>
            </w:pPr>
            <w:r>
              <w:rPr>
                <w:rFonts w:ascii="Calibri" w:hAnsi="Calibri" w:eastAsia="Microsoft YaHei"/>
                <w:color w:val="0B2545"/>
                <w:sz w:val="14"/>
              </w:rPr>
              <w:t>OMAS</w:t>
            </w:r>
          </w:p>
        </w:tc>
        <w:tc>
          <w:tcPr>
            <w:tcW w:type="dxa" w:w="1600"/>
          </w:tcPr>
          <w:p>
            <w:pPr>
              <w:keepLines/>
              <w:spacing w:after="0" w:line="276" w:lineRule="auto"/>
            </w:pPr>
            <w:r>
              <w:rPr>
                <w:rFonts w:ascii="Calibri" w:hAnsi="Calibri" w:eastAsia="Microsoft YaHei"/>
                <w:color w:val="0B2545"/>
                <w:sz w:val="14"/>
              </w:rPr>
              <w:t>official-direct</w:t>
            </w:r>
          </w:p>
        </w:tc>
        <w:tc>
          <w:tcPr>
            <w:tcW w:type="dxa" w:w="2300"/>
          </w:tcPr>
          <w:p>
            <w:pPr>
              <w:keepLines/>
              <w:spacing w:after="0" w:line="276" w:lineRule="auto"/>
            </w:pPr>
            <w:r>
              <w:rPr>
                <w:rFonts w:ascii="Calibri" w:hAnsi="Calibri" w:eastAsia="Microsoft YaHei"/>
                <w:color w:val="0B2545"/>
                <w:sz w:val="14"/>
              </w:rPr>
              <w:t>General Atomics Fusion 官方开源实现。</w:t>
            </w:r>
          </w:p>
        </w:tc>
        <w:tc>
          <w:tcPr>
            <w:tcW w:type="dxa" w:w="2110"/>
          </w:tcPr>
          <w:p>
            <w:pPr>
              <w:keepLines/>
              <w:spacing w:after="0" w:line="276" w:lineRule="auto"/>
            </w:pPr>
            <w:hyperlink r:id="rId25">
              <w:r>
                <w:rPr>
                  <w:rFonts w:ascii="Calibri" w:hAnsi="Calibri" w:eastAsia="Microsoft YaHei"/>
                  <w:color w:val="008C95"/>
                  <w:u w:val="single"/>
                </w:rPr>
                <w:t>打开原始来源 ↗</w:t>
              </w:r>
            </w:hyperlink>
          </w:p>
        </w:tc>
      </w:tr>
    </w:tbl>
    <w:p>
      <w:pPr>
        <w:spacing w:before="0" w:after="60"/>
      </w:pPr>
    </w:p>
    <w:p>
      <w:pPr>
        <w:pStyle w:val="Heading3"/>
        <w:keepNext/>
      </w:pPr>
      <w:r>
        <w:t>DG0.05  FAIR4Fusion 数据治理蓝图</w:t>
      </w:r>
    </w:p>
    <w:p>
      <w:pPr>
        <w:keepNext/>
        <w:spacing w:after="80"/>
      </w:pPr>
      <w:r>
        <w:rPr>
          <w:rFonts w:ascii="Calibri" w:hAnsi="Calibri" w:eastAsia="Microsoft YaHei"/>
          <w:i/>
          <w:color w:val="566573"/>
          <w:sz w:val="18"/>
        </w:rPr>
        <w:t>FAIR4Fusion Data Governance Blueprint</w:t>
      </w:r>
    </w:p>
    <w:tbl>
      <w:tblPr>
        <w:tblStyle w:val="TableGrid"/>
        <w:tblW w:type="dxa" w:w="9360"/>
        <w:jc w:val="left"/>
        <w:tblLayout w:type="fixed"/>
        <w:tblLook w:firstColumn="1" w:firstRow="1" w:lastColumn="0" w:lastRow="0" w:noHBand="0" w:noVBand="1" w:val="04A0"/>
        <w:tblInd w:w="120" w:type="dxa"/>
      </w:tblPr>
      <w:tblGrid>
        <w:gridCol w:w="1200"/>
        <w:gridCol w:w="750"/>
        <w:gridCol w:w="750"/>
        <w:gridCol w:w="2100"/>
        <w:gridCol w:w="4560"/>
      </w:tblGrid>
      <w:tr>
        <w:trPr>
          <w:tblHeader w:val="true"/>
        </w:trPr>
        <w:tc>
          <w:tcPr>
            <w:tcW w:type="dxa" w:w="12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工作 ID</w:t>
            </w:r>
          </w:p>
        </w:tc>
        <w:tc>
          <w:tcPr>
            <w:tcW w:type="dxa" w:w="7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证据</w:t>
            </w:r>
          </w:p>
        </w:tc>
        <w:tc>
          <w:tcPr>
            <w:tcW w:type="dxa" w:w="7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部署</w:t>
            </w:r>
          </w:p>
        </w:tc>
        <w:tc>
          <w:tcPr>
            <w:tcW w:type="dxa" w:w="21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技术族</w:t>
            </w:r>
          </w:p>
        </w:tc>
        <w:tc>
          <w:tcPr>
            <w:tcW w:type="dxa" w:w="456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装置</w:t>
            </w:r>
          </w:p>
        </w:tc>
      </w:tr>
      <w:tr>
        <w:trPr>
          <w:cantSplit/>
        </w:trPr>
        <w:tc>
          <w:tcPr>
            <w:tcW w:type="dxa" w:w="1200"/>
          </w:tcPr>
          <w:p>
            <w:pPr>
              <w:keepLines/>
              <w:spacing w:after="0" w:line="276" w:lineRule="auto"/>
            </w:pPr>
            <w:r>
              <w:rPr>
                <w:rFonts w:ascii="Calibri" w:hAnsi="Calibri" w:eastAsia="Microsoft YaHei"/>
                <w:color w:val="0B2545"/>
                <w:sz w:val="15"/>
              </w:rPr>
              <w:t>DSI-005</w:t>
            </w:r>
          </w:p>
        </w:tc>
        <w:tc>
          <w:tcPr>
            <w:tcW w:type="dxa" w:w="750"/>
          </w:tcPr>
          <w:p>
            <w:pPr>
              <w:keepLines/>
              <w:spacing w:after="0" w:line="276" w:lineRule="auto"/>
            </w:pPr>
            <w:r>
              <w:rPr>
                <w:rFonts w:ascii="Calibri" w:hAnsi="Calibri" w:eastAsia="Microsoft YaHei"/>
                <w:color w:val="0B2545"/>
                <w:sz w:val="15"/>
              </w:rPr>
              <w:t>E1</w:t>
            </w:r>
          </w:p>
        </w:tc>
        <w:tc>
          <w:tcPr>
            <w:tcW w:type="dxa" w:w="750"/>
          </w:tcPr>
          <w:p>
            <w:pPr>
              <w:keepLines/>
              <w:spacing w:after="0" w:line="276" w:lineRule="auto"/>
            </w:pPr>
            <w:r>
              <w:rPr>
                <w:rFonts w:ascii="Calibri" w:hAnsi="Calibri" w:eastAsia="Microsoft YaHei"/>
                <w:color w:val="0B2545"/>
                <w:sz w:val="15"/>
              </w:rPr>
              <w:t>D1</w:t>
            </w:r>
          </w:p>
        </w:tc>
        <w:tc>
          <w:tcPr>
            <w:tcW w:type="dxa" w:w="2100"/>
          </w:tcPr>
          <w:p>
            <w:pPr>
              <w:keepLines/>
              <w:spacing w:after="0" w:line="276" w:lineRule="auto"/>
            </w:pPr>
            <w:r>
              <w:rPr>
                <w:rFonts w:ascii="Calibri" w:hAnsi="Calibri" w:eastAsia="Microsoft YaHei"/>
                <w:color w:val="0B2545"/>
                <w:sz w:val="15"/>
              </w:rPr>
              <w:t>COMPUTATIONAL</w:t>
            </w:r>
          </w:p>
        </w:tc>
        <w:tc>
          <w:tcPr>
            <w:tcW w:type="dxa" w:w="4560"/>
          </w:tcPr>
          <w:p>
            <w:pPr>
              <w:keepLines/>
              <w:spacing w:after="0" w:line="276" w:lineRule="auto"/>
            </w:pPr>
            <w:r>
              <w:rPr>
                <w:rFonts w:ascii="Calibri" w:hAnsi="Calibri" w:eastAsia="Microsoft YaHei"/>
                <w:color w:val="0B2545"/>
                <w:sz w:val="15"/>
              </w:rPr>
              <w:t>EUROfusion facilities；ITER-adjacent research ecosystem</w:t>
            </w:r>
          </w:p>
        </w:tc>
      </w:tr>
    </w:tbl>
    <w:p>
      <w:pPr>
        <w:spacing w:before="0" w:after="60"/>
      </w:pPr>
    </w:p>
    <w:p>
      <w:pPr>
        <w:widowControl/>
      </w:pPr>
      <w:r>
        <w:rPr>
          <w:rFonts w:ascii="Calibri" w:hAnsi="Calibri" w:eastAsia="Microsoft YaHei"/>
          <w:b/>
          <w:color w:val="1F4D78"/>
        </w:rPr>
        <w:t>解决问题：</w:t>
      </w:r>
      <w:r>
        <w:rPr>
          <w:rFonts w:ascii="Calibri" w:hAnsi="Calibri" w:eastAsia="Microsoft YaHei"/>
        </w:rPr>
        <w:t>聚变数据常缺少可发现元数据、许可、责任人、版本、保留期与跨设施访问规则。</w:t>
      </w:r>
    </w:p>
    <w:p>
      <w:pPr>
        <w:widowControl/>
      </w:pPr>
      <w:r>
        <w:rPr>
          <w:rFonts w:ascii="Calibri" w:hAnsi="Calibri" w:eastAsia="Microsoft YaHei"/>
          <w:b/>
          <w:color w:val="1F4D78"/>
        </w:rPr>
        <w:t>测量原理：</w:t>
      </w:r>
      <w:r>
        <w:rPr>
          <w:rFonts w:ascii="Calibri" w:hAnsi="Calibri" w:eastAsia="Microsoft YaHei"/>
        </w:rPr>
        <w:t>以治理流程和元数据蓝图描述数据产品、访问等级、血缘及复用条件，不参与信号采集。</w:t>
      </w:r>
    </w:p>
    <w:p>
      <w:pPr>
        <w:widowControl/>
      </w:pPr>
      <w:r>
        <w:rPr>
          <w:rFonts w:ascii="Calibri" w:hAnsi="Calibri" w:eastAsia="Microsoft YaHei"/>
          <w:b/>
          <w:color w:val="1F4D78"/>
        </w:rPr>
        <w:t>测量产品：</w:t>
      </w:r>
      <w:r>
        <w:rPr>
          <w:rFonts w:ascii="Calibri" w:hAnsi="Calibri" w:eastAsia="Microsoft YaHei"/>
        </w:rPr>
        <w:t>dataset metadata；access policy；provenance；persistent identifiers</w:t>
      </w:r>
    </w:p>
    <w:p>
      <w:pPr>
        <w:widowControl/>
      </w:pPr>
      <w:r>
        <w:rPr>
          <w:rFonts w:ascii="Calibri" w:hAnsi="Calibri" w:eastAsia="Microsoft YaHei"/>
          <w:b/>
          <w:color w:val="1F4D78"/>
        </w:rPr>
        <w:t>时空分辨与覆盖：</w:t>
      </w:r>
      <w:r>
        <w:rPr>
          <w:rFonts w:ascii="Calibri" w:hAnsi="Calibri" w:eastAsia="Microsoft YaHei"/>
        </w:rPr>
        <w:t>时间：因装置、采集和分析链而异；原始来源未给出统一数值。；空间：由视线、几何和反演设定；原始来源未给出统一数值。</w:t>
      </w:r>
    </w:p>
    <w:p>
      <w:pPr>
        <w:widowControl/>
      </w:pPr>
      <w:r>
        <w:rPr>
          <w:rFonts w:ascii="Calibri" w:hAnsi="Calibri" w:eastAsia="Microsoft YaHei"/>
          <w:b/>
          <w:color w:val="1F4D78"/>
        </w:rPr>
        <w:t>仪器与传感器：</w:t>
      </w:r>
      <w:r>
        <w:rPr>
          <w:rFonts w:ascii="Calibri" w:hAnsi="Calibri" w:eastAsia="Microsoft YaHei"/>
        </w:rPr>
        <w:t>catalog services；repositories</w:t>
      </w:r>
    </w:p>
    <w:p>
      <w:pPr>
        <w:widowControl/>
      </w:pPr>
      <w:r>
        <w:rPr>
          <w:rFonts w:ascii="Calibri" w:hAnsi="Calibri" w:eastAsia="Microsoft YaHei"/>
          <w:b/>
          <w:color w:val="1F4D78"/>
        </w:rPr>
        <w:t>标定与质量：</w:t>
      </w:r>
      <w:r>
        <w:rPr>
          <w:rFonts w:ascii="Calibri" w:hAnsi="Calibri" w:eastAsia="Microsoft YaHei"/>
        </w:rPr>
        <w:t>要求把校准和处理血缘纳入元数据，但不提供具体计量实现。</w:t>
      </w:r>
    </w:p>
    <w:p>
      <w:pPr>
        <w:widowControl/>
      </w:pPr>
      <w:r>
        <w:rPr>
          <w:rFonts w:ascii="Calibri" w:hAnsi="Calibri" w:eastAsia="Microsoft YaHei"/>
          <w:b/>
          <w:color w:val="1F4D78"/>
        </w:rPr>
        <w:t>反演与分析：</w:t>
      </w:r>
      <w:r>
        <w:rPr>
          <w:rFonts w:ascii="Calibri" w:hAnsi="Calibri" w:eastAsia="Microsoft YaHei"/>
        </w:rPr>
        <w:t>cataloguing；policy enforcement；reproducibility governance</w:t>
      </w:r>
    </w:p>
    <w:p>
      <w:pPr>
        <w:widowControl/>
      </w:pPr>
      <w:r>
        <w:rPr>
          <w:rFonts w:ascii="Calibri" w:hAnsi="Calibri" w:eastAsia="Microsoft YaHei"/>
          <w:b/>
          <w:color w:val="1F4D78"/>
        </w:rPr>
        <w:t>验证与应用：</w:t>
      </w:r>
      <w:r>
        <w:rPr>
          <w:rFonts w:ascii="Calibri" w:hAnsi="Calibri" w:eastAsia="Microsoft YaHei"/>
        </w:rPr>
        <w:t>项目发布蓝图和交付物，形成 open/embargo/restricted/closed 等访问分类；尚非统一生产平台。</w:t>
      </w:r>
    </w:p>
    <w:p>
      <w:pPr>
        <w:widowControl/>
      </w:pPr>
      <w:r>
        <w:rPr>
          <w:rFonts w:ascii="Calibri" w:hAnsi="Calibri" w:eastAsia="Microsoft YaHei"/>
          <w:b/>
          <w:color w:val="1F4D78"/>
        </w:rPr>
        <w:t>局限与边界：</w:t>
      </w:r>
      <w:r>
        <w:rPr>
          <w:rFonts w:ascii="Calibri" w:hAnsi="Calibri" w:eastAsia="Microsoft YaHei"/>
        </w:rPr>
        <w:t>偏治理和蓝图；设施落地、机器可执行数据契约、审计日志和长期经费仍不一致。</w:t>
      </w:r>
    </w:p>
    <w:tbl>
      <w:tblPr>
        <w:tblStyle w:val="TableGrid"/>
        <w:tblW w:type="dxa" w:w="9360"/>
        <w:jc w:val="left"/>
        <w:tblLayout w:type="fixed"/>
        <w:tblLook w:firstColumn="1" w:firstRow="1" w:lastColumn="0" w:lastRow="0" w:noHBand="0" w:noVBand="1" w:val="04A0"/>
        <w:tblInd w:w="120" w:type="dxa"/>
      </w:tblPr>
      <w:tblGrid>
        <w:gridCol w:w="9360"/>
      </w:tblGrid>
      <w:tr>
        <w:trPr>
          <w:cantSplit/>
        </w:trPr>
        <w:tc>
          <w:tcPr>
            <w:tcW w:type="dxa" w:w="9360"/>
            <w:tcMar>
              <w:top w:w="80" w:type="dxa"/>
              <w:bottom w:w="80" w:type="dxa"/>
              <w:start w:w="120" w:type="dxa"/>
              <w:end w:w="120" w:type="dxa"/>
            </w:tcMar>
            <w:vAlign w:val="center"/>
            <w:shd w:fill="EEF7F7"/>
          </w:tcPr>
          <w:p>
            <w:pPr>
              <w:keepNext/>
              <w:keepLines/>
              <w:spacing w:after="40"/>
            </w:pPr>
            <w:r>
              <w:rPr>
                <w:rFonts w:ascii="Calibri" w:hAnsi="Calibri" w:eastAsia="Microsoft YaHei"/>
                <w:b/>
                <w:color w:val="008C95"/>
                <w:sz w:val="17"/>
              </w:rPr>
              <w:t>DIGITAL-TWIN RELEVANCE</w:t>
            </w:r>
          </w:p>
          <w:p>
            <w:pPr>
              <w:spacing w:after="0"/>
            </w:pPr>
            <w:r>
              <w:rPr>
                <w:rFonts w:ascii="Calibri" w:hAnsi="Calibri" w:eastAsia="Microsoft YaHei"/>
                <w:color w:val="0B2545"/>
                <w:sz w:val="20"/>
              </w:rPr>
              <w:t>补足数字孪生的责任体系和证据可追溯性，防止“可运行模型”与“可审计模型”混为一谈。</w:t>
            </w:r>
          </w:p>
        </w:tc>
      </w:tr>
    </w:tbl>
    <w:p>
      <w:pPr>
        <w:spacing w:after="40"/>
      </w:pPr>
    </w:p>
    <w:tbl>
      <w:tblPr>
        <w:tblStyle w:val="TableGrid"/>
        <w:tblW w:type="dxa" w:w="9360"/>
        <w:jc w:val="left"/>
        <w:tblLayout w:type="fixed"/>
        <w:tblLook w:firstColumn="1" w:firstRow="1" w:lastColumn="0" w:lastRow="0" w:noHBand="0" w:noVBand="1" w:val="04A0"/>
        <w:tblInd w:w="120" w:type="dxa"/>
      </w:tblPr>
      <w:tblGrid>
        <w:gridCol w:w="850"/>
        <w:gridCol w:w="2500"/>
        <w:gridCol w:w="1600"/>
        <w:gridCol w:w="2300"/>
        <w:gridCol w:w="2110"/>
      </w:tblGrid>
      <w:tr>
        <w:trPr>
          <w:tblHeader w:val="true"/>
        </w:trPr>
        <w:tc>
          <w:tcPr>
            <w:tcW w:type="dxa" w:w="8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年份/类型</w:t>
            </w:r>
          </w:p>
        </w:tc>
        <w:tc>
          <w:tcPr>
            <w:tcW w:type="dxa" w:w="25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论文或软件</w:t>
            </w:r>
          </w:p>
        </w:tc>
        <w:tc>
          <w:tcPr>
            <w:tcW w:type="dxa" w:w="16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期刊/开放性</w:t>
            </w:r>
          </w:p>
        </w:tc>
        <w:tc>
          <w:tcPr>
            <w:tcW w:type="dxa" w:w="23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来源类型/关系</w:t>
            </w:r>
          </w:p>
        </w:tc>
        <w:tc>
          <w:tcPr>
            <w:tcW w:type="dxa" w:w="211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链接</w:t>
            </w:r>
          </w:p>
        </w:tc>
      </w:tr>
      <w:tr>
        <w:trPr>
          <w:cantSplit/>
        </w:trPr>
        <w:tc>
          <w:tcPr>
            <w:tcW w:type="dxa" w:w="850"/>
          </w:tcPr>
          <w:p>
            <w:pPr>
              <w:keepLines/>
              <w:spacing w:after="0" w:line="276" w:lineRule="auto"/>
            </w:pPr>
            <w:r>
              <w:rPr>
                <w:rFonts w:ascii="Calibri" w:hAnsi="Calibri" w:eastAsia="Microsoft YaHei"/>
                <w:color w:val="0B2545"/>
                <w:sz w:val="14"/>
              </w:rPr>
              <w:t>2026</w:t>
            </w:r>
          </w:p>
        </w:tc>
        <w:tc>
          <w:tcPr>
            <w:tcW w:type="dxa" w:w="2500"/>
          </w:tcPr>
          <w:p>
            <w:pPr>
              <w:keepLines/>
              <w:spacing w:after="0" w:line="276" w:lineRule="auto"/>
            </w:pPr>
            <w:r>
              <w:rPr>
                <w:rFonts w:ascii="Calibri" w:hAnsi="Calibri" w:eastAsia="Microsoft YaHei"/>
                <w:color w:val="0B2545"/>
                <w:sz w:val="14"/>
              </w:rPr>
              <w:t>FAIR4Fusion project and blueprint</w:t>
            </w:r>
          </w:p>
        </w:tc>
        <w:tc>
          <w:tcPr>
            <w:tcW w:type="dxa" w:w="1600"/>
          </w:tcPr>
          <w:p>
            <w:pPr>
              <w:keepLines/>
              <w:spacing w:after="0" w:line="276" w:lineRule="auto"/>
            </w:pPr>
            <w:r>
              <w:rPr>
                <w:rFonts w:ascii="Calibri" w:hAnsi="Calibri" w:eastAsia="Microsoft YaHei"/>
                <w:color w:val="0B2545"/>
                <w:sz w:val="14"/>
              </w:rPr>
              <w:t>原始论文 / 官方来源</w:t>
            </w:r>
          </w:p>
        </w:tc>
        <w:tc>
          <w:tcPr>
            <w:tcW w:type="dxa" w:w="2300"/>
          </w:tcPr>
          <w:p>
            <w:pPr>
              <w:keepLines/>
              <w:spacing w:after="0" w:line="276" w:lineRule="auto"/>
            </w:pPr>
            <w:r>
              <w:rPr>
                <w:rFonts w:ascii="Calibri" w:hAnsi="Calibri" w:eastAsia="Microsoft YaHei"/>
                <w:color w:val="0B2545"/>
                <w:sz w:val="14"/>
              </w:rPr>
              <w:t>official project documentation</w:t>
            </w:r>
          </w:p>
        </w:tc>
        <w:tc>
          <w:tcPr>
            <w:tcW w:type="dxa" w:w="2110"/>
          </w:tcPr>
          <w:p>
            <w:pPr>
              <w:keepLines/>
              <w:spacing w:after="0" w:line="276" w:lineRule="auto"/>
            </w:pPr>
            <w:hyperlink r:id="rId26">
              <w:r>
                <w:rPr>
                  <w:rFonts w:ascii="Calibri" w:hAnsi="Calibri" w:eastAsia="Microsoft YaHei"/>
                  <w:color w:val="008C95"/>
                  <w:u w:val="single"/>
                </w:rPr>
                <w:t>打开原始来源 ↗</w:t>
              </w:r>
            </w:hyperlink>
          </w:p>
        </w:tc>
      </w:tr>
      <w:tr>
        <w:trPr>
          <w:cantSplit/>
        </w:trPr>
        <w:tc>
          <w:tcPr>
            <w:tcW w:type="dxa" w:w="850"/>
          </w:tcPr>
          <w:p>
            <w:pPr>
              <w:keepLines/>
              <w:spacing w:after="0" w:line="276" w:lineRule="auto"/>
            </w:pPr>
            <w:r>
              <w:rPr>
                <w:rFonts w:ascii="Calibri" w:hAnsi="Calibri" w:eastAsia="Microsoft YaHei"/>
                <w:color w:val="0B2545"/>
                <w:sz w:val="14"/>
              </w:rPr>
              <w:t>软件</w:t>
            </w:r>
          </w:p>
        </w:tc>
        <w:tc>
          <w:tcPr>
            <w:tcW w:type="dxa" w:w="2500"/>
          </w:tcPr>
          <w:p>
            <w:pPr>
              <w:keepLines/>
              <w:spacing w:after="0" w:line="276" w:lineRule="auto"/>
            </w:pPr>
            <w:r>
              <w:rPr>
                <w:rFonts w:ascii="Calibri" w:hAnsi="Calibri" w:eastAsia="Microsoft YaHei"/>
                <w:color w:val="0B2545"/>
                <w:sz w:val="14"/>
              </w:rPr>
              <w:t>FAIR4Fusion production platform</w:t>
            </w:r>
          </w:p>
        </w:tc>
        <w:tc>
          <w:tcPr>
            <w:tcW w:type="dxa" w:w="1600"/>
          </w:tcPr>
          <w:p>
            <w:pPr>
              <w:keepLines/>
              <w:spacing w:after="0" w:line="276" w:lineRule="auto"/>
            </w:pPr>
            <w:r>
              <w:rPr>
                <w:rFonts w:ascii="Calibri" w:hAnsi="Calibri" w:eastAsia="Microsoft YaHei"/>
                <w:color w:val="0B2545"/>
                <w:sz w:val="14"/>
              </w:rPr>
              <w:t>not-public</w:t>
            </w:r>
          </w:p>
        </w:tc>
        <w:tc>
          <w:tcPr>
            <w:tcW w:type="dxa" w:w="2300"/>
          </w:tcPr>
          <w:p>
            <w:pPr>
              <w:keepLines/>
              <w:spacing w:after="0" w:line="276" w:lineRule="auto"/>
            </w:pPr>
            <w:r>
              <w:rPr>
                <w:rFonts w:ascii="Calibri" w:hAnsi="Calibri" w:eastAsia="Microsoft YaHei"/>
                <w:color w:val="0B2545"/>
                <w:sz w:val="14"/>
              </w:rPr>
              <w:t>项目公开交付物以蓝图和治理材料为主，未核验到一个可代表全项目的生产代码库。</w:t>
            </w:r>
          </w:p>
        </w:tc>
        <w:tc>
          <w:tcPr>
            <w:tcW w:type="dxa" w:w="2110"/>
          </w:tcPr>
          <w:p>
            <w:pPr>
              <w:keepLines/>
              <w:spacing w:after="0" w:line="276" w:lineRule="auto"/>
            </w:pPr>
            <w:r>
              <w:rPr>
                <w:rFonts w:ascii="Calibri" w:hAnsi="Calibri" w:eastAsia="Microsoft YaHei"/>
                <w:color w:val="0B2545"/>
                <w:sz w:val="14"/>
              </w:rPr>
              <w:t>未公开</w:t>
            </w:r>
          </w:p>
        </w:tc>
      </w:tr>
    </w:tbl>
    <w:p>
      <w:pPr>
        <w:spacing w:before="0" w:after="60"/>
      </w:pPr>
    </w:p>
    <w:p>
      <w:pPr>
        <w:pStyle w:val="Heading3"/>
        <w:keepNext/>
      </w:pPr>
      <w:r>
        <w:t>DG0.06  Calcam 相机几何标定与像素—三维映射</w:t>
      </w:r>
    </w:p>
    <w:p>
      <w:pPr>
        <w:keepNext/>
        <w:spacing w:after="80"/>
      </w:pPr>
      <w:r>
        <w:rPr>
          <w:rFonts w:ascii="Calibri" w:hAnsi="Calibri" w:eastAsia="Microsoft YaHei"/>
          <w:i/>
          <w:color w:val="566573"/>
          <w:sz w:val="18"/>
        </w:rPr>
        <w:t>Calcam Camera Calibration and Pixel-to-3D Mapping</w:t>
      </w:r>
    </w:p>
    <w:tbl>
      <w:tblPr>
        <w:tblStyle w:val="TableGrid"/>
        <w:tblW w:type="dxa" w:w="9360"/>
        <w:jc w:val="left"/>
        <w:tblLayout w:type="fixed"/>
        <w:tblLook w:firstColumn="1" w:firstRow="1" w:lastColumn="0" w:lastRow="0" w:noHBand="0" w:noVBand="1" w:val="04A0"/>
        <w:tblInd w:w="120" w:type="dxa"/>
      </w:tblPr>
      <w:tblGrid>
        <w:gridCol w:w="1200"/>
        <w:gridCol w:w="750"/>
        <w:gridCol w:w="750"/>
        <w:gridCol w:w="2100"/>
        <w:gridCol w:w="4560"/>
      </w:tblGrid>
      <w:tr>
        <w:trPr>
          <w:tblHeader w:val="true"/>
        </w:trPr>
        <w:tc>
          <w:tcPr>
            <w:tcW w:type="dxa" w:w="12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工作 ID</w:t>
            </w:r>
          </w:p>
        </w:tc>
        <w:tc>
          <w:tcPr>
            <w:tcW w:type="dxa" w:w="7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证据</w:t>
            </w:r>
          </w:p>
        </w:tc>
        <w:tc>
          <w:tcPr>
            <w:tcW w:type="dxa" w:w="7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部署</w:t>
            </w:r>
          </w:p>
        </w:tc>
        <w:tc>
          <w:tcPr>
            <w:tcW w:type="dxa" w:w="21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技术族</w:t>
            </w:r>
          </w:p>
        </w:tc>
        <w:tc>
          <w:tcPr>
            <w:tcW w:type="dxa" w:w="456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装置</w:t>
            </w:r>
          </w:p>
        </w:tc>
      </w:tr>
      <w:tr>
        <w:trPr>
          <w:cantSplit/>
        </w:trPr>
        <w:tc>
          <w:tcPr>
            <w:tcW w:type="dxa" w:w="1200"/>
          </w:tcPr>
          <w:p>
            <w:pPr>
              <w:keepLines/>
              <w:spacing w:after="0" w:line="276" w:lineRule="auto"/>
            </w:pPr>
            <w:r>
              <w:rPr>
                <w:rFonts w:ascii="Calibri" w:hAnsi="Calibri" w:eastAsia="Microsoft YaHei"/>
                <w:color w:val="0B2545"/>
                <w:sz w:val="15"/>
              </w:rPr>
              <w:t>DSI-006</w:t>
            </w:r>
          </w:p>
        </w:tc>
        <w:tc>
          <w:tcPr>
            <w:tcW w:type="dxa" w:w="750"/>
          </w:tcPr>
          <w:p>
            <w:pPr>
              <w:keepLines/>
              <w:spacing w:after="0" w:line="276" w:lineRule="auto"/>
            </w:pPr>
            <w:r>
              <w:rPr>
                <w:rFonts w:ascii="Calibri" w:hAnsi="Calibri" w:eastAsia="Microsoft YaHei"/>
                <w:color w:val="0B2545"/>
                <w:sz w:val="15"/>
              </w:rPr>
              <w:t>E3</w:t>
            </w:r>
          </w:p>
        </w:tc>
        <w:tc>
          <w:tcPr>
            <w:tcW w:type="dxa" w:w="750"/>
          </w:tcPr>
          <w:p>
            <w:pPr>
              <w:keepLines/>
              <w:spacing w:after="0" w:line="276" w:lineRule="auto"/>
            </w:pPr>
            <w:r>
              <w:rPr>
                <w:rFonts w:ascii="Calibri" w:hAnsi="Calibri" w:eastAsia="Microsoft YaHei"/>
                <w:color w:val="0B2545"/>
                <w:sz w:val="15"/>
              </w:rPr>
              <w:t>D3</w:t>
            </w:r>
          </w:p>
        </w:tc>
        <w:tc>
          <w:tcPr>
            <w:tcW w:type="dxa" w:w="2100"/>
          </w:tcPr>
          <w:p>
            <w:pPr>
              <w:keepLines/>
              <w:spacing w:after="0" w:line="276" w:lineRule="auto"/>
            </w:pPr>
            <w:r>
              <w:rPr>
                <w:rFonts w:ascii="Calibri" w:hAnsi="Calibri" w:eastAsia="Microsoft YaHei"/>
                <w:color w:val="0B2545"/>
                <w:sz w:val="15"/>
              </w:rPr>
              <w:t>OPTICAL</w:t>
            </w:r>
          </w:p>
        </w:tc>
        <w:tc>
          <w:tcPr>
            <w:tcW w:type="dxa" w:w="4560"/>
          </w:tcPr>
          <w:p>
            <w:pPr>
              <w:keepLines/>
              <w:spacing w:after="0" w:line="276" w:lineRule="auto"/>
            </w:pPr>
            <w:r>
              <w:rPr>
                <w:rFonts w:ascii="Calibri" w:hAnsi="Calibri" w:eastAsia="Microsoft YaHei"/>
                <w:color w:val="0B2545"/>
                <w:sz w:val="15"/>
              </w:rPr>
              <w:t>JET；MAST Upgrade；fusion camera systems</w:t>
            </w:r>
          </w:p>
        </w:tc>
      </w:tr>
    </w:tbl>
    <w:p>
      <w:pPr>
        <w:spacing w:before="0" w:after="60"/>
      </w:pPr>
    </w:p>
    <w:p>
      <w:pPr>
        <w:widowControl/>
      </w:pPr>
      <w:r>
        <w:rPr>
          <w:rFonts w:ascii="Calibri" w:hAnsi="Calibri" w:eastAsia="Microsoft YaHei"/>
          <w:b/>
          <w:color w:val="1F4D78"/>
        </w:rPr>
        <w:t>解决问题：</w:t>
      </w:r>
      <w:r>
        <w:rPr>
          <w:rFonts w:ascii="Calibri" w:hAnsi="Calibri" w:eastAsia="Microsoft YaHei"/>
        </w:rPr>
        <w:t>相机、热像仪和光谱成像的每个像素只有在视线、畸变、遮挡和 CAD 坐标被标定后才能与物理场对齐。</w:t>
      </w:r>
    </w:p>
    <w:p>
      <w:pPr>
        <w:widowControl/>
      </w:pPr>
      <w:r>
        <w:rPr>
          <w:rFonts w:ascii="Calibri" w:hAnsi="Calibri" w:eastAsia="Microsoft YaHei"/>
          <w:b/>
          <w:color w:val="1F4D78"/>
        </w:rPr>
        <w:t>测量原理：</w:t>
      </w:r>
      <w:r>
        <w:rPr>
          <w:rFonts w:ascii="Calibri" w:hAnsi="Calibri" w:eastAsia="Microsoft YaHei"/>
        </w:rPr>
        <w:t>以标定图像和三维机器 CAD 求相机内外参，将像素映射为三维射线并生成合成相机视图。</w:t>
      </w:r>
    </w:p>
    <w:p>
      <w:pPr>
        <w:widowControl/>
      </w:pPr>
      <w:r>
        <w:rPr>
          <w:rFonts w:ascii="Calibri" w:hAnsi="Calibri" w:eastAsia="Microsoft YaHei"/>
          <w:b/>
          <w:color w:val="1F4D78"/>
        </w:rPr>
        <w:t>测量产品：</w:t>
      </w:r>
      <w:r>
        <w:rPr>
          <w:rFonts w:ascii="Calibri" w:hAnsi="Calibri" w:eastAsia="Microsoft YaHei"/>
        </w:rPr>
        <w:t>intrinsics；extrinsics；distortion；line of sight；surface intersection</w:t>
      </w:r>
    </w:p>
    <w:p>
      <w:pPr>
        <w:widowControl/>
      </w:pPr>
      <w:r>
        <w:rPr>
          <w:rFonts w:ascii="Calibri" w:hAnsi="Calibri" w:eastAsia="Microsoft YaHei"/>
          <w:b/>
          <w:color w:val="1F4D78"/>
        </w:rPr>
        <w:t>时空分辨与覆盖：</w:t>
      </w:r>
      <w:r>
        <w:rPr>
          <w:rFonts w:ascii="Calibri" w:hAnsi="Calibri" w:eastAsia="Microsoft YaHei"/>
        </w:rPr>
        <w:t>时间：因装置、采集和分析链而异；原始来源未给出统一数值。；空间：由视线、几何和反演设定；原始来源未给出统一数值。</w:t>
      </w:r>
    </w:p>
    <w:p>
      <w:pPr>
        <w:widowControl/>
      </w:pPr>
      <w:r>
        <w:rPr>
          <w:rFonts w:ascii="Calibri" w:hAnsi="Calibri" w:eastAsia="Microsoft YaHei"/>
          <w:b/>
          <w:color w:val="1F4D78"/>
        </w:rPr>
        <w:t>仪器与传感器：</w:t>
      </w:r>
      <w:r>
        <w:rPr>
          <w:rFonts w:ascii="Calibri" w:hAnsi="Calibri" w:eastAsia="Microsoft YaHei"/>
        </w:rPr>
        <w:t>visible/IR cameras；calibration targets；CAD workstations</w:t>
      </w:r>
    </w:p>
    <w:p>
      <w:pPr>
        <w:widowControl/>
      </w:pPr>
      <w:r>
        <w:rPr>
          <w:rFonts w:ascii="Calibri" w:hAnsi="Calibri" w:eastAsia="Microsoft YaHei"/>
          <w:b/>
          <w:color w:val="1F4D78"/>
        </w:rPr>
        <w:t>标定与质量：</w:t>
      </w:r>
      <w:r>
        <w:rPr>
          <w:rFonts w:ascii="Calibri" w:hAnsi="Calibri" w:eastAsia="Microsoft YaHei"/>
        </w:rPr>
        <w:t>图像特征与 CAD/标靶联合拟合；标定文件应记录版本、残差、有效期和机械变更。</w:t>
      </w:r>
    </w:p>
    <w:p>
      <w:pPr>
        <w:widowControl/>
      </w:pPr>
      <w:r>
        <w:rPr>
          <w:rFonts w:ascii="Calibri" w:hAnsi="Calibri" w:eastAsia="Microsoft YaHei"/>
          <w:b/>
          <w:color w:val="1F4D78"/>
        </w:rPr>
        <w:t>反演与分析：</w:t>
      </w:r>
      <w:r>
        <w:rPr>
          <w:rFonts w:ascii="Calibri" w:hAnsi="Calibri" w:eastAsia="Microsoft YaHei"/>
        </w:rPr>
        <w:t>geometric registration；ray intersection；synthetic projection</w:t>
      </w:r>
    </w:p>
    <w:p>
      <w:pPr>
        <w:widowControl/>
      </w:pPr>
      <w:r>
        <w:rPr>
          <w:rFonts w:ascii="Calibri" w:hAnsi="Calibri" w:eastAsia="Microsoft YaHei"/>
          <w:b/>
          <w:color w:val="1F4D78"/>
        </w:rPr>
        <w:t>验证与应用：</w:t>
      </w:r>
      <w:r>
        <w:rPr>
          <w:rFonts w:ascii="Calibri" w:hAnsi="Calibri" w:eastAsia="Microsoft YaHei"/>
        </w:rPr>
        <w:t>官方软件用于聚变装置相机几何标定，并可把三维 CAD 投影回图像检查残差与遮挡。</w:t>
      </w:r>
    </w:p>
    <w:p>
      <w:pPr>
        <w:widowControl/>
      </w:pPr>
      <w:r>
        <w:rPr>
          <w:rFonts w:ascii="Calibri" w:hAnsi="Calibri" w:eastAsia="Microsoft YaHei"/>
          <w:b/>
          <w:color w:val="1F4D78"/>
        </w:rPr>
        <w:t>局限与边界：</w:t>
      </w:r>
      <w:r>
        <w:rPr>
          <w:rFonts w:ascii="Calibri" w:hAnsi="Calibri" w:eastAsia="Microsoft YaHei"/>
        </w:rPr>
        <w:t>机械热漂移、端口移动、镜面反射与不可见表面会使静态标定失效；几何协方差通常未贯穿后续反演。</w:t>
      </w:r>
    </w:p>
    <w:tbl>
      <w:tblPr>
        <w:tblStyle w:val="TableGrid"/>
        <w:tblW w:type="dxa" w:w="9360"/>
        <w:jc w:val="left"/>
        <w:tblLayout w:type="fixed"/>
        <w:tblLook w:firstColumn="1" w:firstRow="1" w:lastColumn="0" w:lastRow="0" w:noHBand="0" w:noVBand="1" w:val="04A0"/>
        <w:tblInd w:w="120" w:type="dxa"/>
      </w:tblPr>
      <w:tblGrid>
        <w:gridCol w:w="9360"/>
      </w:tblGrid>
      <w:tr>
        <w:trPr>
          <w:cantSplit/>
        </w:trPr>
        <w:tc>
          <w:tcPr>
            <w:tcW w:type="dxa" w:w="9360"/>
            <w:tcMar>
              <w:top w:w="80" w:type="dxa"/>
              <w:bottom w:w="80" w:type="dxa"/>
              <w:start w:w="120" w:type="dxa"/>
              <w:end w:w="120" w:type="dxa"/>
            </w:tcMar>
            <w:vAlign w:val="center"/>
            <w:shd w:fill="EEF7F7"/>
          </w:tcPr>
          <w:p>
            <w:pPr>
              <w:keepNext/>
              <w:keepLines/>
              <w:spacing w:after="40"/>
            </w:pPr>
            <w:r>
              <w:rPr>
                <w:rFonts w:ascii="Calibri" w:hAnsi="Calibri" w:eastAsia="Microsoft YaHei"/>
                <w:b/>
                <w:color w:val="008C95"/>
                <w:sz w:val="17"/>
              </w:rPr>
              <w:t>DIGITAL-TWIN RELEVANCE</w:t>
            </w:r>
          </w:p>
          <w:p>
            <w:pPr>
              <w:spacing w:after="0"/>
            </w:pPr>
            <w:r>
              <w:rPr>
                <w:rFonts w:ascii="Calibri" w:hAnsi="Calibri" w:eastAsia="Microsoft YaHei"/>
                <w:color w:val="0B2545"/>
                <w:sz w:val="20"/>
              </w:rPr>
              <w:t>是将诊断图像注册到三维孪生几何的关键基础，必须与 CAD 版本和时变形变联动。</w:t>
            </w:r>
          </w:p>
        </w:tc>
      </w:tr>
    </w:tbl>
    <w:p>
      <w:pPr>
        <w:spacing w:after="40"/>
      </w:pPr>
    </w:p>
    <w:tbl>
      <w:tblPr>
        <w:tblStyle w:val="TableGrid"/>
        <w:tblW w:type="dxa" w:w="9360"/>
        <w:jc w:val="left"/>
        <w:tblLayout w:type="fixed"/>
        <w:tblLook w:firstColumn="1" w:firstRow="1" w:lastColumn="0" w:lastRow="0" w:noHBand="0" w:noVBand="1" w:val="04A0"/>
        <w:tblInd w:w="120" w:type="dxa"/>
      </w:tblPr>
      <w:tblGrid>
        <w:gridCol w:w="850"/>
        <w:gridCol w:w="2500"/>
        <w:gridCol w:w="1600"/>
        <w:gridCol w:w="2300"/>
        <w:gridCol w:w="2110"/>
      </w:tblGrid>
      <w:tr>
        <w:trPr>
          <w:tblHeader w:val="true"/>
        </w:trPr>
        <w:tc>
          <w:tcPr>
            <w:tcW w:type="dxa" w:w="8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年份/类型</w:t>
            </w:r>
          </w:p>
        </w:tc>
        <w:tc>
          <w:tcPr>
            <w:tcW w:type="dxa" w:w="25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论文或软件</w:t>
            </w:r>
          </w:p>
        </w:tc>
        <w:tc>
          <w:tcPr>
            <w:tcW w:type="dxa" w:w="16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期刊/开放性</w:t>
            </w:r>
          </w:p>
        </w:tc>
        <w:tc>
          <w:tcPr>
            <w:tcW w:type="dxa" w:w="23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来源类型/关系</w:t>
            </w:r>
          </w:p>
        </w:tc>
        <w:tc>
          <w:tcPr>
            <w:tcW w:type="dxa" w:w="211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链接</w:t>
            </w:r>
          </w:p>
        </w:tc>
      </w:tr>
      <w:tr>
        <w:trPr>
          <w:cantSplit/>
        </w:trPr>
        <w:tc>
          <w:tcPr>
            <w:tcW w:type="dxa" w:w="850"/>
          </w:tcPr>
          <w:p>
            <w:pPr>
              <w:keepLines/>
              <w:spacing w:after="0" w:line="276" w:lineRule="auto"/>
            </w:pPr>
            <w:r>
              <w:rPr>
                <w:rFonts w:ascii="Calibri" w:hAnsi="Calibri" w:eastAsia="Microsoft YaHei"/>
                <w:color w:val="0B2545"/>
                <w:sz w:val="14"/>
              </w:rPr>
              <w:t>2026</w:t>
            </w:r>
          </w:p>
        </w:tc>
        <w:tc>
          <w:tcPr>
            <w:tcW w:type="dxa" w:w="2500"/>
          </w:tcPr>
          <w:p>
            <w:pPr>
              <w:keepLines/>
              <w:spacing w:after="0" w:line="276" w:lineRule="auto"/>
            </w:pPr>
            <w:r>
              <w:rPr>
                <w:rFonts w:ascii="Calibri" w:hAnsi="Calibri" w:eastAsia="Microsoft YaHei"/>
                <w:color w:val="0B2545"/>
                <w:sz w:val="14"/>
              </w:rPr>
              <w:t>Calcam documentation</w:t>
            </w:r>
          </w:p>
        </w:tc>
        <w:tc>
          <w:tcPr>
            <w:tcW w:type="dxa" w:w="1600"/>
          </w:tcPr>
          <w:p>
            <w:pPr>
              <w:keepLines/>
              <w:spacing w:after="0" w:line="276" w:lineRule="auto"/>
            </w:pPr>
            <w:r>
              <w:rPr>
                <w:rFonts w:ascii="Calibri" w:hAnsi="Calibri" w:eastAsia="Microsoft YaHei"/>
                <w:color w:val="0B2545"/>
                <w:sz w:val="14"/>
              </w:rPr>
              <w:t>原始论文 / 官方来源</w:t>
            </w:r>
          </w:p>
        </w:tc>
        <w:tc>
          <w:tcPr>
            <w:tcW w:type="dxa" w:w="2300"/>
          </w:tcPr>
          <w:p>
            <w:pPr>
              <w:keepLines/>
              <w:spacing w:after="0" w:line="276" w:lineRule="auto"/>
            </w:pPr>
            <w:r>
              <w:rPr>
                <w:rFonts w:ascii="Calibri" w:hAnsi="Calibri" w:eastAsia="Microsoft YaHei"/>
                <w:color w:val="0B2545"/>
                <w:sz w:val="14"/>
              </w:rPr>
              <w:t>official project documentation</w:t>
            </w:r>
          </w:p>
        </w:tc>
        <w:tc>
          <w:tcPr>
            <w:tcW w:type="dxa" w:w="2110"/>
          </w:tcPr>
          <w:p>
            <w:pPr>
              <w:keepLines/>
              <w:spacing w:after="0" w:line="276" w:lineRule="auto"/>
            </w:pPr>
            <w:hyperlink r:id="rId27">
              <w:r>
                <w:rPr>
                  <w:rFonts w:ascii="Calibri" w:hAnsi="Calibri" w:eastAsia="Microsoft YaHei"/>
                  <w:color w:val="008C95"/>
                  <w:u w:val="single"/>
                </w:rPr>
                <w:t>打开原始来源 ↗</w:t>
              </w:r>
            </w:hyperlink>
          </w:p>
        </w:tc>
      </w:tr>
      <w:tr>
        <w:trPr>
          <w:cantSplit/>
        </w:trPr>
        <w:tc>
          <w:tcPr>
            <w:tcW w:type="dxa" w:w="850"/>
          </w:tcPr>
          <w:p>
            <w:pPr>
              <w:keepLines/>
              <w:spacing w:after="0" w:line="276" w:lineRule="auto"/>
            </w:pPr>
            <w:r>
              <w:rPr>
                <w:rFonts w:ascii="Calibri" w:hAnsi="Calibri" w:eastAsia="Microsoft YaHei"/>
                <w:color w:val="0B2545"/>
                <w:sz w:val="14"/>
              </w:rPr>
              <w:t>2026</w:t>
            </w:r>
          </w:p>
        </w:tc>
        <w:tc>
          <w:tcPr>
            <w:tcW w:type="dxa" w:w="2500"/>
          </w:tcPr>
          <w:p>
            <w:pPr>
              <w:keepLines/>
              <w:spacing w:after="0" w:line="276" w:lineRule="auto"/>
            </w:pPr>
            <w:r>
              <w:rPr>
                <w:rFonts w:ascii="Calibri" w:hAnsi="Calibri" w:eastAsia="Microsoft YaHei"/>
                <w:color w:val="0B2545"/>
                <w:sz w:val="14"/>
              </w:rPr>
              <w:t>Calcam</w:t>
            </w:r>
          </w:p>
        </w:tc>
        <w:tc>
          <w:tcPr>
            <w:tcW w:type="dxa" w:w="1600"/>
          </w:tcPr>
          <w:p>
            <w:pPr>
              <w:keepLines/>
              <w:spacing w:after="0" w:line="276" w:lineRule="auto"/>
            </w:pPr>
            <w:r>
              <w:rPr>
                <w:rFonts w:ascii="Calibri" w:hAnsi="Calibri" w:eastAsia="Microsoft YaHei"/>
                <w:color w:val="0B2545"/>
                <w:sz w:val="14"/>
              </w:rPr>
              <w:t>Zenodo</w:t>
            </w:r>
          </w:p>
        </w:tc>
        <w:tc>
          <w:tcPr>
            <w:tcW w:type="dxa" w:w="2300"/>
          </w:tcPr>
          <w:p>
            <w:pPr>
              <w:keepLines/>
              <w:spacing w:after="0" w:line="276" w:lineRule="auto"/>
            </w:pPr>
            <w:r>
              <w:rPr>
                <w:rFonts w:ascii="Calibri" w:hAnsi="Calibri" w:eastAsia="Microsoft YaHei"/>
                <w:color w:val="0B2545"/>
                <w:sz w:val="14"/>
              </w:rPr>
              <w:t>official software archive</w:t>
            </w:r>
          </w:p>
        </w:tc>
        <w:tc>
          <w:tcPr>
            <w:tcW w:type="dxa" w:w="2110"/>
          </w:tcPr>
          <w:p>
            <w:pPr>
              <w:keepLines/>
              <w:spacing w:after="0" w:line="276" w:lineRule="auto"/>
            </w:pPr>
            <w:hyperlink r:id="rId28">
              <w:r>
                <w:rPr>
                  <w:rFonts w:ascii="Calibri" w:hAnsi="Calibri" w:eastAsia="Microsoft YaHei"/>
                  <w:color w:val="008C95"/>
                  <w:u w:val="single"/>
                </w:rPr>
                <w:t>打开原始来源 ↗</w:t>
              </w:r>
            </w:hyperlink>
          </w:p>
        </w:tc>
      </w:tr>
      <w:tr>
        <w:trPr>
          <w:cantSplit/>
        </w:trPr>
        <w:tc>
          <w:tcPr>
            <w:tcW w:type="dxa" w:w="850"/>
          </w:tcPr>
          <w:p>
            <w:pPr>
              <w:keepLines/>
              <w:spacing w:after="0" w:line="276" w:lineRule="auto"/>
            </w:pPr>
            <w:r>
              <w:rPr>
                <w:rFonts w:ascii="Calibri" w:hAnsi="Calibri" w:eastAsia="Microsoft YaHei"/>
                <w:color w:val="0B2545"/>
                <w:sz w:val="14"/>
              </w:rPr>
              <w:t>软件</w:t>
            </w:r>
          </w:p>
        </w:tc>
        <w:tc>
          <w:tcPr>
            <w:tcW w:type="dxa" w:w="2500"/>
          </w:tcPr>
          <w:p>
            <w:pPr>
              <w:keepLines/>
              <w:spacing w:after="0" w:line="276" w:lineRule="auto"/>
            </w:pPr>
            <w:r>
              <w:rPr>
                <w:rFonts w:ascii="Calibri" w:hAnsi="Calibri" w:eastAsia="Microsoft YaHei"/>
                <w:color w:val="0B2545"/>
                <w:sz w:val="14"/>
              </w:rPr>
              <w:t>Calcam</w:t>
            </w:r>
          </w:p>
        </w:tc>
        <w:tc>
          <w:tcPr>
            <w:tcW w:type="dxa" w:w="1600"/>
          </w:tcPr>
          <w:p>
            <w:pPr>
              <w:keepLines/>
              <w:spacing w:after="0" w:line="276" w:lineRule="auto"/>
            </w:pPr>
            <w:r>
              <w:rPr>
                <w:rFonts w:ascii="Calibri" w:hAnsi="Calibri" w:eastAsia="Microsoft YaHei"/>
                <w:color w:val="0B2545"/>
                <w:sz w:val="14"/>
              </w:rPr>
              <w:t>official-direct</w:t>
            </w:r>
          </w:p>
        </w:tc>
        <w:tc>
          <w:tcPr>
            <w:tcW w:type="dxa" w:w="2300"/>
          </w:tcPr>
          <w:p>
            <w:pPr>
              <w:keepLines/>
              <w:spacing w:after="0" w:line="276" w:lineRule="auto"/>
            </w:pPr>
            <w:r>
              <w:rPr>
                <w:rFonts w:ascii="Calibri" w:hAnsi="Calibri" w:eastAsia="Microsoft YaHei"/>
                <w:color w:val="0B2545"/>
                <w:sz w:val="14"/>
              </w:rPr>
              <w:t>EUROfusion/UKAEA 团队维护的几何标定软件。</w:t>
            </w:r>
          </w:p>
        </w:tc>
        <w:tc>
          <w:tcPr>
            <w:tcW w:type="dxa" w:w="2110"/>
          </w:tcPr>
          <w:p>
            <w:pPr>
              <w:keepLines/>
              <w:spacing w:after="0" w:line="276" w:lineRule="auto"/>
            </w:pPr>
            <w:hyperlink r:id="rId29">
              <w:r>
                <w:rPr>
                  <w:rFonts w:ascii="Calibri" w:hAnsi="Calibri" w:eastAsia="Microsoft YaHei"/>
                  <w:color w:val="008C95"/>
                  <w:u w:val="single"/>
                </w:rPr>
                <w:t>打开原始来源 ↗</w:t>
              </w:r>
            </w:hyperlink>
          </w:p>
        </w:tc>
      </w:tr>
    </w:tbl>
    <w:p>
      <w:pPr>
        <w:spacing w:before="0" w:after="60"/>
      </w:pPr>
    </w:p>
    <w:p>
      <w:pPr>
        <w:pStyle w:val="Heading3"/>
        <w:keepNext/>
      </w:pPr>
      <w:r>
        <w:t>DG0.07  MARTe2–MDSplus 实时采集、配置与归档一体化</w:t>
      </w:r>
    </w:p>
    <w:p>
      <w:pPr>
        <w:keepNext/>
        <w:spacing w:after="80"/>
      </w:pPr>
      <w:r>
        <w:rPr>
          <w:rFonts w:ascii="Calibri" w:hAnsi="Calibri" w:eastAsia="Microsoft YaHei"/>
          <w:i/>
          <w:color w:val="566573"/>
          <w:sz w:val="18"/>
        </w:rPr>
        <w:t>MARTe2–MDSplus Integrated Real-Time Acquisition and Archiving</w:t>
      </w:r>
    </w:p>
    <w:tbl>
      <w:tblPr>
        <w:tblStyle w:val="TableGrid"/>
        <w:tblW w:type="dxa" w:w="9360"/>
        <w:jc w:val="left"/>
        <w:tblLayout w:type="fixed"/>
        <w:tblLook w:firstColumn="1" w:firstRow="1" w:lastColumn="0" w:lastRow="0" w:noHBand="0" w:noVBand="1" w:val="04A0"/>
        <w:tblInd w:w="120" w:type="dxa"/>
      </w:tblPr>
      <w:tblGrid>
        <w:gridCol w:w="1200"/>
        <w:gridCol w:w="750"/>
        <w:gridCol w:w="750"/>
        <w:gridCol w:w="2100"/>
        <w:gridCol w:w="4560"/>
      </w:tblGrid>
      <w:tr>
        <w:trPr>
          <w:tblHeader w:val="true"/>
        </w:trPr>
        <w:tc>
          <w:tcPr>
            <w:tcW w:type="dxa" w:w="12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工作 ID</w:t>
            </w:r>
          </w:p>
        </w:tc>
        <w:tc>
          <w:tcPr>
            <w:tcW w:type="dxa" w:w="7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证据</w:t>
            </w:r>
          </w:p>
        </w:tc>
        <w:tc>
          <w:tcPr>
            <w:tcW w:type="dxa" w:w="7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部署</w:t>
            </w:r>
          </w:p>
        </w:tc>
        <w:tc>
          <w:tcPr>
            <w:tcW w:type="dxa" w:w="21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技术族</w:t>
            </w:r>
          </w:p>
        </w:tc>
        <w:tc>
          <w:tcPr>
            <w:tcW w:type="dxa" w:w="456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装置</w:t>
            </w:r>
          </w:p>
        </w:tc>
      </w:tr>
      <w:tr>
        <w:trPr>
          <w:cantSplit/>
        </w:trPr>
        <w:tc>
          <w:tcPr>
            <w:tcW w:type="dxa" w:w="1200"/>
          </w:tcPr>
          <w:p>
            <w:pPr>
              <w:keepLines/>
              <w:spacing w:after="0" w:line="276" w:lineRule="auto"/>
            </w:pPr>
            <w:r>
              <w:rPr>
                <w:rFonts w:ascii="Calibri" w:hAnsi="Calibri" w:eastAsia="Microsoft YaHei"/>
                <w:color w:val="0B2545"/>
                <w:sz w:val="15"/>
              </w:rPr>
              <w:t>DSI-007</w:t>
            </w:r>
          </w:p>
        </w:tc>
        <w:tc>
          <w:tcPr>
            <w:tcW w:type="dxa" w:w="750"/>
          </w:tcPr>
          <w:p>
            <w:pPr>
              <w:keepLines/>
              <w:spacing w:after="0" w:line="276" w:lineRule="auto"/>
            </w:pPr>
            <w:r>
              <w:rPr>
                <w:rFonts w:ascii="Calibri" w:hAnsi="Calibri" w:eastAsia="Microsoft YaHei"/>
                <w:color w:val="0B2545"/>
                <w:sz w:val="15"/>
              </w:rPr>
              <w:t>E4</w:t>
            </w:r>
          </w:p>
        </w:tc>
        <w:tc>
          <w:tcPr>
            <w:tcW w:type="dxa" w:w="750"/>
          </w:tcPr>
          <w:p>
            <w:pPr>
              <w:keepLines/>
              <w:spacing w:after="0" w:line="276" w:lineRule="auto"/>
            </w:pPr>
            <w:r>
              <w:rPr>
                <w:rFonts w:ascii="Calibri" w:hAnsi="Calibri" w:eastAsia="Microsoft YaHei"/>
                <w:color w:val="0B2545"/>
                <w:sz w:val="15"/>
              </w:rPr>
              <w:t>D4</w:t>
            </w:r>
          </w:p>
        </w:tc>
        <w:tc>
          <w:tcPr>
            <w:tcW w:type="dxa" w:w="2100"/>
          </w:tcPr>
          <w:p>
            <w:pPr>
              <w:keepLines/>
              <w:spacing w:after="0" w:line="276" w:lineRule="auto"/>
            </w:pPr>
            <w:r>
              <w:rPr>
                <w:rFonts w:ascii="Calibri" w:hAnsi="Calibri" w:eastAsia="Microsoft YaHei"/>
                <w:color w:val="0B2545"/>
                <w:sz w:val="15"/>
              </w:rPr>
              <w:t>COMPUTATIONAL</w:t>
            </w:r>
          </w:p>
        </w:tc>
        <w:tc>
          <w:tcPr>
            <w:tcW w:type="dxa" w:w="4560"/>
          </w:tcPr>
          <w:p>
            <w:pPr>
              <w:keepLines/>
              <w:spacing w:after="0" w:line="276" w:lineRule="auto"/>
            </w:pPr>
            <w:r>
              <w:rPr>
                <w:rFonts w:ascii="Calibri" w:hAnsi="Calibri" w:eastAsia="Microsoft YaHei"/>
                <w:color w:val="0B2545"/>
                <w:sz w:val="15"/>
              </w:rPr>
              <w:t>RFX-mod；RFX-mod2；SPIDER；ITER NBTF；DTT；SPARC planned；SMART proof-of-concept</w:t>
            </w:r>
          </w:p>
        </w:tc>
      </w:tr>
    </w:tbl>
    <w:p>
      <w:pPr>
        <w:spacing w:before="0" w:after="60"/>
      </w:pPr>
    </w:p>
    <w:p>
      <w:pPr>
        <w:widowControl/>
      </w:pPr>
      <w:r>
        <w:rPr>
          <w:rFonts w:ascii="Calibri" w:hAnsi="Calibri" w:eastAsia="Microsoft YaHei"/>
          <w:b/>
          <w:color w:val="1F4D78"/>
        </w:rPr>
        <w:t>解决问题：</w:t>
      </w:r>
      <w:r>
        <w:rPr>
          <w:rFonts w:ascii="Calibri" w:hAnsi="Calibri" w:eastAsia="Microsoft YaHei"/>
        </w:rPr>
        <w:t>实时控制配置与数据采集配置分离会产生接口漂移、重复配置和难以回放的实时链。</w:t>
      </w:r>
    </w:p>
    <w:p>
      <w:pPr>
        <w:widowControl/>
      </w:pPr>
      <w:r>
        <w:rPr>
          <w:rFonts w:ascii="Calibri" w:hAnsi="Calibri" w:eastAsia="Microsoft YaHei"/>
          <w:b/>
          <w:color w:val="1F4D78"/>
        </w:rPr>
        <w:t>测量原理：</w:t>
      </w:r>
      <w:r>
        <w:rPr>
          <w:rFonts w:ascii="Calibri" w:hAnsi="Calibri" w:eastAsia="Microsoft YaHei"/>
        </w:rPr>
        <w:t>MARTe2 处理确定性实时数据流，MDSplus 设备模型描述采集与组件关系并保存流式数据和配置。</w:t>
      </w:r>
    </w:p>
    <w:p>
      <w:pPr>
        <w:widowControl/>
      </w:pPr>
      <w:r>
        <w:rPr>
          <w:rFonts w:ascii="Calibri" w:hAnsi="Calibri" w:eastAsia="Microsoft YaHei"/>
          <w:b/>
          <w:color w:val="1F4D78"/>
        </w:rPr>
        <w:t>测量产品：</w:t>
      </w:r>
      <w:r>
        <w:rPr>
          <w:rFonts w:ascii="Calibri" w:hAnsi="Calibri" w:eastAsia="Microsoft YaHei"/>
        </w:rPr>
        <w:t>real-time signals；configuration；reference waveforms；events</w:t>
      </w:r>
    </w:p>
    <w:p>
      <w:pPr>
        <w:widowControl/>
      </w:pPr>
      <w:r>
        <w:rPr>
          <w:rFonts w:ascii="Calibri" w:hAnsi="Calibri" w:eastAsia="Microsoft YaHei"/>
          <w:b/>
          <w:color w:val="1F4D78"/>
        </w:rPr>
        <w:t>时空分辨与覆盖：</w:t>
      </w:r>
      <w:r>
        <w:rPr>
          <w:rFonts w:ascii="Calibri" w:hAnsi="Calibri" w:eastAsia="Microsoft YaHei"/>
        </w:rPr>
        <w:t>时间：因装置、采集和分析链而异；原始来源未给出统一数值。；空间：由视线、几何和反演设定；原始来源未给出统一数值。</w:t>
      </w:r>
    </w:p>
    <w:p>
      <w:pPr>
        <w:widowControl/>
      </w:pPr>
      <w:r>
        <w:rPr>
          <w:rFonts w:ascii="Calibri" w:hAnsi="Calibri" w:eastAsia="Microsoft YaHei"/>
          <w:b/>
          <w:color w:val="1F4D78"/>
        </w:rPr>
        <w:t>仪器与传感器：</w:t>
      </w:r>
      <w:r>
        <w:rPr>
          <w:rFonts w:ascii="Calibri" w:hAnsi="Calibri" w:eastAsia="Microsoft YaHei"/>
        </w:rPr>
        <w:t>real-time Linux computers；ADC/camera systems；MDSplus servers</w:t>
      </w:r>
    </w:p>
    <w:p>
      <w:pPr>
        <w:widowControl/>
      </w:pPr>
      <w:r>
        <w:rPr>
          <w:rFonts w:ascii="Calibri" w:hAnsi="Calibri" w:eastAsia="Microsoft YaHei"/>
          <w:b/>
          <w:color w:val="1F4D78"/>
        </w:rPr>
        <w:t>标定与质量：</w:t>
      </w:r>
      <w:r>
        <w:rPr>
          <w:rFonts w:ascii="Calibri" w:hAnsi="Calibri" w:eastAsia="Microsoft YaHei"/>
        </w:rPr>
        <w:t>校准参数可随配置读入并归档；实时路径还需独立验证数值精度、延迟和时间戳。</w:t>
      </w:r>
    </w:p>
    <w:p>
      <w:pPr>
        <w:widowControl/>
      </w:pPr>
      <w:r>
        <w:rPr>
          <w:rFonts w:ascii="Calibri" w:hAnsi="Calibri" w:eastAsia="Microsoft YaHei"/>
          <w:b/>
          <w:color w:val="1F4D78"/>
        </w:rPr>
        <w:t>反演与分析：</w:t>
      </w:r>
      <w:r>
        <w:rPr>
          <w:rFonts w:ascii="Calibri" w:hAnsi="Calibri" w:eastAsia="Microsoft YaHei"/>
        </w:rPr>
        <w:t>real-time preprocessing；configuration consistency checks；pulse replay</w:t>
      </w:r>
    </w:p>
    <w:p>
      <w:pPr>
        <w:widowControl/>
      </w:pPr>
      <w:r>
        <w:rPr>
          <w:rFonts w:ascii="Calibri" w:hAnsi="Calibri" w:eastAsia="Microsoft YaHei"/>
          <w:b/>
          <w:color w:val="1F4D78"/>
        </w:rPr>
        <w:t>验证与应用：</w:t>
      </w:r>
      <w:r>
        <w:rPr>
          <w:rFonts w:ascii="Calibri" w:hAnsi="Calibri" w:eastAsia="Microsoft YaHei"/>
        </w:rPr>
        <w:t>RFX-mod 自 2012 年运行 MARTe/MDSplus；论文给出组件集成、配置生成和用例。</w:t>
      </w:r>
    </w:p>
    <w:p>
      <w:pPr>
        <w:widowControl/>
      </w:pPr>
      <w:r>
        <w:rPr>
          <w:rFonts w:ascii="Calibri" w:hAnsi="Calibri" w:eastAsia="Microsoft YaHei"/>
          <w:b/>
          <w:color w:val="1F4D78"/>
        </w:rPr>
        <w:t>局限与边界：</w:t>
      </w:r>
      <w:r>
        <w:rPr>
          <w:rFonts w:ascii="Calibri" w:hAnsi="Calibri" w:eastAsia="Microsoft YaHei"/>
        </w:rPr>
        <w:t>框架确定性不等于端到端诊断确定性；驱动、网络、时钟、丢包、重启和模型推理 WCET 需逐系统证明。</w:t>
      </w:r>
    </w:p>
    <w:tbl>
      <w:tblPr>
        <w:tblStyle w:val="TableGrid"/>
        <w:tblW w:type="dxa" w:w="9360"/>
        <w:jc w:val="left"/>
        <w:tblLayout w:type="fixed"/>
        <w:tblLook w:firstColumn="1" w:firstRow="1" w:lastColumn="0" w:lastRow="0" w:noHBand="0" w:noVBand="1" w:val="04A0"/>
        <w:tblInd w:w="120" w:type="dxa"/>
      </w:tblPr>
      <w:tblGrid>
        <w:gridCol w:w="9360"/>
      </w:tblGrid>
      <w:tr>
        <w:trPr>
          <w:cantSplit/>
        </w:trPr>
        <w:tc>
          <w:tcPr>
            <w:tcW w:type="dxa" w:w="9360"/>
            <w:tcMar>
              <w:top w:w="80" w:type="dxa"/>
              <w:bottom w:w="80" w:type="dxa"/>
              <w:start w:w="120" w:type="dxa"/>
              <w:end w:w="120" w:type="dxa"/>
            </w:tcMar>
            <w:vAlign w:val="center"/>
            <w:shd w:fill="EEF7F7"/>
          </w:tcPr>
          <w:p>
            <w:pPr>
              <w:keepNext/>
              <w:keepLines/>
              <w:spacing w:after="40"/>
            </w:pPr>
            <w:r>
              <w:rPr>
                <w:rFonts w:ascii="Calibri" w:hAnsi="Calibri" w:eastAsia="Microsoft YaHei"/>
                <w:b/>
                <w:color w:val="008C95"/>
                <w:sz w:val="17"/>
              </w:rPr>
              <w:t>DIGITAL-TWIN RELEVANCE</w:t>
            </w:r>
          </w:p>
          <w:p>
            <w:pPr>
              <w:spacing w:after="0"/>
            </w:pPr>
            <w:r>
              <w:rPr>
                <w:rFonts w:ascii="Calibri" w:hAnsi="Calibri" w:eastAsia="Microsoft YaHei"/>
                <w:color w:val="0B2545"/>
                <w:sz w:val="20"/>
              </w:rPr>
              <w:t>提供实时孪生数据平面和可回放配置，是影子模式、硬件在环与在线估计的重要执行底座。</w:t>
            </w:r>
          </w:p>
        </w:tc>
      </w:tr>
    </w:tbl>
    <w:p>
      <w:pPr>
        <w:spacing w:after="40"/>
      </w:pPr>
    </w:p>
    <w:tbl>
      <w:tblPr>
        <w:tblStyle w:val="TableGrid"/>
        <w:tblW w:type="dxa" w:w="9360"/>
        <w:jc w:val="left"/>
        <w:tblLayout w:type="fixed"/>
        <w:tblLook w:firstColumn="1" w:firstRow="1" w:lastColumn="0" w:lastRow="0" w:noHBand="0" w:noVBand="1" w:val="04A0"/>
        <w:tblInd w:w="120" w:type="dxa"/>
      </w:tblPr>
      <w:tblGrid>
        <w:gridCol w:w="850"/>
        <w:gridCol w:w="2500"/>
        <w:gridCol w:w="1600"/>
        <w:gridCol w:w="2300"/>
        <w:gridCol w:w="2110"/>
      </w:tblGrid>
      <w:tr>
        <w:trPr>
          <w:tblHeader w:val="true"/>
        </w:trPr>
        <w:tc>
          <w:tcPr>
            <w:tcW w:type="dxa" w:w="8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年份/类型</w:t>
            </w:r>
          </w:p>
        </w:tc>
        <w:tc>
          <w:tcPr>
            <w:tcW w:type="dxa" w:w="25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论文或软件</w:t>
            </w:r>
          </w:p>
        </w:tc>
        <w:tc>
          <w:tcPr>
            <w:tcW w:type="dxa" w:w="16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期刊/开放性</w:t>
            </w:r>
          </w:p>
        </w:tc>
        <w:tc>
          <w:tcPr>
            <w:tcW w:type="dxa" w:w="23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来源类型/关系</w:t>
            </w:r>
          </w:p>
        </w:tc>
        <w:tc>
          <w:tcPr>
            <w:tcW w:type="dxa" w:w="211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链接</w:t>
            </w:r>
          </w:p>
        </w:tc>
      </w:tr>
      <w:tr>
        <w:trPr>
          <w:cantSplit/>
        </w:trPr>
        <w:tc>
          <w:tcPr>
            <w:tcW w:type="dxa" w:w="850"/>
          </w:tcPr>
          <w:p>
            <w:pPr>
              <w:keepLines/>
              <w:spacing w:after="0" w:line="276" w:lineRule="auto"/>
            </w:pPr>
            <w:r>
              <w:rPr>
                <w:rFonts w:ascii="Calibri" w:hAnsi="Calibri" w:eastAsia="Microsoft YaHei"/>
                <w:color w:val="0B2545"/>
                <w:sz w:val="14"/>
              </w:rPr>
              <w:t>2020</w:t>
            </w:r>
          </w:p>
        </w:tc>
        <w:tc>
          <w:tcPr>
            <w:tcW w:type="dxa" w:w="2500"/>
          </w:tcPr>
          <w:p>
            <w:pPr>
              <w:keepLines/>
              <w:spacing w:after="0" w:line="276" w:lineRule="auto"/>
            </w:pPr>
            <w:r>
              <w:rPr>
                <w:rFonts w:ascii="Calibri" w:hAnsi="Calibri" w:eastAsia="Microsoft YaHei"/>
                <w:color w:val="0B2545"/>
                <w:sz w:val="14"/>
              </w:rPr>
              <w:t>MARTe2 and MDSplus integration for a comprehensive fast control and data acquisition system</w:t>
            </w:r>
          </w:p>
        </w:tc>
        <w:tc>
          <w:tcPr>
            <w:tcW w:type="dxa" w:w="1600"/>
          </w:tcPr>
          <w:p>
            <w:pPr>
              <w:keepLines/>
              <w:spacing w:after="0" w:line="276" w:lineRule="auto"/>
            </w:pPr>
            <w:r>
              <w:rPr>
                <w:rFonts w:ascii="Calibri" w:hAnsi="Calibri" w:eastAsia="Microsoft YaHei"/>
                <w:color w:val="0B2545"/>
                <w:sz w:val="14"/>
              </w:rPr>
              <w:t>Fusion Engineering and Design</w:t>
            </w:r>
          </w:p>
        </w:tc>
        <w:tc>
          <w:tcPr>
            <w:tcW w:type="dxa" w:w="2300"/>
          </w:tcPr>
          <w:p>
            <w:pPr>
              <w:keepLines/>
              <w:spacing w:after="0" w:line="276" w:lineRule="auto"/>
            </w:pPr>
            <w:r>
              <w:rPr>
                <w:rFonts w:ascii="Calibri" w:hAnsi="Calibri" w:eastAsia="Microsoft YaHei"/>
                <w:color w:val="0B2545"/>
                <w:sz w:val="14"/>
              </w:rPr>
              <w:t>peer-reviewed primary framework report</w:t>
            </w:r>
          </w:p>
        </w:tc>
        <w:tc>
          <w:tcPr>
            <w:tcW w:type="dxa" w:w="2110"/>
          </w:tcPr>
          <w:p>
            <w:pPr>
              <w:keepLines/>
              <w:spacing w:after="0" w:line="276" w:lineRule="auto"/>
            </w:pPr>
            <w:hyperlink r:id="rId30">
              <w:r>
                <w:rPr>
                  <w:rFonts w:ascii="Calibri" w:hAnsi="Calibri" w:eastAsia="Microsoft YaHei"/>
                  <w:color w:val="008C95"/>
                  <w:u w:val="single"/>
                </w:rPr>
                <w:t>打开原始来源 ↗</w:t>
              </w:r>
            </w:hyperlink>
          </w:p>
        </w:tc>
      </w:tr>
      <w:tr>
        <w:trPr>
          <w:cantSplit/>
        </w:trPr>
        <w:tc>
          <w:tcPr>
            <w:tcW w:type="dxa" w:w="850"/>
          </w:tcPr>
          <w:p>
            <w:pPr>
              <w:keepLines/>
              <w:spacing w:after="0" w:line="276" w:lineRule="auto"/>
            </w:pPr>
            <w:r>
              <w:rPr>
                <w:rFonts w:ascii="Calibri" w:hAnsi="Calibri" w:eastAsia="Microsoft YaHei"/>
                <w:color w:val="0B2545"/>
                <w:sz w:val="14"/>
              </w:rPr>
              <w:t>软件</w:t>
            </w:r>
          </w:p>
        </w:tc>
        <w:tc>
          <w:tcPr>
            <w:tcW w:type="dxa" w:w="2500"/>
          </w:tcPr>
          <w:p>
            <w:pPr>
              <w:keepLines/>
              <w:spacing w:after="0" w:line="276" w:lineRule="auto"/>
            </w:pPr>
            <w:r>
              <w:rPr>
                <w:rFonts w:ascii="Calibri" w:hAnsi="Calibri" w:eastAsia="Microsoft YaHei"/>
                <w:color w:val="0B2545"/>
                <w:sz w:val="14"/>
              </w:rPr>
              <w:t>MARTe2</w:t>
            </w:r>
          </w:p>
        </w:tc>
        <w:tc>
          <w:tcPr>
            <w:tcW w:type="dxa" w:w="1600"/>
          </w:tcPr>
          <w:p>
            <w:pPr>
              <w:keepLines/>
              <w:spacing w:after="0" w:line="276" w:lineRule="auto"/>
            </w:pPr>
            <w:r>
              <w:rPr>
                <w:rFonts w:ascii="Calibri" w:hAnsi="Calibri" w:eastAsia="Microsoft YaHei"/>
                <w:color w:val="0B2545"/>
                <w:sz w:val="14"/>
              </w:rPr>
              <w:t>official-direct</w:t>
            </w:r>
          </w:p>
        </w:tc>
        <w:tc>
          <w:tcPr>
            <w:tcW w:type="dxa" w:w="2300"/>
          </w:tcPr>
          <w:p>
            <w:pPr>
              <w:keepLines/>
              <w:spacing w:after="0" w:line="276" w:lineRule="auto"/>
            </w:pPr>
            <w:r>
              <w:rPr>
                <w:rFonts w:ascii="Calibri" w:hAnsi="Calibri" w:eastAsia="Microsoft YaHei"/>
                <w:color w:val="0B2545"/>
                <w:sz w:val="14"/>
              </w:rPr>
              <w:t>Fusion for Energy 维护的 MARTe2 核心。</w:t>
            </w:r>
          </w:p>
        </w:tc>
        <w:tc>
          <w:tcPr>
            <w:tcW w:type="dxa" w:w="2110"/>
          </w:tcPr>
          <w:p>
            <w:pPr>
              <w:keepLines/>
              <w:spacing w:after="0" w:line="276" w:lineRule="auto"/>
            </w:pPr>
            <w:hyperlink r:id="rId31">
              <w:r>
                <w:rPr>
                  <w:rFonts w:ascii="Calibri" w:hAnsi="Calibri" w:eastAsia="Microsoft YaHei"/>
                  <w:color w:val="008C95"/>
                  <w:u w:val="single"/>
                </w:rPr>
                <w:t>打开原始来源 ↗</w:t>
              </w:r>
            </w:hyperlink>
          </w:p>
        </w:tc>
      </w:tr>
      <w:tr>
        <w:trPr>
          <w:cantSplit/>
        </w:trPr>
        <w:tc>
          <w:tcPr>
            <w:tcW w:type="dxa" w:w="850"/>
          </w:tcPr>
          <w:p>
            <w:pPr>
              <w:keepLines/>
              <w:spacing w:after="0" w:line="276" w:lineRule="auto"/>
            </w:pPr>
            <w:r>
              <w:rPr>
                <w:rFonts w:ascii="Calibri" w:hAnsi="Calibri" w:eastAsia="Microsoft YaHei"/>
                <w:color w:val="0B2545"/>
                <w:sz w:val="14"/>
              </w:rPr>
              <w:t>软件</w:t>
            </w:r>
          </w:p>
        </w:tc>
        <w:tc>
          <w:tcPr>
            <w:tcW w:type="dxa" w:w="2500"/>
          </w:tcPr>
          <w:p>
            <w:pPr>
              <w:keepLines/>
              <w:spacing w:after="0" w:line="276" w:lineRule="auto"/>
            </w:pPr>
            <w:r>
              <w:rPr>
                <w:rFonts w:ascii="Calibri" w:hAnsi="Calibri" w:eastAsia="Microsoft YaHei"/>
                <w:color w:val="0B2545"/>
                <w:sz w:val="14"/>
              </w:rPr>
              <w:t>MDSplus</w:t>
            </w:r>
          </w:p>
        </w:tc>
        <w:tc>
          <w:tcPr>
            <w:tcW w:type="dxa" w:w="1600"/>
          </w:tcPr>
          <w:p>
            <w:pPr>
              <w:keepLines/>
              <w:spacing w:after="0" w:line="276" w:lineRule="auto"/>
            </w:pPr>
            <w:r>
              <w:rPr>
                <w:rFonts w:ascii="Calibri" w:hAnsi="Calibri" w:eastAsia="Microsoft YaHei"/>
                <w:color w:val="0B2545"/>
                <w:sz w:val="14"/>
              </w:rPr>
              <w:t>official-enabling</w:t>
            </w:r>
          </w:p>
        </w:tc>
        <w:tc>
          <w:tcPr>
            <w:tcW w:type="dxa" w:w="2300"/>
          </w:tcPr>
          <w:p>
            <w:pPr>
              <w:keepLines/>
              <w:spacing w:after="0" w:line="276" w:lineRule="auto"/>
            </w:pPr>
            <w:r>
              <w:rPr>
                <w:rFonts w:ascii="Calibri" w:hAnsi="Calibri" w:eastAsia="Microsoft YaHei"/>
                <w:color w:val="0B2545"/>
                <w:sz w:val="14"/>
              </w:rPr>
              <w:t>官方数据系统；为集成链提供设备模型和归档，不是 MARTe2 本身。</w:t>
            </w:r>
          </w:p>
        </w:tc>
        <w:tc>
          <w:tcPr>
            <w:tcW w:type="dxa" w:w="2110"/>
          </w:tcPr>
          <w:p>
            <w:pPr>
              <w:keepLines/>
              <w:spacing w:after="0" w:line="276" w:lineRule="auto"/>
            </w:pPr>
            <w:hyperlink r:id="rId21">
              <w:r>
                <w:rPr>
                  <w:rFonts w:ascii="Calibri" w:hAnsi="Calibri" w:eastAsia="Microsoft YaHei"/>
                  <w:color w:val="008C95"/>
                  <w:u w:val="single"/>
                </w:rPr>
                <w:t>打开原始来源 ↗</w:t>
              </w:r>
            </w:hyperlink>
          </w:p>
        </w:tc>
      </w:tr>
    </w:tbl>
    <w:p>
      <w:pPr>
        <w:spacing w:before="0" w:after="60"/>
      </w:pPr>
    </w:p>
    <w:p>
      <w:pPr>
        <w:pStyle w:val="Heading3"/>
        <w:keepNext/>
      </w:pPr>
      <w:r>
        <w:t>DG0.08  ITER 诊断 Plant I&amp;C、CODAC 接口与中子计量校准治理</w:t>
      </w:r>
    </w:p>
    <w:p>
      <w:pPr>
        <w:keepNext/>
        <w:spacing w:after="80"/>
      </w:pPr>
      <w:r>
        <w:rPr>
          <w:rFonts w:ascii="Calibri" w:hAnsi="Calibri" w:eastAsia="Microsoft YaHei"/>
          <w:i/>
          <w:color w:val="566573"/>
          <w:sz w:val="18"/>
        </w:rPr>
        <w:t>ITER Diagnostic Plant I&amp;C, CODAC Interfaces and Neutron Metrology</w:t>
      </w:r>
    </w:p>
    <w:tbl>
      <w:tblPr>
        <w:tblStyle w:val="TableGrid"/>
        <w:tblW w:type="dxa" w:w="9360"/>
        <w:jc w:val="left"/>
        <w:tblLayout w:type="fixed"/>
        <w:tblLook w:firstColumn="1" w:firstRow="1" w:lastColumn="0" w:lastRow="0" w:noHBand="0" w:noVBand="1" w:val="04A0"/>
        <w:tblInd w:w="120" w:type="dxa"/>
      </w:tblPr>
      <w:tblGrid>
        <w:gridCol w:w="1200"/>
        <w:gridCol w:w="750"/>
        <w:gridCol w:w="750"/>
        <w:gridCol w:w="2100"/>
        <w:gridCol w:w="4560"/>
      </w:tblGrid>
      <w:tr>
        <w:trPr>
          <w:tblHeader w:val="true"/>
        </w:trPr>
        <w:tc>
          <w:tcPr>
            <w:tcW w:type="dxa" w:w="12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工作 ID</w:t>
            </w:r>
          </w:p>
        </w:tc>
        <w:tc>
          <w:tcPr>
            <w:tcW w:type="dxa" w:w="7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证据</w:t>
            </w:r>
          </w:p>
        </w:tc>
        <w:tc>
          <w:tcPr>
            <w:tcW w:type="dxa" w:w="7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部署</w:t>
            </w:r>
          </w:p>
        </w:tc>
        <w:tc>
          <w:tcPr>
            <w:tcW w:type="dxa" w:w="21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技术族</w:t>
            </w:r>
          </w:p>
        </w:tc>
        <w:tc>
          <w:tcPr>
            <w:tcW w:type="dxa" w:w="456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装置</w:t>
            </w:r>
          </w:p>
        </w:tc>
      </w:tr>
      <w:tr>
        <w:trPr>
          <w:cantSplit/>
        </w:trPr>
        <w:tc>
          <w:tcPr>
            <w:tcW w:type="dxa" w:w="1200"/>
          </w:tcPr>
          <w:p>
            <w:pPr>
              <w:keepLines/>
              <w:spacing w:after="0" w:line="276" w:lineRule="auto"/>
            </w:pPr>
            <w:r>
              <w:rPr>
                <w:rFonts w:ascii="Calibri" w:hAnsi="Calibri" w:eastAsia="Microsoft YaHei"/>
                <w:color w:val="0B2545"/>
                <w:sz w:val="15"/>
              </w:rPr>
              <w:t>DSI-008</w:t>
            </w:r>
          </w:p>
        </w:tc>
        <w:tc>
          <w:tcPr>
            <w:tcW w:type="dxa" w:w="750"/>
          </w:tcPr>
          <w:p>
            <w:pPr>
              <w:keepLines/>
              <w:spacing w:after="0" w:line="276" w:lineRule="auto"/>
            </w:pPr>
            <w:r>
              <w:rPr>
                <w:rFonts w:ascii="Calibri" w:hAnsi="Calibri" w:eastAsia="Microsoft YaHei"/>
                <w:color w:val="0B2545"/>
                <w:sz w:val="15"/>
              </w:rPr>
              <w:t>E2</w:t>
            </w:r>
          </w:p>
        </w:tc>
        <w:tc>
          <w:tcPr>
            <w:tcW w:type="dxa" w:w="750"/>
          </w:tcPr>
          <w:p>
            <w:pPr>
              <w:keepLines/>
              <w:spacing w:after="0" w:line="276" w:lineRule="auto"/>
            </w:pPr>
            <w:r>
              <w:rPr>
                <w:rFonts w:ascii="Calibri" w:hAnsi="Calibri" w:eastAsia="Microsoft YaHei"/>
                <w:color w:val="0B2545"/>
                <w:sz w:val="15"/>
              </w:rPr>
              <w:t>D2</w:t>
            </w:r>
          </w:p>
        </w:tc>
        <w:tc>
          <w:tcPr>
            <w:tcW w:type="dxa" w:w="2100"/>
          </w:tcPr>
          <w:p>
            <w:pPr>
              <w:keepLines/>
              <w:spacing w:after="0" w:line="276" w:lineRule="auto"/>
            </w:pPr>
            <w:r>
              <w:rPr>
                <w:rFonts w:ascii="Calibri" w:hAnsi="Calibri" w:eastAsia="Microsoft YaHei"/>
                <w:color w:val="0B2545"/>
                <w:sz w:val="15"/>
              </w:rPr>
              <w:t>ENGINEERING_SENSOR</w:t>
            </w:r>
          </w:p>
        </w:tc>
        <w:tc>
          <w:tcPr>
            <w:tcW w:type="dxa" w:w="4560"/>
          </w:tcPr>
          <w:p>
            <w:pPr>
              <w:keepLines/>
              <w:spacing w:after="0" w:line="276" w:lineRule="auto"/>
            </w:pPr>
            <w:r>
              <w:rPr>
                <w:rFonts w:ascii="Calibri" w:hAnsi="Calibri" w:eastAsia="Microsoft YaHei"/>
                <w:color w:val="0B2545"/>
                <w:sz w:val="15"/>
              </w:rPr>
              <w:t>ITER</w:t>
            </w:r>
          </w:p>
        </w:tc>
      </w:tr>
    </w:tbl>
    <w:p>
      <w:pPr>
        <w:spacing w:before="0" w:after="60"/>
      </w:pPr>
    </w:p>
    <w:p>
      <w:pPr>
        <w:widowControl/>
      </w:pPr>
      <w:r>
        <w:rPr>
          <w:rFonts w:ascii="Calibri" w:hAnsi="Calibri" w:eastAsia="Microsoft YaHei"/>
          <w:b/>
          <w:color w:val="1F4D78"/>
        </w:rPr>
        <w:t>解决问题：</w:t>
      </w:r>
      <w:r>
        <w:rPr>
          <w:rFonts w:ascii="Calibri" w:hAnsi="Calibri" w:eastAsia="Microsoft YaHei"/>
        </w:rPr>
        <w:t>59 个诊断 plant 由多方交付且处于核环境，必须以统一状态机、网络、时间、保护边界和校准链获得可比且可维护的测量。</w:t>
      </w:r>
    </w:p>
    <w:p>
      <w:pPr>
        <w:widowControl/>
      </w:pPr>
      <w:r>
        <w:rPr>
          <w:rFonts w:ascii="Calibri" w:hAnsi="Calibri" w:eastAsia="Microsoft YaHei"/>
          <w:b/>
          <w:color w:val="1F4D78"/>
        </w:rPr>
        <w:t>测量原理：</w:t>
      </w:r>
      <w:r>
        <w:rPr>
          <w:rFonts w:ascii="Calibri" w:hAnsi="Calibri" w:eastAsia="Microsoft YaHei"/>
        </w:rPr>
        <w:t>Plant I&amp;C 遵循 CODAC 标准网络与运行状态；中子诊断用嵌入源、参考脉冲、原位中子源和诊断间交叉校准建立功率测量。</w:t>
      </w:r>
    </w:p>
    <w:p>
      <w:pPr>
        <w:widowControl/>
      </w:pPr>
      <w:r>
        <w:rPr>
          <w:rFonts w:ascii="Calibri" w:hAnsi="Calibri" w:eastAsia="Microsoft YaHei"/>
          <w:b/>
          <w:color w:val="1F4D78"/>
        </w:rPr>
        <w:t>测量产品：</w:t>
      </w:r>
      <w:r>
        <w:rPr>
          <w:rFonts w:ascii="Calibri" w:hAnsi="Calibri" w:eastAsia="Microsoft YaHei"/>
        </w:rPr>
        <w:t>fusion power；neutron rate；timestamp；plant state；quality/interlock state</w:t>
      </w:r>
    </w:p>
    <w:p>
      <w:pPr>
        <w:widowControl/>
      </w:pPr>
      <w:r>
        <w:rPr>
          <w:rFonts w:ascii="Calibri" w:hAnsi="Calibri" w:eastAsia="Microsoft YaHei"/>
          <w:b/>
          <w:color w:val="1F4D78"/>
        </w:rPr>
        <w:t>时空分辨与覆盖：</w:t>
      </w:r>
      <w:r>
        <w:rPr>
          <w:rFonts w:ascii="Calibri" w:hAnsi="Calibri" w:eastAsia="Microsoft YaHei"/>
        </w:rPr>
        <w:t>时间：因装置、采集和分析链而异；原始来源未给出统一数值。；空间：由视线、几何和反演设定；原始来源未给出统一数值。</w:t>
      </w:r>
    </w:p>
    <w:p>
      <w:pPr>
        <w:widowControl/>
      </w:pPr>
      <w:r>
        <w:rPr>
          <w:rFonts w:ascii="Calibri" w:hAnsi="Calibri" w:eastAsia="Microsoft YaHei"/>
          <w:b/>
          <w:color w:val="1F4D78"/>
        </w:rPr>
        <w:t>仪器与传感器：</w:t>
      </w:r>
      <w:r>
        <w:rPr>
          <w:rFonts w:ascii="Calibri" w:hAnsi="Calibri" w:eastAsia="Microsoft YaHei"/>
        </w:rPr>
        <w:t>RNC；fission chambers；activation systems；DAQ；CODAC networks；calibration neutron sources</w:t>
      </w:r>
    </w:p>
    <w:p>
      <w:pPr>
        <w:widowControl/>
      </w:pPr>
      <w:r>
        <w:rPr>
          <w:rFonts w:ascii="Calibri" w:hAnsi="Calibri" w:eastAsia="Microsoft YaHei"/>
          <w:b/>
          <w:color w:val="1F4D78"/>
        </w:rPr>
        <w:t>标定与质量：</w:t>
      </w:r>
      <w:r>
        <w:rPr>
          <w:rFonts w:ascii="Calibri" w:hAnsi="Calibri" w:eastAsia="Microsoft YaHei"/>
        </w:rPr>
        <w:t>RNC 方案结合内置源、参考脉冲、裂变室/活化系统交叉校准与 MCNP/OpenMC 响应；需保存源证书、照射几何、衰变修正和不确定度预算。</w:t>
      </w:r>
    </w:p>
    <w:p>
      <w:pPr>
        <w:widowControl/>
      </w:pPr>
      <w:r>
        <w:rPr>
          <w:rFonts w:ascii="Calibri" w:hAnsi="Calibri" w:eastAsia="Microsoft YaHei"/>
          <w:b/>
          <w:color w:val="1F4D78"/>
        </w:rPr>
        <w:t>反演与分析：</w:t>
      </w:r>
      <w:r>
        <w:rPr>
          <w:rFonts w:ascii="Calibri" w:hAnsi="Calibri" w:eastAsia="Microsoft YaHei"/>
        </w:rPr>
        <w:t>neutron response unfolding；cross-calibration；plant-state orchestration</w:t>
      </w:r>
    </w:p>
    <w:p>
      <w:pPr>
        <w:widowControl/>
      </w:pPr>
      <w:r>
        <w:rPr>
          <w:rFonts w:ascii="Calibri" w:hAnsi="Calibri" w:eastAsia="Microsoft YaHei"/>
          <w:b/>
          <w:color w:val="1F4D78"/>
        </w:rPr>
        <w:t>验证与应用：</w:t>
      </w:r>
      <w:r>
        <w:rPr>
          <w:rFonts w:ascii="Calibri" w:hAnsi="Calibri" w:eastAsia="Microsoft YaHei"/>
        </w:rPr>
        <w:t>接口架构来自 ITER Plant Control Design 方法；RNC 校准论文提出约 10% 功率精度、10 ms 时间分辨及 a/10 空间分辨目标，原位源校准仍属 ITER 建设/投运任务。</w:t>
      </w:r>
    </w:p>
    <w:p>
      <w:pPr>
        <w:widowControl/>
      </w:pPr>
      <w:r>
        <w:rPr>
          <w:rFonts w:ascii="Calibri" w:hAnsi="Calibri" w:eastAsia="Microsoft YaHei"/>
          <w:b/>
          <w:color w:val="1F4D78"/>
        </w:rPr>
        <w:t>局限与边界：</w:t>
      </w:r>
      <w:r>
        <w:rPr>
          <w:rFonts w:ascii="Calibri" w:hAnsi="Calibri" w:eastAsia="Microsoft YaHei"/>
        </w:rPr>
        <w:t>大部分端到端等离子体环境验证尚待 ITER 投运；辐照老化、漂移、端口集成和多诊断相关误差会破坏独立误差假设。</w:t>
      </w:r>
    </w:p>
    <w:tbl>
      <w:tblPr>
        <w:tblStyle w:val="TableGrid"/>
        <w:tblW w:type="dxa" w:w="9360"/>
        <w:jc w:val="left"/>
        <w:tblLayout w:type="fixed"/>
        <w:tblLook w:firstColumn="1" w:firstRow="1" w:lastColumn="0" w:lastRow="0" w:noHBand="0" w:noVBand="1" w:val="04A0"/>
        <w:tblInd w:w="120" w:type="dxa"/>
      </w:tblPr>
      <w:tblGrid>
        <w:gridCol w:w="9360"/>
      </w:tblGrid>
      <w:tr>
        <w:trPr>
          <w:cantSplit/>
        </w:trPr>
        <w:tc>
          <w:tcPr>
            <w:tcW w:type="dxa" w:w="9360"/>
            <w:tcMar>
              <w:top w:w="80" w:type="dxa"/>
              <w:bottom w:w="80" w:type="dxa"/>
              <w:start w:w="120" w:type="dxa"/>
              <w:end w:w="120" w:type="dxa"/>
            </w:tcMar>
            <w:vAlign w:val="center"/>
            <w:shd w:fill="EEF7F7"/>
          </w:tcPr>
          <w:p>
            <w:pPr>
              <w:keepNext/>
              <w:keepLines/>
              <w:spacing w:after="40"/>
            </w:pPr>
            <w:r>
              <w:rPr>
                <w:rFonts w:ascii="Calibri" w:hAnsi="Calibri" w:eastAsia="Microsoft YaHei"/>
                <w:b/>
                <w:color w:val="008C95"/>
                <w:sz w:val="17"/>
              </w:rPr>
              <w:t>DIGITAL-TWIN RELEVANCE</w:t>
            </w:r>
          </w:p>
          <w:p>
            <w:pPr>
              <w:spacing w:after="0"/>
            </w:pPr>
            <w:r>
              <w:rPr>
                <w:rFonts w:ascii="Calibri" w:hAnsi="Calibri" w:eastAsia="Microsoft YaHei"/>
                <w:color w:val="0B2545"/>
                <w:sz w:val="20"/>
              </w:rPr>
              <w:t>定义了孪生走向电厂时必须具备的状态机、时间权威、接口控制文件、校准证据和保护分区。</w:t>
            </w:r>
          </w:p>
        </w:tc>
      </w:tr>
    </w:tbl>
    <w:p>
      <w:pPr>
        <w:spacing w:after="40"/>
      </w:pPr>
    </w:p>
    <w:tbl>
      <w:tblPr>
        <w:tblStyle w:val="TableGrid"/>
        <w:tblW w:type="dxa" w:w="9360"/>
        <w:jc w:val="left"/>
        <w:tblLayout w:type="fixed"/>
        <w:tblLook w:firstColumn="1" w:firstRow="1" w:lastColumn="0" w:lastRow="0" w:noHBand="0" w:noVBand="1" w:val="04A0"/>
        <w:tblInd w:w="120" w:type="dxa"/>
      </w:tblPr>
      <w:tblGrid>
        <w:gridCol w:w="850"/>
        <w:gridCol w:w="2500"/>
        <w:gridCol w:w="1600"/>
        <w:gridCol w:w="2300"/>
        <w:gridCol w:w="2110"/>
      </w:tblGrid>
      <w:tr>
        <w:trPr>
          <w:tblHeader w:val="true"/>
        </w:trPr>
        <w:tc>
          <w:tcPr>
            <w:tcW w:type="dxa" w:w="8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年份/类型</w:t>
            </w:r>
          </w:p>
        </w:tc>
        <w:tc>
          <w:tcPr>
            <w:tcW w:type="dxa" w:w="25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论文或软件</w:t>
            </w:r>
          </w:p>
        </w:tc>
        <w:tc>
          <w:tcPr>
            <w:tcW w:type="dxa" w:w="16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期刊/开放性</w:t>
            </w:r>
          </w:p>
        </w:tc>
        <w:tc>
          <w:tcPr>
            <w:tcW w:type="dxa" w:w="23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来源类型/关系</w:t>
            </w:r>
          </w:p>
        </w:tc>
        <w:tc>
          <w:tcPr>
            <w:tcW w:type="dxa" w:w="211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链接</w:t>
            </w:r>
          </w:p>
        </w:tc>
      </w:tr>
      <w:tr>
        <w:trPr>
          <w:cantSplit/>
        </w:trPr>
        <w:tc>
          <w:tcPr>
            <w:tcW w:type="dxa" w:w="850"/>
          </w:tcPr>
          <w:p>
            <w:pPr>
              <w:keepLines/>
              <w:spacing w:after="0" w:line="276" w:lineRule="auto"/>
            </w:pPr>
            <w:r>
              <w:rPr>
                <w:rFonts w:ascii="Calibri" w:hAnsi="Calibri" w:eastAsia="Microsoft YaHei"/>
                <w:color w:val="0B2545"/>
                <w:sz w:val="14"/>
              </w:rPr>
              <w:t>2011</w:t>
            </w:r>
          </w:p>
        </w:tc>
        <w:tc>
          <w:tcPr>
            <w:tcW w:type="dxa" w:w="2500"/>
          </w:tcPr>
          <w:p>
            <w:pPr>
              <w:keepLines/>
              <w:spacing w:after="0" w:line="276" w:lineRule="auto"/>
            </w:pPr>
            <w:r>
              <w:rPr>
                <w:rFonts w:ascii="Calibri" w:hAnsi="Calibri" w:eastAsia="Microsoft YaHei"/>
                <w:color w:val="0B2545"/>
                <w:sz w:val="14"/>
              </w:rPr>
              <w:t>Integration of the ITER diagnostic plant systems with CODAC</w:t>
            </w:r>
          </w:p>
        </w:tc>
        <w:tc>
          <w:tcPr>
            <w:tcW w:type="dxa" w:w="1600"/>
          </w:tcPr>
          <w:p>
            <w:pPr>
              <w:keepLines/>
              <w:spacing w:after="0" w:line="276" w:lineRule="auto"/>
            </w:pPr>
            <w:r>
              <w:rPr>
                <w:rFonts w:ascii="Calibri" w:hAnsi="Calibri" w:eastAsia="Microsoft YaHei"/>
                <w:color w:val="0B2545"/>
                <w:sz w:val="14"/>
              </w:rPr>
              <w:t>Fusion Engineering and Design</w:t>
            </w:r>
          </w:p>
        </w:tc>
        <w:tc>
          <w:tcPr>
            <w:tcW w:type="dxa" w:w="2300"/>
          </w:tcPr>
          <w:p>
            <w:pPr>
              <w:keepLines/>
              <w:spacing w:after="0" w:line="276" w:lineRule="auto"/>
            </w:pPr>
            <w:r>
              <w:rPr>
                <w:rFonts w:ascii="Calibri" w:hAnsi="Calibri" w:eastAsia="Microsoft YaHei"/>
                <w:color w:val="0B2545"/>
                <w:sz w:val="14"/>
              </w:rPr>
              <w:t>peer-reviewed ITER primary architecture report</w:t>
            </w:r>
          </w:p>
        </w:tc>
        <w:tc>
          <w:tcPr>
            <w:tcW w:type="dxa" w:w="2110"/>
          </w:tcPr>
          <w:p>
            <w:pPr>
              <w:keepLines/>
              <w:spacing w:after="0" w:line="276" w:lineRule="auto"/>
            </w:pPr>
            <w:hyperlink r:id="rId32">
              <w:r>
                <w:rPr>
                  <w:rFonts w:ascii="Calibri" w:hAnsi="Calibri" w:eastAsia="Microsoft YaHei"/>
                  <w:color w:val="008C95"/>
                  <w:u w:val="single"/>
                </w:rPr>
                <w:t>打开原始来源 ↗</w:t>
              </w:r>
            </w:hyperlink>
          </w:p>
        </w:tc>
      </w:tr>
      <w:tr>
        <w:trPr>
          <w:cantSplit/>
        </w:trPr>
        <w:tc>
          <w:tcPr>
            <w:tcW w:type="dxa" w:w="850"/>
          </w:tcPr>
          <w:p>
            <w:pPr>
              <w:keepLines/>
              <w:spacing w:after="0" w:line="276" w:lineRule="auto"/>
            </w:pPr>
            <w:r>
              <w:rPr>
                <w:rFonts w:ascii="Calibri" w:hAnsi="Calibri" w:eastAsia="Microsoft YaHei"/>
                <w:color w:val="0B2545"/>
                <w:sz w:val="14"/>
              </w:rPr>
              <w:t>2019</w:t>
            </w:r>
          </w:p>
        </w:tc>
        <w:tc>
          <w:tcPr>
            <w:tcW w:type="dxa" w:w="2500"/>
          </w:tcPr>
          <w:p>
            <w:pPr>
              <w:keepLines/>
              <w:spacing w:after="0" w:line="276" w:lineRule="auto"/>
            </w:pPr>
            <w:r>
              <w:rPr>
                <w:rFonts w:ascii="Calibri" w:hAnsi="Calibri" w:eastAsia="Microsoft YaHei"/>
                <w:color w:val="0B2545"/>
                <w:sz w:val="14"/>
              </w:rPr>
              <w:t>Strategy and guidelines for the calibration of the ITER Radial Neutron Camera</w:t>
            </w:r>
          </w:p>
        </w:tc>
        <w:tc>
          <w:tcPr>
            <w:tcW w:type="dxa" w:w="1600"/>
          </w:tcPr>
          <w:p>
            <w:pPr>
              <w:keepLines/>
              <w:spacing w:after="0" w:line="276" w:lineRule="auto"/>
            </w:pPr>
            <w:r>
              <w:rPr>
                <w:rFonts w:ascii="Calibri" w:hAnsi="Calibri" w:eastAsia="Microsoft YaHei"/>
                <w:color w:val="0B2545"/>
                <w:sz w:val="14"/>
              </w:rPr>
              <w:t>Fusion Engineering and Design</w:t>
            </w:r>
          </w:p>
        </w:tc>
        <w:tc>
          <w:tcPr>
            <w:tcW w:type="dxa" w:w="2300"/>
          </w:tcPr>
          <w:p>
            <w:pPr>
              <w:keepLines/>
              <w:spacing w:after="0" w:line="276" w:lineRule="auto"/>
            </w:pPr>
            <w:r>
              <w:rPr>
                <w:rFonts w:ascii="Calibri" w:hAnsi="Calibri" w:eastAsia="Microsoft YaHei"/>
                <w:color w:val="0B2545"/>
                <w:sz w:val="14"/>
              </w:rPr>
              <w:t>peer-reviewed ITER primary design report</w:t>
            </w:r>
          </w:p>
        </w:tc>
        <w:tc>
          <w:tcPr>
            <w:tcW w:type="dxa" w:w="2110"/>
          </w:tcPr>
          <w:p>
            <w:pPr>
              <w:keepLines/>
              <w:spacing w:after="0" w:line="276" w:lineRule="auto"/>
            </w:pPr>
            <w:hyperlink r:id="rId33">
              <w:r>
                <w:rPr>
                  <w:rFonts w:ascii="Calibri" w:hAnsi="Calibri" w:eastAsia="Microsoft YaHei"/>
                  <w:color w:val="008C95"/>
                  <w:u w:val="single"/>
                </w:rPr>
                <w:t>打开原始来源 ↗</w:t>
              </w:r>
            </w:hyperlink>
          </w:p>
        </w:tc>
      </w:tr>
      <w:tr>
        <w:trPr>
          <w:cantSplit/>
        </w:trPr>
        <w:tc>
          <w:tcPr>
            <w:tcW w:type="dxa" w:w="850"/>
          </w:tcPr>
          <w:p>
            <w:pPr>
              <w:keepLines/>
              <w:spacing w:after="0" w:line="276" w:lineRule="auto"/>
            </w:pPr>
            <w:r>
              <w:rPr>
                <w:rFonts w:ascii="Calibri" w:hAnsi="Calibri" w:eastAsia="Microsoft YaHei"/>
                <w:color w:val="0B2545"/>
                <w:sz w:val="14"/>
              </w:rPr>
              <w:t>2025</w:t>
            </w:r>
          </w:p>
        </w:tc>
        <w:tc>
          <w:tcPr>
            <w:tcW w:type="dxa" w:w="2500"/>
          </w:tcPr>
          <w:p>
            <w:pPr>
              <w:keepLines/>
              <w:spacing w:after="0" w:line="276" w:lineRule="auto"/>
            </w:pPr>
            <w:r>
              <w:rPr>
                <w:rFonts w:ascii="Calibri" w:hAnsi="Calibri" w:eastAsia="Microsoft YaHei"/>
                <w:color w:val="0B2545"/>
                <w:sz w:val="14"/>
              </w:rPr>
              <w:t>How ITER quantifies fusion power</w:t>
            </w:r>
          </w:p>
        </w:tc>
        <w:tc>
          <w:tcPr>
            <w:tcW w:type="dxa" w:w="1600"/>
          </w:tcPr>
          <w:p>
            <w:pPr>
              <w:keepLines/>
              <w:spacing w:after="0" w:line="276" w:lineRule="auto"/>
            </w:pPr>
            <w:r>
              <w:rPr>
                <w:rFonts w:ascii="Calibri" w:hAnsi="Calibri" w:eastAsia="Microsoft YaHei"/>
                <w:color w:val="0B2545"/>
                <w:sz w:val="14"/>
              </w:rPr>
              <w:t>原始论文 / 官方来源</w:t>
            </w:r>
          </w:p>
        </w:tc>
        <w:tc>
          <w:tcPr>
            <w:tcW w:type="dxa" w:w="2300"/>
          </w:tcPr>
          <w:p>
            <w:pPr>
              <w:keepLines/>
              <w:spacing w:after="0" w:line="276" w:lineRule="auto"/>
            </w:pPr>
            <w:r>
              <w:rPr>
                <w:rFonts w:ascii="Calibri" w:hAnsi="Calibri" w:eastAsia="Microsoft YaHei"/>
                <w:color w:val="0B2545"/>
                <w:sz w:val="14"/>
              </w:rPr>
              <w:t>ITER official technical page</w:t>
            </w:r>
          </w:p>
        </w:tc>
        <w:tc>
          <w:tcPr>
            <w:tcW w:type="dxa" w:w="2110"/>
          </w:tcPr>
          <w:p>
            <w:pPr>
              <w:keepLines/>
              <w:spacing w:after="0" w:line="276" w:lineRule="auto"/>
            </w:pPr>
            <w:hyperlink r:id="rId34">
              <w:r>
                <w:rPr>
                  <w:rFonts w:ascii="Calibri" w:hAnsi="Calibri" w:eastAsia="Microsoft YaHei"/>
                  <w:color w:val="008C95"/>
                  <w:u w:val="single"/>
                </w:rPr>
                <w:t>打开原始来源 ↗</w:t>
              </w:r>
            </w:hyperlink>
          </w:p>
        </w:tc>
      </w:tr>
      <w:tr>
        <w:trPr>
          <w:cantSplit/>
        </w:trPr>
        <w:tc>
          <w:tcPr>
            <w:tcW w:type="dxa" w:w="850"/>
          </w:tcPr>
          <w:p>
            <w:pPr>
              <w:keepLines/>
              <w:spacing w:after="0" w:line="276" w:lineRule="auto"/>
            </w:pPr>
            <w:r>
              <w:rPr>
                <w:rFonts w:ascii="Calibri" w:hAnsi="Calibri" w:eastAsia="Microsoft YaHei"/>
                <w:color w:val="0B2545"/>
                <w:sz w:val="14"/>
              </w:rPr>
              <w:t>软件</w:t>
            </w:r>
          </w:p>
        </w:tc>
        <w:tc>
          <w:tcPr>
            <w:tcW w:type="dxa" w:w="2500"/>
          </w:tcPr>
          <w:p>
            <w:pPr>
              <w:keepLines/>
              <w:spacing w:after="0" w:line="276" w:lineRule="auto"/>
            </w:pPr>
            <w:r>
              <w:rPr>
                <w:rFonts w:ascii="Calibri" w:hAnsi="Calibri" w:eastAsia="Microsoft YaHei"/>
                <w:color w:val="0B2545"/>
                <w:sz w:val="14"/>
              </w:rPr>
              <w:t>ITER CODAC core/configuration assets</w:t>
            </w:r>
          </w:p>
        </w:tc>
        <w:tc>
          <w:tcPr>
            <w:tcW w:type="dxa" w:w="1600"/>
          </w:tcPr>
          <w:p>
            <w:pPr>
              <w:keepLines/>
              <w:spacing w:after="0" w:line="276" w:lineRule="auto"/>
            </w:pPr>
            <w:r>
              <w:rPr>
                <w:rFonts w:ascii="Calibri" w:hAnsi="Calibri" w:eastAsia="Microsoft YaHei"/>
                <w:color w:val="0B2545"/>
                <w:sz w:val="14"/>
              </w:rPr>
              <w:t>not-public</w:t>
            </w:r>
          </w:p>
        </w:tc>
        <w:tc>
          <w:tcPr>
            <w:tcW w:type="dxa" w:w="2300"/>
          </w:tcPr>
          <w:p>
            <w:pPr>
              <w:keepLines/>
              <w:spacing w:after="0" w:line="276" w:lineRule="auto"/>
            </w:pPr>
            <w:r>
              <w:rPr>
                <w:rFonts w:ascii="Calibri" w:hAnsi="Calibri" w:eastAsia="Microsoft YaHei"/>
                <w:color w:val="0B2545"/>
                <w:sz w:val="14"/>
              </w:rPr>
              <w:t>生产 CODAC 与 Plant I&amp;C 配置未作为一个可核验公共代码库开放。</w:t>
            </w:r>
          </w:p>
        </w:tc>
        <w:tc>
          <w:tcPr>
            <w:tcW w:type="dxa" w:w="2110"/>
          </w:tcPr>
          <w:p>
            <w:pPr>
              <w:keepLines/>
              <w:spacing w:after="0" w:line="276" w:lineRule="auto"/>
            </w:pPr>
            <w:r>
              <w:rPr>
                <w:rFonts w:ascii="Calibri" w:hAnsi="Calibri" w:eastAsia="Microsoft YaHei"/>
                <w:color w:val="0B2545"/>
                <w:sz w:val="14"/>
              </w:rPr>
              <w:t>未公开</w:t>
            </w:r>
          </w:p>
        </w:tc>
      </w:tr>
      <w:tr>
        <w:trPr>
          <w:cantSplit/>
        </w:trPr>
        <w:tc>
          <w:tcPr>
            <w:tcW w:type="dxa" w:w="850"/>
          </w:tcPr>
          <w:p>
            <w:pPr>
              <w:keepLines/>
              <w:spacing w:after="0" w:line="276" w:lineRule="auto"/>
            </w:pPr>
            <w:r>
              <w:rPr>
                <w:rFonts w:ascii="Calibri" w:hAnsi="Calibri" w:eastAsia="Microsoft YaHei"/>
                <w:color w:val="0B2545"/>
                <w:sz w:val="14"/>
              </w:rPr>
              <w:t>软件</w:t>
            </w:r>
          </w:p>
        </w:tc>
        <w:tc>
          <w:tcPr>
            <w:tcW w:type="dxa" w:w="2500"/>
          </w:tcPr>
          <w:p>
            <w:pPr>
              <w:keepLines/>
              <w:spacing w:after="0" w:line="276" w:lineRule="auto"/>
            </w:pPr>
            <w:r>
              <w:rPr>
                <w:rFonts w:ascii="Calibri" w:hAnsi="Calibri" w:eastAsia="Microsoft YaHei"/>
                <w:color w:val="0B2545"/>
                <w:sz w:val="14"/>
              </w:rPr>
              <w:t>OpenMC</w:t>
            </w:r>
          </w:p>
        </w:tc>
        <w:tc>
          <w:tcPr>
            <w:tcW w:type="dxa" w:w="1600"/>
          </w:tcPr>
          <w:p>
            <w:pPr>
              <w:keepLines/>
              <w:spacing w:after="0" w:line="276" w:lineRule="auto"/>
            </w:pPr>
            <w:r>
              <w:rPr>
                <w:rFonts w:ascii="Calibri" w:hAnsi="Calibri" w:eastAsia="Microsoft YaHei"/>
                <w:color w:val="0B2545"/>
                <w:sz w:val="14"/>
              </w:rPr>
              <w:t>official-enabling</w:t>
            </w:r>
          </w:p>
        </w:tc>
        <w:tc>
          <w:tcPr>
            <w:tcW w:type="dxa" w:w="2300"/>
          </w:tcPr>
          <w:p>
            <w:pPr>
              <w:keepLines/>
              <w:spacing w:after="0" w:line="276" w:lineRule="auto"/>
            </w:pPr>
            <w:r>
              <w:rPr>
                <w:rFonts w:ascii="Calibri" w:hAnsi="Calibri" w:eastAsia="Microsoft YaHei"/>
                <w:color w:val="0B2545"/>
                <w:sz w:val="14"/>
              </w:rPr>
              <w:t>中子响应与校准场计算的开源蒙特卡洛工具；不是 ITER RNC 校准工作流本体。</w:t>
            </w:r>
          </w:p>
        </w:tc>
        <w:tc>
          <w:tcPr>
            <w:tcW w:type="dxa" w:w="2110"/>
          </w:tcPr>
          <w:p>
            <w:pPr>
              <w:keepLines/>
              <w:spacing w:after="0" w:line="276" w:lineRule="auto"/>
            </w:pPr>
            <w:hyperlink r:id="rId35">
              <w:r>
                <w:rPr>
                  <w:rFonts w:ascii="Calibri" w:hAnsi="Calibri" w:eastAsia="Microsoft YaHei"/>
                  <w:color w:val="008C95"/>
                  <w:u w:val="single"/>
                </w:rPr>
                <w:t>打开原始来源 ↗</w:t>
              </w:r>
            </w:hyperlink>
          </w:p>
        </w:tc>
      </w:tr>
    </w:tbl>
    <w:p>
      <w:pPr>
        <w:spacing w:before="0" w:after="60"/>
      </w:pPr>
    </w:p>
    <w:p>
      <w:pPr>
        <w:pStyle w:val="Heading2"/>
      </w:pPr>
      <w:r>
        <w:t>关联工作速查</w:t>
      </w:r>
    </w:p>
    <w:tbl>
      <w:tblPr>
        <w:tblStyle w:val="TableGrid"/>
        <w:tblW w:type="dxa" w:w="9360"/>
        <w:jc w:val="left"/>
        <w:tblLayout w:type="fixed"/>
        <w:tblLook w:firstColumn="1" w:firstRow="1" w:lastColumn="0" w:lastRow="0" w:noHBand="0" w:noVBand="1" w:val="04A0"/>
        <w:tblInd w:w="120" w:type="dxa"/>
      </w:tblPr>
      <w:tblGrid>
        <w:gridCol w:w="1000"/>
        <w:gridCol w:w="900"/>
        <w:gridCol w:w="3760"/>
        <w:gridCol w:w="800"/>
        <w:gridCol w:w="2900"/>
      </w:tblGrid>
      <w:tr>
        <w:trPr>
          <w:tblHeader w:val="true"/>
        </w:trPr>
        <w:tc>
          <w:tcPr>
            <w:tcW w:type="dxa" w:w="1000"/>
            <w:tcMar>
              <w:top w:w="55" w:type="dxa"/>
              <w:bottom w:w="55" w:type="dxa"/>
              <w:start w:w="100" w:type="dxa"/>
              <w:end w:w="100" w:type="dxa"/>
            </w:tcMar>
            <w:vAlign w:val="center"/>
            <w:shd w:fill="E8EEF5"/>
          </w:tcPr>
          <w:p>
            <w:pPr>
              <w:keepNext/>
              <w:spacing w:after="0"/>
              <w:jc w:val="center"/>
            </w:pPr>
            <w:r>
              <w:rPr>
                <w:rFonts w:ascii="Calibri" w:hAnsi="Calibri" w:eastAsia="Microsoft YaHei"/>
                <w:b/>
                <w:color w:val="0B2545"/>
                <w:sz w:val="14"/>
              </w:rPr>
              <w:t>ID</w:t>
            </w:r>
          </w:p>
        </w:tc>
        <w:tc>
          <w:tcPr>
            <w:tcW w:type="dxa" w:w="900"/>
            <w:tcMar>
              <w:top w:w="55" w:type="dxa"/>
              <w:bottom w:w="55" w:type="dxa"/>
              <w:start w:w="100" w:type="dxa"/>
              <w:end w:w="100" w:type="dxa"/>
            </w:tcMar>
            <w:vAlign w:val="center"/>
            <w:shd w:fill="E8EEF5"/>
          </w:tcPr>
          <w:p>
            <w:pPr>
              <w:keepNext/>
              <w:spacing w:after="0"/>
              <w:jc w:val="center"/>
            </w:pPr>
            <w:r>
              <w:rPr>
                <w:rFonts w:ascii="Calibri" w:hAnsi="Calibri" w:eastAsia="Microsoft YaHei"/>
                <w:b/>
                <w:color w:val="0B2545"/>
                <w:sz w:val="14"/>
              </w:rPr>
              <w:t>主任务</w:t>
            </w:r>
          </w:p>
        </w:tc>
        <w:tc>
          <w:tcPr>
            <w:tcW w:type="dxa" w:w="3760"/>
            <w:tcMar>
              <w:top w:w="55" w:type="dxa"/>
              <w:bottom w:w="55" w:type="dxa"/>
              <w:start w:w="100" w:type="dxa"/>
              <w:end w:w="100" w:type="dxa"/>
            </w:tcMar>
            <w:vAlign w:val="center"/>
            <w:shd w:fill="E8EEF5"/>
          </w:tcPr>
          <w:p>
            <w:pPr>
              <w:keepNext/>
              <w:spacing w:after="0"/>
              <w:jc w:val="center"/>
            </w:pPr>
            <w:r>
              <w:rPr>
                <w:rFonts w:ascii="Calibri" w:hAnsi="Calibri" w:eastAsia="Microsoft YaHei"/>
                <w:b/>
                <w:color w:val="0B2545"/>
                <w:sz w:val="14"/>
              </w:rPr>
              <w:t>标题</w:t>
            </w:r>
          </w:p>
        </w:tc>
        <w:tc>
          <w:tcPr>
            <w:tcW w:type="dxa" w:w="800"/>
            <w:tcMar>
              <w:top w:w="55" w:type="dxa"/>
              <w:bottom w:w="55" w:type="dxa"/>
              <w:start w:w="100" w:type="dxa"/>
              <w:end w:w="100" w:type="dxa"/>
            </w:tcMar>
            <w:vAlign w:val="center"/>
            <w:shd w:fill="E8EEF5"/>
          </w:tcPr>
          <w:p>
            <w:pPr>
              <w:keepNext/>
              <w:spacing w:after="0"/>
              <w:jc w:val="center"/>
            </w:pPr>
            <w:r>
              <w:rPr>
                <w:rFonts w:ascii="Calibri" w:hAnsi="Calibri" w:eastAsia="Microsoft YaHei"/>
                <w:b/>
                <w:color w:val="0B2545"/>
                <w:sz w:val="14"/>
              </w:rPr>
              <w:t>证据</w:t>
            </w:r>
          </w:p>
        </w:tc>
        <w:tc>
          <w:tcPr>
            <w:tcW w:type="dxa" w:w="2900"/>
            <w:tcMar>
              <w:top w:w="55" w:type="dxa"/>
              <w:bottom w:w="55" w:type="dxa"/>
              <w:start w:w="100" w:type="dxa"/>
              <w:end w:w="100" w:type="dxa"/>
            </w:tcMar>
            <w:vAlign w:val="center"/>
            <w:shd w:fill="E8EEF5"/>
          </w:tcPr>
          <w:p>
            <w:pPr>
              <w:keepNext/>
              <w:spacing w:after="0"/>
              <w:jc w:val="center"/>
            </w:pPr>
            <w:r>
              <w:rPr>
                <w:rFonts w:ascii="Calibri" w:hAnsi="Calibri" w:eastAsia="Microsoft YaHei"/>
                <w:b/>
                <w:color w:val="0B2545"/>
                <w:sz w:val="14"/>
              </w:rPr>
              <w:t>装置</w:t>
            </w:r>
          </w:p>
        </w:tc>
      </w:tr>
      <w:tr>
        <w:trPr>
          <w:cantSplit/>
        </w:trPr>
        <w:tc>
          <w:tcPr>
            <w:tcW w:type="dxa" w:w="1000"/>
            <w:tcMar>
              <w:top w:w="45" w:type="dxa"/>
              <w:bottom w:w="45" w:type="dxa"/>
              <w:start w:w="100" w:type="dxa"/>
              <w:end w:w="100" w:type="dxa"/>
            </w:tcMar>
          </w:tcPr>
          <w:p>
            <w:pPr>
              <w:keepLines/>
              <w:spacing w:after="0" w:line="252" w:lineRule="auto"/>
            </w:pPr>
            <w:r>
              <w:rPr>
                <w:rFonts w:ascii="Calibri" w:hAnsi="Calibri" w:eastAsia="Microsoft YaHei"/>
                <w:color w:val="0B2545"/>
                <w:sz w:val="14"/>
              </w:rPr>
              <w:t>DG1-001</w:t>
            </w:r>
          </w:p>
        </w:tc>
        <w:tc>
          <w:tcPr>
            <w:tcW w:type="dxa" w:w="900"/>
            <w:tcMar>
              <w:top w:w="45" w:type="dxa"/>
              <w:bottom w:w="45" w:type="dxa"/>
              <w:start w:w="100" w:type="dxa"/>
              <w:end w:w="100" w:type="dxa"/>
            </w:tcMar>
          </w:tcPr>
          <w:p>
            <w:pPr>
              <w:keepLines/>
              <w:spacing w:after="0" w:line="252" w:lineRule="auto"/>
            </w:pPr>
            <w:r>
              <w:rPr>
                <w:rFonts w:ascii="Calibri" w:hAnsi="Calibri" w:eastAsia="Microsoft YaHei"/>
                <w:color w:val="0B2545"/>
                <w:sz w:val="14"/>
              </w:rPr>
              <w:t>DG1</w:t>
            </w:r>
          </w:p>
        </w:tc>
        <w:tc>
          <w:tcPr>
            <w:tcW w:type="dxa" w:w="3760"/>
            <w:tcMar>
              <w:top w:w="45" w:type="dxa"/>
              <w:bottom w:w="45" w:type="dxa"/>
              <w:start w:w="100" w:type="dxa"/>
              <w:end w:w="100" w:type="dxa"/>
            </w:tcMar>
          </w:tcPr>
          <w:p>
            <w:pPr>
              <w:keepLines/>
              <w:spacing w:after="0" w:line="252" w:lineRule="auto"/>
            </w:pPr>
            <w:r>
              <w:rPr>
                <w:rFonts w:ascii="Calibri" w:hAnsi="Calibri" w:eastAsia="Microsoft YaHei"/>
                <w:color w:val="0B2545"/>
                <w:sz w:val="14"/>
              </w:rPr>
              <w:t>感应式磁测量：磁通环、拾取线圈与罗戈夫斯基线圈</w:t>
            </w:r>
          </w:p>
        </w:tc>
        <w:tc>
          <w:tcPr>
            <w:tcW w:type="dxa" w:w="800"/>
            <w:tcMar>
              <w:top w:w="45" w:type="dxa"/>
              <w:bottom w:w="45" w:type="dxa"/>
              <w:start w:w="100" w:type="dxa"/>
              <w:end w:w="100" w:type="dxa"/>
            </w:tcMar>
          </w:tcPr>
          <w:p>
            <w:pPr>
              <w:keepLines/>
              <w:spacing w:after="0" w:line="252" w:lineRule="auto"/>
            </w:pPr>
            <w:r>
              <w:rPr>
                <w:rFonts w:ascii="Calibri" w:hAnsi="Calibri" w:eastAsia="Microsoft YaHei"/>
                <w:color w:val="0B2545"/>
                <w:sz w:val="14"/>
              </w:rPr>
              <w:t>E1</w:t>
            </w:r>
          </w:p>
        </w:tc>
        <w:tc>
          <w:tcPr>
            <w:tcW w:type="dxa" w:w="2900"/>
            <w:tcMar>
              <w:top w:w="45" w:type="dxa"/>
              <w:bottom w:w="45" w:type="dxa"/>
              <w:start w:w="100" w:type="dxa"/>
              <w:end w:w="100" w:type="dxa"/>
            </w:tcMar>
          </w:tcPr>
          <w:p>
            <w:pPr>
              <w:keepLines/>
              <w:spacing w:after="0" w:line="252" w:lineRule="auto"/>
            </w:pPr>
            <w:r>
              <w:rPr>
                <w:rFonts w:ascii="Calibri" w:hAnsi="Calibri" w:eastAsia="Microsoft YaHei"/>
                <w:color w:val="0B2545"/>
                <w:sz w:val="14"/>
              </w:rPr>
              <w:t>ITER；DIII-D；EAST；JET</w:t>
            </w:r>
          </w:p>
        </w:tc>
      </w:tr>
      <w:tr>
        <w:trPr>
          <w:cantSplit/>
        </w:trPr>
        <w:tc>
          <w:tcPr>
            <w:tcW w:type="dxa" w:w="1000"/>
            <w:tcMar>
              <w:top w:w="45" w:type="dxa"/>
              <w:bottom w:w="45" w:type="dxa"/>
              <w:start w:w="100" w:type="dxa"/>
              <w:end w:w="100" w:type="dxa"/>
            </w:tcMar>
          </w:tcPr>
          <w:p>
            <w:pPr>
              <w:keepLines/>
              <w:spacing w:after="0" w:line="252" w:lineRule="auto"/>
            </w:pPr>
            <w:r>
              <w:rPr>
                <w:rFonts w:ascii="Calibri" w:hAnsi="Calibri" w:eastAsia="Microsoft YaHei"/>
                <w:color w:val="0B2545"/>
                <w:sz w:val="14"/>
              </w:rPr>
              <w:t>DG1-002</w:t>
            </w:r>
          </w:p>
        </w:tc>
        <w:tc>
          <w:tcPr>
            <w:tcW w:type="dxa" w:w="900"/>
            <w:tcMar>
              <w:top w:w="45" w:type="dxa"/>
              <w:bottom w:w="45" w:type="dxa"/>
              <w:start w:w="100" w:type="dxa"/>
              <w:end w:w="100" w:type="dxa"/>
            </w:tcMar>
          </w:tcPr>
          <w:p>
            <w:pPr>
              <w:keepLines/>
              <w:spacing w:after="0" w:line="252" w:lineRule="auto"/>
            </w:pPr>
            <w:r>
              <w:rPr>
                <w:rFonts w:ascii="Calibri" w:hAnsi="Calibri" w:eastAsia="Microsoft YaHei"/>
                <w:color w:val="0B2545"/>
                <w:sz w:val="14"/>
              </w:rPr>
              <w:t>DG1</w:t>
            </w:r>
          </w:p>
        </w:tc>
        <w:tc>
          <w:tcPr>
            <w:tcW w:type="dxa" w:w="3760"/>
            <w:tcMar>
              <w:top w:w="45" w:type="dxa"/>
              <w:bottom w:w="45" w:type="dxa"/>
              <w:start w:w="100" w:type="dxa"/>
              <w:end w:w="100" w:type="dxa"/>
            </w:tcMar>
          </w:tcPr>
          <w:p>
            <w:pPr>
              <w:keepLines/>
              <w:spacing w:after="0" w:line="252" w:lineRule="auto"/>
            </w:pPr>
            <w:r>
              <w:rPr>
                <w:rFonts w:ascii="Calibri" w:hAnsi="Calibri" w:eastAsia="Microsoft YaHei"/>
                <w:color w:val="0B2545"/>
                <w:sz w:val="14"/>
              </w:rPr>
              <w:t>稳态霍尔磁测量：ITER OVSS与DEMO候选传感器</w:t>
            </w:r>
          </w:p>
        </w:tc>
        <w:tc>
          <w:tcPr>
            <w:tcW w:type="dxa" w:w="800"/>
            <w:tcMar>
              <w:top w:w="45" w:type="dxa"/>
              <w:bottom w:w="45" w:type="dxa"/>
              <w:start w:w="100" w:type="dxa"/>
              <w:end w:w="100" w:type="dxa"/>
            </w:tcMar>
          </w:tcPr>
          <w:p>
            <w:pPr>
              <w:keepLines/>
              <w:spacing w:after="0" w:line="252" w:lineRule="auto"/>
            </w:pPr>
            <w:r>
              <w:rPr>
                <w:rFonts w:ascii="Calibri" w:hAnsi="Calibri" w:eastAsia="Microsoft YaHei"/>
                <w:color w:val="0B2545"/>
                <w:sz w:val="14"/>
              </w:rPr>
              <w:t>E3</w:t>
            </w:r>
          </w:p>
        </w:tc>
        <w:tc>
          <w:tcPr>
            <w:tcW w:type="dxa" w:w="2900"/>
            <w:tcMar>
              <w:top w:w="45" w:type="dxa"/>
              <w:bottom w:w="45" w:type="dxa"/>
              <w:start w:w="100" w:type="dxa"/>
              <w:end w:w="100" w:type="dxa"/>
            </w:tcMar>
          </w:tcPr>
          <w:p>
            <w:pPr>
              <w:keepLines/>
              <w:spacing w:after="0" w:line="252" w:lineRule="auto"/>
            </w:pPr>
            <w:r>
              <w:rPr>
                <w:rFonts w:ascii="Calibri" w:hAnsi="Calibri" w:eastAsia="Microsoft YaHei"/>
                <w:color w:val="0B2545"/>
                <w:sz w:val="14"/>
              </w:rPr>
              <w:t>ITER OVSS；DEMO；TEXTOR；Tore Supra</w:t>
            </w:r>
          </w:p>
        </w:tc>
      </w:tr>
      <w:tr>
        <w:trPr>
          <w:cantSplit/>
        </w:trPr>
        <w:tc>
          <w:tcPr>
            <w:tcW w:type="dxa" w:w="1000"/>
            <w:tcMar>
              <w:top w:w="45" w:type="dxa"/>
              <w:bottom w:w="45" w:type="dxa"/>
              <w:start w:w="100" w:type="dxa"/>
              <w:end w:w="100" w:type="dxa"/>
            </w:tcMar>
          </w:tcPr>
          <w:p>
            <w:pPr>
              <w:keepLines/>
              <w:spacing w:after="0" w:line="252" w:lineRule="auto"/>
            </w:pPr>
            <w:r>
              <w:rPr>
                <w:rFonts w:ascii="Calibri" w:hAnsi="Calibri" w:eastAsia="Microsoft YaHei"/>
                <w:color w:val="0B2545"/>
                <w:sz w:val="14"/>
              </w:rPr>
              <w:t>DG1-003</w:t>
            </w:r>
          </w:p>
        </w:tc>
        <w:tc>
          <w:tcPr>
            <w:tcW w:type="dxa" w:w="900"/>
            <w:tcMar>
              <w:top w:w="45" w:type="dxa"/>
              <w:bottom w:w="45" w:type="dxa"/>
              <w:start w:w="100" w:type="dxa"/>
              <w:end w:w="100" w:type="dxa"/>
            </w:tcMar>
          </w:tcPr>
          <w:p>
            <w:pPr>
              <w:keepLines/>
              <w:spacing w:after="0" w:line="252" w:lineRule="auto"/>
            </w:pPr>
            <w:r>
              <w:rPr>
                <w:rFonts w:ascii="Calibri" w:hAnsi="Calibri" w:eastAsia="Microsoft YaHei"/>
                <w:color w:val="0B2545"/>
                <w:sz w:val="14"/>
              </w:rPr>
              <w:t>DG1</w:t>
            </w:r>
          </w:p>
        </w:tc>
        <w:tc>
          <w:tcPr>
            <w:tcW w:type="dxa" w:w="3760"/>
            <w:tcMar>
              <w:top w:w="45" w:type="dxa"/>
              <w:bottom w:w="45" w:type="dxa"/>
              <w:start w:w="100" w:type="dxa"/>
              <w:end w:w="100" w:type="dxa"/>
            </w:tcMar>
          </w:tcPr>
          <w:p>
            <w:pPr>
              <w:keepLines/>
              <w:spacing w:after="0" w:line="252" w:lineRule="auto"/>
            </w:pPr>
            <w:r>
              <w:rPr>
                <w:rFonts w:ascii="Calibri" w:hAnsi="Calibri" w:eastAsia="Microsoft YaHei"/>
                <w:color w:val="0B2545"/>
                <w:sz w:val="14"/>
              </w:rPr>
              <w:t>光纤电流传感：EAST等离子体与PF母排电流</w:t>
            </w:r>
          </w:p>
        </w:tc>
        <w:tc>
          <w:tcPr>
            <w:tcW w:type="dxa" w:w="800"/>
            <w:tcMar>
              <w:top w:w="45" w:type="dxa"/>
              <w:bottom w:w="45" w:type="dxa"/>
              <w:start w:w="100" w:type="dxa"/>
              <w:end w:w="100" w:type="dxa"/>
            </w:tcMar>
          </w:tcPr>
          <w:p>
            <w:pPr>
              <w:keepLines/>
              <w:spacing w:after="0" w:line="252" w:lineRule="auto"/>
            </w:pPr>
            <w:r>
              <w:rPr>
                <w:rFonts w:ascii="Calibri" w:hAnsi="Calibri" w:eastAsia="Microsoft YaHei"/>
                <w:color w:val="0B2545"/>
                <w:sz w:val="14"/>
              </w:rPr>
              <w:t>E4</w:t>
            </w:r>
          </w:p>
        </w:tc>
        <w:tc>
          <w:tcPr>
            <w:tcW w:type="dxa" w:w="2900"/>
            <w:tcMar>
              <w:top w:w="45" w:type="dxa"/>
              <w:bottom w:w="45" w:type="dxa"/>
              <w:start w:w="100" w:type="dxa"/>
              <w:end w:w="100" w:type="dxa"/>
            </w:tcMar>
          </w:tcPr>
          <w:p>
            <w:pPr>
              <w:keepLines/>
              <w:spacing w:after="0" w:line="252" w:lineRule="auto"/>
            </w:pPr>
            <w:r>
              <w:rPr>
                <w:rFonts w:ascii="Calibri" w:hAnsi="Calibri" w:eastAsia="Microsoft YaHei"/>
                <w:color w:val="0B2545"/>
                <w:sz w:val="14"/>
              </w:rPr>
              <w:t>EAST；ITER concept；CFETR concept</w:t>
            </w:r>
          </w:p>
        </w:tc>
      </w:tr>
      <w:tr>
        <w:trPr>
          <w:cantSplit/>
        </w:trPr>
        <w:tc>
          <w:tcPr>
            <w:tcW w:type="dxa" w:w="1000"/>
            <w:tcMar>
              <w:top w:w="45" w:type="dxa"/>
              <w:bottom w:w="45" w:type="dxa"/>
              <w:start w:w="100" w:type="dxa"/>
              <w:end w:w="100" w:type="dxa"/>
            </w:tcMar>
          </w:tcPr>
          <w:p>
            <w:pPr>
              <w:keepLines/>
              <w:spacing w:after="0" w:line="252" w:lineRule="auto"/>
            </w:pPr>
            <w:r>
              <w:rPr>
                <w:rFonts w:ascii="Calibri" w:hAnsi="Calibri" w:eastAsia="Microsoft YaHei"/>
                <w:color w:val="0B2545"/>
                <w:sz w:val="14"/>
              </w:rPr>
              <w:t>DG5-021</w:t>
            </w:r>
          </w:p>
        </w:tc>
        <w:tc>
          <w:tcPr>
            <w:tcW w:type="dxa" w:w="900"/>
            <w:tcMar>
              <w:top w:w="45" w:type="dxa"/>
              <w:bottom w:w="45" w:type="dxa"/>
              <w:start w:w="100" w:type="dxa"/>
              <w:end w:w="100" w:type="dxa"/>
            </w:tcMar>
          </w:tcPr>
          <w:p>
            <w:pPr>
              <w:keepLines/>
              <w:spacing w:after="0" w:line="252" w:lineRule="auto"/>
            </w:pPr>
            <w:r>
              <w:rPr>
                <w:rFonts w:ascii="Calibri" w:hAnsi="Calibri" w:eastAsia="Microsoft YaHei"/>
                <w:color w:val="0B2545"/>
                <w:sz w:val="14"/>
              </w:rPr>
              <w:t>DG5</w:t>
            </w:r>
          </w:p>
        </w:tc>
        <w:tc>
          <w:tcPr>
            <w:tcW w:type="dxa" w:w="3760"/>
            <w:tcMar>
              <w:top w:w="45" w:type="dxa"/>
              <w:bottom w:w="45" w:type="dxa"/>
              <w:start w:w="100" w:type="dxa"/>
              <w:end w:w="100" w:type="dxa"/>
            </w:tcMar>
          </w:tcPr>
          <w:p>
            <w:pPr>
              <w:keepLines/>
              <w:spacing w:after="0" w:line="252" w:lineRule="auto"/>
            </w:pPr>
            <w:r>
              <w:rPr>
                <w:rFonts w:ascii="Calibri" w:hAnsi="Calibri" w:eastAsia="Microsoft YaHei"/>
                <w:color w:val="0B2545"/>
                <w:sz w:val="14"/>
              </w:rPr>
              <w:t>微裂变室与中子通量监测：聚变功率基准</w:t>
            </w:r>
          </w:p>
        </w:tc>
        <w:tc>
          <w:tcPr>
            <w:tcW w:type="dxa" w:w="800"/>
            <w:tcMar>
              <w:top w:w="45" w:type="dxa"/>
              <w:bottom w:w="45" w:type="dxa"/>
              <w:start w:w="100" w:type="dxa"/>
              <w:end w:w="100" w:type="dxa"/>
            </w:tcMar>
          </w:tcPr>
          <w:p>
            <w:pPr>
              <w:keepLines/>
              <w:spacing w:after="0" w:line="252" w:lineRule="auto"/>
            </w:pPr>
            <w:r>
              <w:rPr>
                <w:rFonts w:ascii="Calibri" w:hAnsi="Calibri" w:eastAsia="Microsoft YaHei"/>
                <w:color w:val="0B2545"/>
                <w:sz w:val="14"/>
              </w:rPr>
              <w:t>E1</w:t>
            </w:r>
          </w:p>
        </w:tc>
        <w:tc>
          <w:tcPr>
            <w:tcW w:type="dxa" w:w="2900"/>
            <w:tcMar>
              <w:top w:w="45" w:type="dxa"/>
              <w:bottom w:w="45" w:type="dxa"/>
              <w:start w:w="100" w:type="dxa"/>
              <w:end w:w="100" w:type="dxa"/>
            </w:tcMar>
          </w:tcPr>
          <w:p>
            <w:pPr>
              <w:keepLines/>
              <w:spacing w:after="0" w:line="252" w:lineRule="auto"/>
            </w:pPr>
            <w:r>
              <w:rPr>
                <w:rFonts w:ascii="Calibri" w:hAnsi="Calibri" w:eastAsia="Microsoft YaHei"/>
                <w:color w:val="0B2545"/>
                <w:sz w:val="14"/>
              </w:rPr>
              <w:t>ITER；JET；DIII-D；EAST</w:t>
            </w:r>
          </w:p>
        </w:tc>
      </w:tr>
      <w:tr>
        <w:trPr>
          <w:cantSplit/>
        </w:trPr>
        <w:tc>
          <w:tcPr>
            <w:tcW w:type="dxa" w:w="1000"/>
            <w:tcMar>
              <w:top w:w="45" w:type="dxa"/>
              <w:bottom w:w="45" w:type="dxa"/>
              <w:start w:w="100" w:type="dxa"/>
              <w:end w:w="100" w:type="dxa"/>
            </w:tcMar>
          </w:tcPr>
          <w:p>
            <w:pPr>
              <w:keepLines/>
              <w:spacing w:after="0" w:line="252" w:lineRule="auto"/>
            </w:pPr>
            <w:r>
              <w:rPr>
                <w:rFonts w:ascii="Calibri" w:hAnsi="Calibri" w:eastAsia="Microsoft YaHei"/>
                <w:color w:val="0B2545"/>
                <w:sz w:val="14"/>
              </w:rPr>
              <w:t>DG5-024</w:t>
            </w:r>
          </w:p>
        </w:tc>
        <w:tc>
          <w:tcPr>
            <w:tcW w:type="dxa" w:w="900"/>
            <w:tcMar>
              <w:top w:w="45" w:type="dxa"/>
              <w:bottom w:w="45" w:type="dxa"/>
              <w:start w:w="100" w:type="dxa"/>
              <w:end w:w="100" w:type="dxa"/>
            </w:tcMar>
          </w:tcPr>
          <w:p>
            <w:pPr>
              <w:keepLines/>
              <w:spacing w:after="0" w:line="252" w:lineRule="auto"/>
            </w:pPr>
            <w:r>
              <w:rPr>
                <w:rFonts w:ascii="Calibri" w:hAnsi="Calibri" w:eastAsia="Microsoft YaHei"/>
                <w:color w:val="0B2545"/>
                <w:sz w:val="14"/>
              </w:rPr>
              <w:t>DG5</w:t>
            </w:r>
          </w:p>
        </w:tc>
        <w:tc>
          <w:tcPr>
            <w:tcW w:type="dxa" w:w="3760"/>
            <w:tcMar>
              <w:top w:w="45" w:type="dxa"/>
              <w:bottom w:w="45" w:type="dxa"/>
              <w:start w:w="100" w:type="dxa"/>
              <w:end w:w="100" w:type="dxa"/>
            </w:tcMar>
          </w:tcPr>
          <w:p>
            <w:pPr>
              <w:keepLines/>
              <w:spacing w:after="0" w:line="252" w:lineRule="auto"/>
            </w:pPr>
            <w:r>
              <w:rPr>
                <w:rFonts w:ascii="Calibri" w:hAnsi="Calibri" w:eastAsia="Microsoft YaHei"/>
                <w:color w:val="0B2545"/>
                <w:sz w:val="14"/>
              </w:rPr>
              <w:t>中子活化系统：积分聚变中子产额与绝对校核</w:t>
            </w:r>
          </w:p>
        </w:tc>
        <w:tc>
          <w:tcPr>
            <w:tcW w:type="dxa" w:w="800"/>
            <w:tcMar>
              <w:top w:w="45" w:type="dxa"/>
              <w:bottom w:w="45" w:type="dxa"/>
              <w:start w:w="100" w:type="dxa"/>
              <w:end w:w="100" w:type="dxa"/>
            </w:tcMar>
          </w:tcPr>
          <w:p>
            <w:pPr>
              <w:keepLines/>
              <w:spacing w:after="0" w:line="252" w:lineRule="auto"/>
            </w:pPr>
            <w:r>
              <w:rPr>
                <w:rFonts w:ascii="Calibri" w:hAnsi="Calibri" w:eastAsia="Microsoft YaHei"/>
                <w:color w:val="0B2545"/>
                <w:sz w:val="14"/>
              </w:rPr>
              <w:t>E3</w:t>
            </w:r>
          </w:p>
        </w:tc>
        <w:tc>
          <w:tcPr>
            <w:tcW w:type="dxa" w:w="2900"/>
            <w:tcMar>
              <w:top w:w="45" w:type="dxa"/>
              <w:bottom w:w="45" w:type="dxa"/>
              <w:start w:w="100" w:type="dxa"/>
              <w:end w:w="100" w:type="dxa"/>
            </w:tcMar>
          </w:tcPr>
          <w:p>
            <w:pPr>
              <w:keepLines/>
              <w:spacing w:after="0" w:line="252" w:lineRule="auto"/>
            </w:pPr>
            <w:r>
              <w:rPr>
                <w:rFonts w:ascii="Calibri" w:hAnsi="Calibri" w:eastAsia="Microsoft YaHei"/>
                <w:color w:val="0B2545"/>
                <w:sz w:val="14"/>
              </w:rPr>
              <w:t>ITER design；JET；EAST</w:t>
            </w:r>
          </w:p>
        </w:tc>
      </w:tr>
      <w:tr>
        <w:trPr>
          <w:cantSplit/>
        </w:trPr>
        <w:tc>
          <w:tcPr>
            <w:tcW w:type="dxa" w:w="1000"/>
            <w:tcMar>
              <w:top w:w="45" w:type="dxa"/>
              <w:bottom w:w="45" w:type="dxa"/>
              <w:start w:w="100" w:type="dxa"/>
              <w:end w:w="100" w:type="dxa"/>
            </w:tcMar>
          </w:tcPr>
          <w:p>
            <w:pPr>
              <w:keepLines/>
              <w:spacing w:after="0" w:line="252" w:lineRule="auto"/>
            </w:pPr>
            <w:r>
              <w:rPr>
                <w:rFonts w:ascii="Calibri" w:hAnsi="Calibri" w:eastAsia="Microsoft YaHei"/>
                <w:color w:val="0B2545"/>
                <w:sz w:val="14"/>
              </w:rPr>
              <w:t>DG7-037</w:t>
            </w:r>
          </w:p>
        </w:tc>
        <w:tc>
          <w:tcPr>
            <w:tcW w:type="dxa" w:w="900"/>
            <w:tcMar>
              <w:top w:w="45" w:type="dxa"/>
              <w:bottom w:w="45" w:type="dxa"/>
              <w:start w:w="100" w:type="dxa"/>
              <w:end w:w="100" w:type="dxa"/>
            </w:tcMar>
          </w:tcPr>
          <w:p>
            <w:pPr>
              <w:keepLines/>
              <w:spacing w:after="0" w:line="252" w:lineRule="auto"/>
            </w:pPr>
            <w:r>
              <w:rPr>
                <w:rFonts w:ascii="Calibri" w:hAnsi="Calibri" w:eastAsia="Microsoft YaHei"/>
                <w:color w:val="0B2545"/>
                <w:sz w:val="14"/>
              </w:rPr>
              <w:t>DG7</w:t>
            </w:r>
          </w:p>
        </w:tc>
        <w:tc>
          <w:tcPr>
            <w:tcW w:type="dxa" w:w="3760"/>
            <w:tcMar>
              <w:top w:w="45" w:type="dxa"/>
              <w:bottom w:w="45" w:type="dxa"/>
              <w:start w:w="100" w:type="dxa"/>
              <w:end w:w="100" w:type="dxa"/>
            </w:tcMar>
          </w:tcPr>
          <w:p>
            <w:pPr>
              <w:keepLines/>
              <w:spacing w:after="0" w:line="252" w:lineRule="auto"/>
            </w:pPr>
            <w:r>
              <w:rPr>
                <w:rFonts w:ascii="Calibri" w:hAnsi="Calibri" w:eastAsia="Microsoft YaHei"/>
                <w:color w:val="0B2545"/>
                <w:sz w:val="14"/>
              </w:rPr>
              <w:t>红外热成像：PFC表面温度与热流</w:t>
            </w:r>
          </w:p>
        </w:tc>
        <w:tc>
          <w:tcPr>
            <w:tcW w:type="dxa" w:w="800"/>
            <w:tcMar>
              <w:top w:w="45" w:type="dxa"/>
              <w:bottom w:w="45" w:type="dxa"/>
              <w:start w:w="100" w:type="dxa"/>
              <w:end w:w="100" w:type="dxa"/>
            </w:tcMar>
          </w:tcPr>
          <w:p>
            <w:pPr>
              <w:keepLines/>
              <w:spacing w:after="0" w:line="252" w:lineRule="auto"/>
            </w:pPr>
            <w:r>
              <w:rPr>
                <w:rFonts w:ascii="Calibri" w:hAnsi="Calibri" w:eastAsia="Microsoft YaHei"/>
                <w:color w:val="0B2545"/>
                <w:sz w:val="14"/>
              </w:rPr>
              <w:t>E2</w:t>
            </w:r>
          </w:p>
        </w:tc>
        <w:tc>
          <w:tcPr>
            <w:tcW w:type="dxa" w:w="2900"/>
            <w:tcMar>
              <w:top w:w="45" w:type="dxa"/>
              <w:bottom w:w="45" w:type="dxa"/>
              <w:start w:w="100" w:type="dxa"/>
              <w:end w:w="100" w:type="dxa"/>
            </w:tcMar>
          </w:tcPr>
          <w:p>
            <w:pPr>
              <w:keepLines/>
              <w:spacing w:after="0" w:line="252" w:lineRule="auto"/>
            </w:pPr>
            <w:r>
              <w:rPr>
                <w:rFonts w:ascii="Calibri" w:hAnsi="Calibri" w:eastAsia="Microsoft YaHei"/>
                <w:color w:val="0B2545"/>
                <w:sz w:val="14"/>
              </w:rPr>
              <w:t>ITER；ASDEX Upgrade；JET；WEST；EAST</w:t>
            </w:r>
          </w:p>
        </w:tc>
      </w:tr>
      <w:tr>
        <w:trPr>
          <w:cantSplit/>
        </w:trPr>
        <w:tc>
          <w:tcPr>
            <w:tcW w:type="dxa" w:w="1000"/>
            <w:tcMar>
              <w:top w:w="45" w:type="dxa"/>
              <w:bottom w:w="45" w:type="dxa"/>
              <w:start w:w="100" w:type="dxa"/>
              <w:end w:w="100" w:type="dxa"/>
            </w:tcMar>
          </w:tcPr>
          <w:p>
            <w:pPr>
              <w:keepLines/>
              <w:spacing w:after="0" w:line="252" w:lineRule="auto"/>
            </w:pPr>
            <w:r>
              <w:rPr>
                <w:rFonts w:ascii="Calibri" w:hAnsi="Calibri" w:eastAsia="Microsoft YaHei"/>
                <w:color w:val="0B2545"/>
                <w:sz w:val="14"/>
              </w:rPr>
              <w:t>DG7-040</w:t>
            </w:r>
          </w:p>
        </w:tc>
        <w:tc>
          <w:tcPr>
            <w:tcW w:type="dxa" w:w="900"/>
            <w:tcMar>
              <w:top w:w="45" w:type="dxa"/>
              <w:bottom w:w="45" w:type="dxa"/>
              <w:start w:w="100" w:type="dxa"/>
              <w:end w:w="100" w:type="dxa"/>
            </w:tcMar>
          </w:tcPr>
          <w:p>
            <w:pPr>
              <w:keepLines/>
              <w:spacing w:after="0" w:line="252" w:lineRule="auto"/>
            </w:pPr>
            <w:r>
              <w:rPr>
                <w:rFonts w:ascii="Calibri" w:hAnsi="Calibri" w:eastAsia="Microsoft YaHei"/>
                <w:color w:val="0B2545"/>
                <w:sz w:val="14"/>
              </w:rPr>
              <w:t>DG7</w:t>
            </w:r>
          </w:p>
        </w:tc>
        <w:tc>
          <w:tcPr>
            <w:tcW w:type="dxa" w:w="3760"/>
            <w:tcMar>
              <w:top w:w="45" w:type="dxa"/>
              <w:bottom w:w="45" w:type="dxa"/>
              <w:start w:w="100" w:type="dxa"/>
              <w:end w:w="100" w:type="dxa"/>
            </w:tcMar>
          </w:tcPr>
          <w:p>
            <w:pPr>
              <w:keepLines/>
              <w:spacing w:after="0" w:line="252" w:lineRule="auto"/>
            </w:pPr>
            <w:r>
              <w:rPr>
                <w:rFonts w:ascii="Calibri" w:hAnsi="Calibri" w:eastAsia="Microsoft YaHei"/>
                <w:color w:val="0B2545"/>
                <w:sz w:val="14"/>
              </w:rPr>
              <w:t>石英晶体微天平：侵蚀/沉积在线质量通量</w:t>
            </w:r>
          </w:p>
        </w:tc>
        <w:tc>
          <w:tcPr>
            <w:tcW w:type="dxa" w:w="800"/>
            <w:tcMar>
              <w:top w:w="45" w:type="dxa"/>
              <w:bottom w:w="45" w:type="dxa"/>
              <w:start w:w="100" w:type="dxa"/>
              <w:end w:w="100" w:type="dxa"/>
            </w:tcMar>
          </w:tcPr>
          <w:p>
            <w:pPr>
              <w:keepLines/>
              <w:spacing w:after="0" w:line="252" w:lineRule="auto"/>
            </w:pPr>
            <w:r>
              <w:rPr>
                <w:rFonts w:ascii="Calibri" w:hAnsi="Calibri" w:eastAsia="Microsoft YaHei"/>
                <w:color w:val="0B2545"/>
                <w:sz w:val="14"/>
              </w:rPr>
              <w:t>E3</w:t>
            </w:r>
          </w:p>
        </w:tc>
        <w:tc>
          <w:tcPr>
            <w:tcW w:type="dxa" w:w="2900"/>
            <w:tcMar>
              <w:top w:w="45" w:type="dxa"/>
              <w:bottom w:w="45" w:type="dxa"/>
              <w:start w:w="100" w:type="dxa"/>
              <w:end w:w="100" w:type="dxa"/>
            </w:tcMar>
          </w:tcPr>
          <w:p>
            <w:pPr>
              <w:keepLines/>
              <w:spacing w:after="0" w:line="252" w:lineRule="auto"/>
            </w:pPr>
            <w:r>
              <w:rPr>
                <w:rFonts w:ascii="Calibri" w:hAnsi="Calibri" w:eastAsia="Microsoft YaHei"/>
                <w:color w:val="0B2545"/>
                <w:sz w:val="14"/>
              </w:rPr>
              <w:t>JET；EAST；laboratory PWI facilities</w:t>
            </w:r>
          </w:p>
        </w:tc>
      </w:tr>
      <w:tr>
        <w:trPr>
          <w:cantSplit/>
        </w:trPr>
        <w:tc>
          <w:tcPr>
            <w:tcW w:type="dxa" w:w="1000"/>
            <w:tcMar>
              <w:top w:w="45" w:type="dxa"/>
              <w:bottom w:w="45" w:type="dxa"/>
              <w:start w:w="100" w:type="dxa"/>
              <w:end w:w="100" w:type="dxa"/>
            </w:tcMar>
          </w:tcPr>
          <w:p>
            <w:pPr>
              <w:keepLines/>
              <w:spacing w:after="0" w:line="252" w:lineRule="auto"/>
            </w:pPr>
            <w:r>
              <w:rPr>
                <w:rFonts w:ascii="Calibri" w:hAnsi="Calibri" w:eastAsia="Microsoft YaHei"/>
                <w:color w:val="0B2545"/>
                <w:sz w:val="14"/>
              </w:rPr>
              <w:t>DG7-042</w:t>
            </w:r>
          </w:p>
        </w:tc>
        <w:tc>
          <w:tcPr>
            <w:tcW w:type="dxa" w:w="900"/>
            <w:tcMar>
              <w:top w:w="45" w:type="dxa"/>
              <w:bottom w:w="45" w:type="dxa"/>
              <w:start w:w="100" w:type="dxa"/>
              <w:end w:w="100" w:type="dxa"/>
            </w:tcMar>
          </w:tcPr>
          <w:p>
            <w:pPr>
              <w:keepLines/>
              <w:spacing w:after="0" w:line="252" w:lineRule="auto"/>
            </w:pPr>
            <w:r>
              <w:rPr>
                <w:rFonts w:ascii="Calibri" w:hAnsi="Calibri" w:eastAsia="Microsoft YaHei"/>
                <w:color w:val="0B2545"/>
                <w:sz w:val="14"/>
              </w:rPr>
              <w:t>DG7</w:t>
            </w:r>
          </w:p>
        </w:tc>
        <w:tc>
          <w:tcPr>
            <w:tcW w:type="dxa" w:w="3760"/>
            <w:tcMar>
              <w:top w:w="45" w:type="dxa"/>
              <w:bottom w:w="45" w:type="dxa"/>
              <w:start w:w="100" w:type="dxa"/>
              <w:end w:w="100" w:type="dxa"/>
            </w:tcMar>
          </w:tcPr>
          <w:p>
            <w:pPr>
              <w:keepLines/>
              <w:spacing w:after="0" w:line="252" w:lineRule="auto"/>
            </w:pPr>
            <w:r>
              <w:rPr>
                <w:rFonts w:ascii="Calibri" w:hAnsi="Calibri" w:eastAsia="Microsoft YaHei"/>
                <w:color w:val="0B2545"/>
                <w:sz w:val="14"/>
              </w:rPr>
              <w:t>第一镜、尘埃与侵蚀/沉积综合监测</w:t>
            </w:r>
          </w:p>
        </w:tc>
        <w:tc>
          <w:tcPr>
            <w:tcW w:type="dxa" w:w="800"/>
            <w:tcMar>
              <w:top w:w="45" w:type="dxa"/>
              <w:bottom w:w="45" w:type="dxa"/>
              <w:start w:w="100" w:type="dxa"/>
              <w:end w:w="100" w:type="dxa"/>
            </w:tcMar>
          </w:tcPr>
          <w:p>
            <w:pPr>
              <w:keepLines/>
              <w:spacing w:after="0" w:line="252" w:lineRule="auto"/>
            </w:pPr>
            <w:r>
              <w:rPr>
                <w:rFonts w:ascii="Calibri" w:hAnsi="Calibri" w:eastAsia="Microsoft YaHei"/>
                <w:color w:val="0B2545"/>
                <w:sz w:val="14"/>
              </w:rPr>
              <w:t>E3</w:t>
            </w:r>
          </w:p>
        </w:tc>
        <w:tc>
          <w:tcPr>
            <w:tcW w:type="dxa" w:w="2900"/>
            <w:tcMar>
              <w:top w:w="45" w:type="dxa"/>
              <w:bottom w:w="45" w:type="dxa"/>
              <w:start w:w="100" w:type="dxa"/>
              <w:end w:w="100" w:type="dxa"/>
            </w:tcMar>
          </w:tcPr>
          <w:p>
            <w:pPr>
              <w:keepLines/>
              <w:spacing w:after="0" w:line="252" w:lineRule="auto"/>
            </w:pPr>
            <w:r>
              <w:rPr>
                <w:rFonts w:ascii="Calibri" w:hAnsi="Calibri" w:eastAsia="Microsoft YaHei"/>
                <w:color w:val="0B2545"/>
                <w:sz w:val="14"/>
              </w:rPr>
              <w:t>ITER R&amp;D；JET；TEXTOR；DIII-D</w:t>
            </w:r>
          </w:p>
        </w:tc>
      </w:tr>
      <w:tr>
        <w:trPr>
          <w:cantSplit/>
        </w:trPr>
        <w:tc>
          <w:tcPr>
            <w:tcW w:type="dxa" w:w="1000"/>
            <w:tcMar>
              <w:top w:w="45" w:type="dxa"/>
              <w:bottom w:w="45" w:type="dxa"/>
              <w:start w:w="100" w:type="dxa"/>
              <w:end w:w="100" w:type="dxa"/>
            </w:tcMar>
          </w:tcPr>
          <w:p>
            <w:pPr>
              <w:keepLines/>
              <w:spacing w:after="0" w:line="252" w:lineRule="auto"/>
            </w:pPr>
            <w:r>
              <w:rPr>
                <w:rFonts w:ascii="Calibri" w:hAnsi="Calibri" w:eastAsia="Microsoft YaHei"/>
                <w:color w:val="0B2545"/>
                <w:sz w:val="14"/>
              </w:rPr>
              <w:t>DSI-035</w:t>
            </w:r>
          </w:p>
        </w:tc>
        <w:tc>
          <w:tcPr>
            <w:tcW w:type="dxa" w:w="900"/>
            <w:tcMar>
              <w:top w:w="45" w:type="dxa"/>
              <w:bottom w:w="45" w:type="dxa"/>
              <w:start w:w="100" w:type="dxa"/>
              <w:end w:w="100" w:type="dxa"/>
            </w:tcMar>
          </w:tcPr>
          <w:p>
            <w:pPr>
              <w:keepLines/>
              <w:spacing w:after="0" w:line="252" w:lineRule="auto"/>
            </w:pPr>
            <w:r>
              <w:rPr>
                <w:rFonts w:ascii="Calibri" w:hAnsi="Calibri" w:eastAsia="Microsoft YaHei"/>
                <w:color w:val="0B2545"/>
                <w:sz w:val="14"/>
              </w:rPr>
              <w:t>DG8</w:t>
            </w:r>
          </w:p>
        </w:tc>
        <w:tc>
          <w:tcPr>
            <w:tcW w:type="dxa" w:w="3760"/>
            <w:tcMar>
              <w:top w:w="45" w:type="dxa"/>
              <w:bottom w:w="45" w:type="dxa"/>
              <w:start w:w="100" w:type="dxa"/>
              <w:end w:w="100" w:type="dxa"/>
            </w:tcMar>
          </w:tcPr>
          <w:p>
            <w:pPr>
              <w:keepLines/>
              <w:spacing w:after="0" w:line="252" w:lineRule="auto"/>
            </w:pPr>
            <w:r>
              <w:rPr>
                <w:rFonts w:ascii="Calibri" w:hAnsi="Calibri" w:eastAsia="Microsoft YaHei"/>
                <w:color w:val="0B2545"/>
                <w:sz w:val="14"/>
              </w:rPr>
              <w:t>ITER Tokamak Systems Monitor 工程系统机器学习异常检测</w:t>
            </w:r>
          </w:p>
        </w:tc>
        <w:tc>
          <w:tcPr>
            <w:tcW w:type="dxa" w:w="800"/>
            <w:tcMar>
              <w:top w:w="45" w:type="dxa"/>
              <w:bottom w:w="45" w:type="dxa"/>
              <w:start w:w="100" w:type="dxa"/>
              <w:end w:w="100" w:type="dxa"/>
            </w:tcMar>
          </w:tcPr>
          <w:p>
            <w:pPr>
              <w:keepLines/>
              <w:spacing w:after="0" w:line="252" w:lineRule="auto"/>
            </w:pPr>
            <w:r>
              <w:rPr>
                <w:rFonts w:ascii="Calibri" w:hAnsi="Calibri" w:eastAsia="Microsoft YaHei"/>
                <w:color w:val="0B2545"/>
                <w:sz w:val="14"/>
              </w:rPr>
              <w:t>E2</w:t>
            </w:r>
          </w:p>
        </w:tc>
        <w:tc>
          <w:tcPr>
            <w:tcW w:type="dxa" w:w="2900"/>
            <w:tcMar>
              <w:top w:w="45" w:type="dxa"/>
              <w:bottom w:w="45" w:type="dxa"/>
              <w:start w:w="100" w:type="dxa"/>
              <w:end w:w="100" w:type="dxa"/>
            </w:tcMar>
          </w:tcPr>
          <w:p>
            <w:pPr>
              <w:keepLines/>
              <w:spacing w:after="0" w:line="252" w:lineRule="auto"/>
            </w:pPr>
            <w:r>
              <w:rPr>
                <w:rFonts w:ascii="Calibri" w:hAnsi="Calibri" w:eastAsia="Microsoft YaHei"/>
                <w:color w:val="0B2545"/>
                <w:sz w:val="14"/>
              </w:rPr>
              <w:t>ITER Tokamak Systems Monitor (pre-operational software and prototype-data context)</w:t>
            </w:r>
          </w:p>
        </w:tc>
      </w:tr>
      <w:tr>
        <w:trPr>
          <w:cantSplit/>
        </w:trPr>
        <w:tc>
          <w:tcPr>
            <w:tcW w:type="dxa" w:w="1000"/>
            <w:tcMar>
              <w:top w:w="45" w:type="dxa"/>
              <w:bottom w:w="45" w:type="dxa"/>
              <w:start w:w="100" w:type="dxa"/>
              <w:end w:w="100" w:type="dxa"/>
            </w:tcMar>
          </w:tcPr>
          <w:p>
            <w:pPr>
              <w:keepLines/>
              <w:spacing w:after="0" w:line="252" w:lineRule="auto"/>
            </w:pPr>
            <w:r>
              <w:rPr>
                <w:rFonts w:ascii="Calibri" w:hAnsi="Calibri" w:eastAsia="Microsoft YaHei"/>
                <w:color w:val="0B2545"/>
                <w:sz w:val="14"/>
              </w:rPr>
              <w:t>PDT-001</w:t>
            </w:r>
          </w:p>
        </w:tc>
        <w:tc>
          <w:tcPr>
            <w:tcW w:type="dxa" w:w="900"/>
            <w:tcMar>
              <w:top w:w="45" w:type="dxa"/>
              <w:bottom w:w="45" w:type="dxa"/>
              <w:start w:w="100" w:type="dxa"/>
              <w:end w:w="100" w:type="dxa"/>
            </w:tcMar>
          </w:tcPr>
          <w:p>
            <w:pPr>
              <w:keepLines/>
              <w:spacing w:after="0" w:line="252" w:lineRule="auto"/>
            </w:pPr>
            <w:r>
              <w:rPr>
                <w:rFonts w:ascii="Calibri" w:hAnsi="Calibri" w:eastAsia="Microsoft YaHei"/>
                <w:color w:val="0B2545"/>
                <w:sz w:val="14"/>
              </w:rPr>
              <w:t>DG8</w:t>
            </w:r>
          </w:p>
        </w:tc>
        <w:tc>
          <w:tcPr>
            <w:tcW w:type="dxa" w:w="3760"/>
            <w:tcMar>
              <w:top w:w="45" w:type="dxa"/>
              <w:bottom w:w="45" w:type="dxa"/>
              <w:start w:w="100" w:type="dxa"/>
              <w:end w:w="100" w:type="dxa"/>
            </w:tcMar>
          </w:tcPr>
          <w:p>
            <w:pPr>
              <w:keepLines/>
              <w:spacing w:after="0" w:line="252" w:lineRule="auto"/>
            </w:pPr>
            <w:r>
              <w:rPr>
                <w:rFonts w:ascii="Calibri" w:hAnsi="Calibri" w:eastAsia="Microsoft YaHei"/>
                <w:color w:val="0B2545"/>
                <w:sz w:val="14"/>
              </w:rPr>
              <w:t>ITER 超导磁体多通道失超探测与抗噪监视</w:t>
            </w:r>
          </w:p>
        </w:tc>
        <w:tc>
          <w:tcPr>
            <w:tcW w:type="dxa" w:w="800"/>
            <w:tcMar>
              <w:top w:w="45" w:type="dxa"/>
              <w:bottom w:w="45" w:type="dxa"/>
              <w:start w:w="100" w:type="dxa"/>
              <w:end w:w="100" w:type="dxa"/>
            </w:tcMar>
          </w:tcPr>
          <w:p>
            <w:pPr>
              <w:keepLines/>
              <w:spacing w:after="0" w:line="252" w:lineRule="auto"/>
            </w:pPr>
            <w:r>
              <w:rPr>
                <w:rFonts w:ascii="Calibri" w:hAnsi="Calibri" w:eastAsia="Microsoft YaHei"/>
                <w:color w:val="0B2545"/>
                <w:sz w:val="14"/>
              </w:rPr>
              <w:t>E2</w:t>
            </w:r>
          </w:p>
        </w:tc>
        <w:tc>
          <w:tcPr>
            <w:tcW w:type="dxa" w:w="2900"/>
            <w:tcMar>
              <w:top w:w="45" w:type="dxa"/>
              <w:bottom w:w="45" w:type="dxa"/>
              <w:start w:w="100" w:type="dxa"/>
              <w:end w:w="100" w:type="dxa"/>
            </w:tcMar>
          </w:tcPr>
          <w:p>
            <w:pPr>
              <w:keepLines/>
              <w:spacing w:after="0" w:line="252" w:lineRule="auto"/>
            </w:pPr>
            <w:r>
              <w:rPr>
                <w:rFonts w:ascii="Calibri" w:hAnsi="Calibri" w:eastAsia="Microsoft YaHei"/>
                <w:color w:val="0B2545"/>
                <w:sz w:val="14"/>
              </w:rPr>
              <w:t>ITER</w:t>
            </w:r>
          </w:p>
        </w:tc>
      </w:tr>
      <w:tr>
        <w:trPr>
          <w:cantSplit/>
        </w:trPr>
        <w:tc>
          <w:tcPr>
            <w:tcW w:type="dxa" w:w="1000"/>
            <w:tcMar>
              <w:top w:w="45" w:type="dxa"/>
              <w:bottom w:w="45" w:type="dxa"/>
              <w:start w:w="100" w:type="dxa"/>
              <w:end w:w="100" w:type="dxa"/>
            </w:tcMar>
          </w:tcPr>
          <w:p>
            <w:pPr>
              <w:keepLines/>
              <w:spacing w:after="0" w:line="252" w:lineRule="auto"/>
            </w:pPr>
            <w:r>
              <w:rPr>
                <w:rFonts w:ascii="Calibri" w:hAnsi="Calibri" w:eastAsia="Microsoft YaHei"/>
                <w:color w:val="0B2545"/>
                <w:sz w:val="14"/>
              </w:rPr>
              <w:t>PDT-002</w:t>
            </w:r>
          </w:p>
        </w:tc>
        <w:tc>
          <w:tcPr>
            <w:tcW w:type="dxa" w:w="900"/>
            <w:tcMar>
              <w:top w:w="45" w:type="dxa"/>
              <w:bottom w:w="45" w:type="dxa"/>
              <w:start w:w="100" w:type="dxa"/>
              <w:end w:w="100" w:type="dxa"/>
            </w:tcMar>
          </w:tcPr>
          <w:p>
            <w:pPr>
              <w:keepLines/>
              <w:spacing w:after="0" w:line="252" w:lineRule="auto"/>
            </w:pPr>
            <w:r>
              <w:rPr>
                <w:rFonts w:ascii="Calibri" w:hAnsi="Calibri" w:eastAsia="Microsoft YaHei"/>
                <w:color w:val="0B2545"/>
                <w:sz w:val="14"/>
              </w:rPr>
              <w:t>DG8</w:t>
            </w:r>
          </w:p>
        </w:tc>
        <w:tc>
          <w:tcPr>
            <w:tcW w:type="dxa" w:w="3760"/>
            <w:tcMar>
              <w:top w:w="45" w:type="dxa"/>
              <w:bottom w:w="45" w:type="dxa"/>
              <w:start w:w="100" w:type="dxa"/>
              <w:end w:w="100" w:type="dxa"/>
            </w:tcMar>
          </w:tcPr>
          <w:p>
            <w:pPr>
              <w:keepLines/>
              <w:spacing w:after="0" w:line="252" w:lineRule="auto"/>
            </w:pPr>
            <w:r>
              <w:rPr>
                <w:rFonts w:ascii="Calibri" w:hAnsi="Calibri" w:eastAsia="Microsoft YaHei"/>
                <w:color w:val="0B2545"/>
                <w:sz w:val="14"/>
              </w:rPr>
              <w:t>JT-60SA 磁体—低温联合状态监测与失超保护调试</w:t>
            </w:r>
          </w:p>
        </w:tc>
        <w:tc>
          <w:tcPr>
            <w:tcW w:type="dxa" w:w="800"/>
            <w:tcMar>
              <w:top w:w="45" w:type="dxa"/>
              <w:bottom w:w="45" w:type="dxa"/>
              <w:start w:w="100" w:type="dxa"/>
              <w:end w:w="100" w:type="dxa"/>
            </w:tcMar>
          </w:tcPr>
          <w:p>
            <w:pPr>
              <w:keepLines/>
              <w:spacing w:after="0" w:line="252" w:lineRule="auto"/>
            </w:pPr>
            <w:r>
              <w:rPr>
                <w:rFonts w:ascii="Calibri" w:hAnsi="Calibri" w:eastAsia="Microsoft YaHei"/>
                <w:color w:val="0B2545"/>
                <w:sz w:val="14"/>
              </w:rPr>
              <w:t>E3</w:t>
            </w:r>
          </w:p>
        </w:tc>
        <w:tc>
          <w:tcPr>
            <w:tcW w:type="dxa" w:w="2900"/>
            <w:tcMar>
              <w:top w:w="45" w:type="dxa"/>
              <w:bottom w:w="45" w:type="dxa"/>
              <w:start w:w="100" w:type="dxa"/>
              <w:end w:w="100" w:type="dxa"/>
            </w:tcMar>
          </w:tcPr>
          <w:p>
            <w:pPr>
              <w:keepLines/>
              <w:spacing w:after="0" w:line="252" w:lineRule="auto"/>
            </w:pPr>
            <w:r>
              <w:rPr>
                <w:rFonts w:ascii="Calibri" w:hAnsi="Calibri" w:eastAsia="Microsoft YaHei"/>
                <w:color w:val="0B2545"/>
                <w:sz w:val="14"/>
              </w:rPr>
              <w:t>JT-60SA</w:t>
            </w:r>
          </w:p>
        </w:tc>
      </w:tr>
      <w:tr>
        <w:trPr>
          <w:cantSplit/>
        </w:trPr>
        <w:tc>
          <w:tcPr>
            <w:tcW w:type="dxa" w:w="1000"/>
            <w:tcMar>
              <w:top w:w="45" w:type="dxa"/>
              <w:bottom w:w="45" w:type="dxa"/>
              <w:start w:w="100" w:type="dxa"/>
              <w:end w:w="100" w:type="dxa"/>
            </w:tcMar>
          </w:tcPr>
          <w:p>
            <w:pPr>
              <w:keepLines/>
              <w:spacing w:after="0" w:line="252" w:lineRule="auto"/>
            </w:pPr>
            <w:r>
              <w:rPr>
                <w:rFonts w:ascii="Calibri" w:hAnsi="Calibri" w:eastAsia="Microsoft YaHei"/>
                <w:color w:val="0B2545"/>
                <w:sz w:val="14"/>
              </w:rPr>
              <w:t>PDT-003</w:t>
            </w:r>
          </w:p>
        </w:tc>
        <w:tc>
          <w:tcPr>
            <w:tcW w:type="dxa" w:w="900"/>
            <w:tcMar>
              <w:top w:w="45" w:type="dxa"/>
              <w:bottom w:w="45" w:type="dxa"/>
              <w:start w:w="100" w:type="dxa"/>
              <w:end w:w="100" w:type="dxa"/>
            </w:tcMar>
          </w:tcPr>
          <w:p>
            <w:pPr>
              <w:keepLines/>
              <w:spacing w:after="0" w:line="252" w:lineRule="auto"/>
            </w:pPr>
            <w:r>
              <w:rPr>
                <w:rFonts w:ascii="Calibri" w:hAnsi="Calibri" w:eastAsia="Microsoft YaHei"/>
                <w:color w:val="0B2545"/>
                <w:sz w:val="14"/>
              </w:rPr>
              <w:t>DG8</w:t>
            </w:r>
          </w:p>
        </w:tc>
        <w:tc>
          <w:tcPr>
            <w:tcW w:type="dxa" w:w="3760"/>
            <w:tcMar>
              <w:top w:w="45" w:type="dxa"/>
              <w:bottom w:w="45" w:type="dxa"/>
              <w:start w:w="100" w:type="dxa"/>
              <w:end w:w="100" w:type="dxa"/>
            </w:tcMar>
          </w:tcPr>
          <w:p>
            <w:pPr>
              <w:keepLines/>
              <w:spacing w:after="0" w:line="252" w:lineRule="auto"/>
            </w:pPr>
            <w:r>
              <w:rPr>
                <w:rFonts w:ascii="Calibri" w:hAnsi="Calibri" w:eastAsia="Microsoft YaHei"/>
                <w:color w:val="0B2545"/>
                <w:sz w:val="14"/>
              </w:rPr>
              <w:t>EAST 超导线圈出口温度技术诊断与安全联锁</w:t>
            </w:r>
          </w:p>
        </w:tc>
        <w:tc>
          <w:tcPr>
            <w:tcW w:type="dxa" w:w="800"/>
            <w:tcMar>
              <w:top w:w="45" w:type="dxa"/>
              <w:bottom w:w="45" w:type="dxa"/>
              <w:start w:w="100" w:type="dxa"/>
              <w:end w:w="100" w:type="dxa"/>
            </w:tcMar>
          </w:tcPr>
          <w:p>
            <w:pPr>
              <w:keepLines/>
              <w:spacing w:after="0" w:line="252" w:lineRule="auto"/>
            </w:pPr>
            <w:r>
              <w:rPr>
                <w:rFonts w:ascii="Calibri" w:hAnsi="Calibri" w:eastAsia="Microsoft YaHei"/>
                <w:color w:val="0B2545"/>
                <w:sz w:val="14"/>
              </w:rPr>
              <w:t>E4</w:t>
            </w:r>
          </w:p>
        </w:tc>
        <w:tc>
          <w:tcPr>
            <w:tcW w:type="dxa" w:w="2900"/>
            <w:tcMar>
              <w:top w:w="45" w:type="dxa"/>
              <w:bottom w:w="45" w:type="dxa"/>
              <w:start w:w="100" w:type="dxa"/>
              <w:end w:w="100" w:type="dxa"/>
            </w:tcMar>
          </w:tcPr>
          <w:p>
            <w:pPr>
              <w:keepLines/>
              <w:spacing w:after="0" w:line="252" w:lineRule="auto"/>
            </w:pPr>
            <w:r>
              <w:rPr>
                <w:rFonts w:ascii="Calibri" w:hAnsi="Calibri" w:eastAsia="Microsoft YaHei"/>
                <w:color w:val="0B2545"/>
                <w:sz w:val="14"/>
              </w:rPr>
              <w:t>EAST</w:t>
            </w:r>
          </w:p>
        </w:tc>
      </w:tr>
      <w:tr>
        <w:trPr>
          <w:cantSplit/>
        </w:trPr>
        <w:tc>
          <w:tcPr>
            <w:tcW w:type="dxa" w:w="1000"/>
            <w:tcMar>
              <w:top w:w="45" w:type="dxa"/>
              <w:bottom w:w="45" w:type="dxa"/>
              <w:start w:w="100" w:type="dxa"/>
              <w:end w:w="100" w:type="dxa"/>
            </w:tcMar>
          </w:tcPr>
          <w:p>
            <w:pPr>
              <w:keepLines/>
              <w:spacing w:after="0" w:line="252" w:lineRule="auto"/>
            </w:pPr>
            <w:r>
              <w:rPr>
                <w:rFonts w:ascii="Calibri" w:hAnsi="Calibri" w:eastAsia="Microsoft YaHei"/>
                <w:color w:val="0B2545"/>
                <w:sz w:val="14"/>
              </w:rPr>
              <w:t>PDT-005</w:t>
            </w:r>
          </w:p>
        </w:tc>
        <w:tc>
          <w:tcPr>
            <w:tcW w:type="dxa" w:w="900"/>
            <w:tcMar>
              <w:top w:w="45" w:type="dxa"/>
              <w:bottom w:w="45" w:type="dxa"/>
              <w:start w:w="100" w:type="dxa"/>
              <w:end w:w="100" w:type="dxa"/>
            </w:tcMar>
          </w:tcPr>
          <w:p>
            <w:pPr>
              <w:keepLines/>
              <w:spacing w:after="0" w:line="252" w:lineRule="auto"/>
            </w:pPr>
            <w:r>
              <w:rPr>
                <w:rFonts w:ascii="Calibri" w:hAnsi="Calibri" w:eastAsia="Microsoft YaHei"/>
                <w:color w:val="0B2545"/>
                <w:sz w:val="14"/>
              </w:rPr>
              <w:t>DG8</w:t>
            </w:r>
          </w:p>
        </w:tc>
        <w:tc>
          <w:tcPr>
            <w:tcW w:type="dxa" w:w="3760"/>
            <w:tcMar>
              <w:top w:w="45" w:type="dxa"/>
              <w:bottom w:w="45" w:type="dxa"/>
              <w:start w:w="100" w:type="dxa"/>
              <w:end w:w="100" w:type="dxa"/>
            </w:tcMar>
          </w:tcPr>
          <w:p>
            <w:pPr>
              <w:keepLines/>
              <w:spacing w:after="0" w:line="252" w:lineRule="auto"/>
            </w:pPr>
            <w:r>
              <w:rPr>
                <w:rFonts w:ascii="Calibri" w:hAnsi="Calibri" w:eastAsia="Microsoft YaHei"/>
                <w:color w:val="0B2545"/>
                <w:sz w:val="14"/>
              </w:rPr>
              <w:t>WEST 下偏滤器 FBG 多点温度长期监测</w:t>
            </w:r>
          </w:p>
        </w:tc>
        <w:tc>
          <w:tcPr>
            <w:tcW w:type="dxa" w:w="800"/>
            <w:tcMar>
              <w:top w:w="45" w:type="dxa"/>
              <w:bottom w:w="45" w:type="dxa"/>
              <w:start w:w="100" w:type="dxa"/>
              <w:end w:w="100" w:type="dxa"/>
            </w:tcMar>
          </w:tcPr>
          <w:p>
            <w:pPr>
              <w:keepLines/>
              <w:spacing w:after="0" w:line="252" w:lineRule="auto"/>
            </w:pPr>
            <w:r>
              <w:rPr>
                <w:rFonts w:ascii="Calibri" w:hAnsi="Calibri" w:eastAsia="Microsoft YaHei"/>
                <w:color w:val="0B2545"/>
                <w:sz w:val="14"/>
              </w:rPr>
              <w:t>E4</w:t>
            </w:r>
          </w:p>
        </w:tc>
        <w:tc>
          <w:tcPr>
            <w:tcW w:type="dxa" w:w="2900"/>
            <w:tcMar>
              <w:top w:w="45" w:type="dxa"/>
              <w:bottom w:w="45" w:type="dxa"/>
              <w:start w:w="100" w:type="dxa"/>
              <w:end w:w="100" w:type="dxa"/>
            </w:tcMar>
          </w:tcPr>
          <w:p>
            <w:pPr>
              <w:keepLines/>
              <w:spacing w:after="0" w:line="252" w:lineRule="auto"/>
            </w:pPr>
            <w:r>
              <w:rPr>
                <w:rFonts w:ascii="Calibri" w:hAnsi="Calibri" w:eastAsia="Microsoft YaHei"/>
                <w:color w:val="0B2545"/>
                <w:sz w:val="14"/>
              </w:rPr>
              <w:t>WEST</w:t>
            </w:r>
          </w:p>
        </w:tc>
      </w:tr>
      <w:tr>
        <w:trPr>
          <w:cantSplit/>
        </w:trPr>
        <w:tc>
          <w:tcPr>
            <w:tcW w:type="dxa" w:w="1000"/>
            <w:tcMar>
              <w:top w:w="45" w:type="dxa"/>
              <w:bottom w:w="45" w:type="dxa"/>
              <w:start w:w="100" w:type="dxa"/>
              <w:end w:w="100" w:type="dxa"/>
            </w:tcMar>
          </w:tcPr>
          <w:p>
            <w:pPr>
              <w:keepLines/>
              <w:spacing w:after="0" w:line="252" w:lineRule="auto"/>
            </w:pPr>
            <w:r>
              <w:rPr>
                <w:rFonts w:ascii="Calibri" w:hAnsi="Calibri" w:eastAsia="Microsoft YaHei"/>
                <w:color w:val="0B2545"/>
                <w:sz w:val="14"/>
              </w:rPr>
              <w:t>PDT-007</w:t>
            </w:r>
          </w:p>
        </w:tc>
        <w:tc>
          <w:tcPr>
            <w:tcW w:type="dxa" w:w="900"/>
            <w:tcMar>
              <w:top w:w="45" w:type="dxa"/>
              <w:bottom w:w="45" w:type="dxa"/>
              <w:start w:w="100" w:type="dxa"/>
              <w:end w:w="100" w:type="dxa"/>
            </w:tcMar>
          </w:tcPr>
          <w:p>
            <w:pPr>
              <w:keepLines/>
              <w:spacing w:after="0" w:line="252" w:lineRule="auto"/>
            </w:pPr>
            <w:r>
              <w:rPr>
                <w:rFonts w:ascii="Calibri" w:hAnsi="Calibri" w:eastAsia="Microsoft YaHei"/>
                <w:color w:val="0B2545"/>
                <w:sz w:val="14"/>
              </w:rPr>
              <w:t>DG8</w:t>
            </w:r>
          </w:p>
        </w:tc>
        <w:tc>
          <w:tcPr>
            <w:tcW w:type="dxa" w:w="3760"/>
            <w:tcMar>
              <w:top w:w="45" w:type="dxa"/>
              <w:bottom w:w="45" w:type="dxa"/>
              <w:start w:w="100" w:type="dxa"/>
              <w:end w:w="100" w:type="dxa"/>
            </w:tcMar>
          </w:tcPr>
          <w:p>
            <w:pPr>
              <w:keepLines/>
              <w:spacing w:after="0" w:line="252" w:lineRule="auto"/>
            </w:pPr>
            <w:r>
              <w:rPr>
                <w:rFonts w:ascii="Calibri" w:hAnsi="Calibri" w:eastAsia="Microsoft YaHei"/>
                <w:color w:val="0B2545"/>
                <w:sz w:val="14"/>
              </w:rPr>
              <w:t>EAST 钨偏滤器 FBG 应变—温度监测研发</w:t>
            </w:r>
          </w:p>
        </w:tc>
        <w:tc>
          <w:tcPr>
            <w:tcW w:type="dxa" w:w="800"/>
            <w:tcMar>
              <w:top w:w="45" w:type="dxa"/>
              <w:bottom w:w="45" w:type="dxa"/>
              <w:start w:w="100" w:type="dxa"/>
              <w:end w:w="100" w:type="dxa"/>
            </w:tcMar>
          </w:tcPr>
          <w:p>
            <w:pPr>
              <w:keepLines/>
              <w:spacing w:after="0" w:line="252" w:lineRule="auto"/>
            </w:pPr>
            <w:r>
              <w:rPr>
                <w:rFonts w:ascii="Calibri" w:hAnsi="Calibri" w:eastAsia="Microsoft YaHei"/>
                <w:color w:val="0B2545"/>
                <w:sz w:val="14"/>
              </w:rPr>
              <w:t>E2</w:t>
            </w:r>
          </w:p>
        </w:tc>
        <w:tc>
          <w:tcPr>
            <w:tcW w:type="dxa" w:w="2900"/>
            <w:tcMar>
              <w:top w:w="45" w:type="dxa"/>
              <w:bottom w:w="45" w:type="dxa"/>
              <w:start w:w="100" w:type="dxa"/>
              <w:end w:w="100" w:type="dxa"/>
            </w:tcMar>
          </w:tcPr>
          <w:p>
            <w:pPr>
              <w:keepLines/>
              <w:spacing w:after="0" w:line="252" w:lineRule="auto"/>
            </w:pPr>
            <w:r>
              <w:rPr>
                <w:rFonts w:ascii="Calibri" w:hAnsi="Calibri" w:eastAsia="Microsoft YaHei"/>
                <w:color w:val="0B2545"/>
                <w:sz w:val="14"/>
              </w:rPr>
              <w:t>EAST divertor mock-up；planned/partial EAST integration</w:t>
            </w:r>
          </w:p>
        </w:tc>
      </w:tr>
      <w:tr>
        <w:trPr>
          <w:cantSplit/>
        </w:trPr>
        <w:tc>
          <w:tcPr>
            <w:tcW w:type="dxa" w:w="1000"/>
            <w:tcMar>
              <w:top w:w="45" w:type="dxa"/>
              <w:bottom w:w="45" w:type="dxa"/>
              <w:start w:w="100" w:type="dxa"/>
              <w:end w:w="100" w:type="dxa"/>
            </w:tcMar>
          </w:tcPr>
          <w:p>
            <w:pPr>
              <w:keepLines/>
              <w:spacing w:after="0" w:line="252" w:lineRule="auto"/>
            </w:pPr>
            <w:r>
              <w:rPr>
                <w:rFonts w:ascii="Calibri" w:hAnsi="Calibri" w:eastAsia="Microsoft YaHei"/>
                <w:color w:val="0B2545"/>
                <w:sz w:val="14"/>
              </w:rPr>
              <w:t>PDT-008</w:t>
            </w:r>
          </w:p>
        </w:tc>
        <w:tc>
          <w:tcPr>
            <w:tcW w:type="dxa" w:w="900"/>
            <w:tcMar>
              <w:top w:w="45" w:type="dxa"/>
              <w:bottom w:w="45" w:type="dxa"/>
              <w:start w:w="100" w:type="dxa"/>
              <w:end w:w="100" w:type="dxa"/>
            </w:tcMar>
          </w:tcPr>
          <w:p>
            <w:pPr>
              <w:keepLines/>
              <w:spacing w:after="0" w:line="252" w:lineRule="auto"/>
            </w:pPr>
            <w:r>
              <w:rPr>
                <w:rFonts w:ascii="Calibri" w:hAnsi="Calibri" w:eastAsia="Microsoft YaHei"/>
                <w:color w:val="0B2545"/>
                <w:sz w:val="14"/>
              </w:rPr>
              <w:t>DG8</w:t>
            </w:r>
          </w:p>
        </w:tc>
        <w:tc>
          <w:tcPr>
            <w:tcW w:type="dxa" w:w="3760"/>
            <w:tcMar>
              <w:top w:w="45" w:type="dxa"/>
              <w:bottom w:w="45" w:type="dxa"/>
              <w:start w:w="100" w:type="dxa"/>
              <w:end w:w="100" w:type="dxa"/>
            </w:tcMar>
          </w:tcPr>
          <w:p>
            <w:pPr>
              <w:keepLines/>
              <w:spacing w:after="0" w:line="252" w:lineRule="auto"/>
            </w:pPr>
            <w:r>
              <w:rPr>
                <w:rFonts w:ascii="Calibri" w:hAnsi="Calibri" w:eastAsia="Microsoft YaHei"/>
                <w:color w:val="0B2545"/>
                <w:sz w:val="14"/>
              </w:rPr>
              <w:t>大型托卡马克真空室电磁载荷—结构位移实时降阶监测</w:t>
            </w:r>
          </w:p>
        </w:tc>
        <w:tc>
          <w:tcPr>
            <w:tcW w:type="dxa" w:w="800"/>
            <w:tcMar>
              <w:top w:w="45" w:type="dxa"/>
              <w:bottom w:w="45" w:type="dxa"/>
              <w:start w:w="100" w:type="dxa"/>
              <w:end w:w="100" w:type="dxa"/>
            </w:tcMar>
          </w:tcPr>
          <w:p>
            <w:pPr>
              <w:keepLines/>
              <w:spacing w:after="0" w:line="252" w:lineRule="auto"/>
            </w:pPr>
            <w:r>
              <w:rPr>
                <w:rFonts w:ascii="Calibri" w:hAnsi="Calibri" w:eastAsia="Microsoft YaHei"/>
                <w:color w:val="0B2545"/>
                <w:sz w:val="14"/>
              </w:rPr>
              <w:t>E1</w:t>
            </w:r>
          </w:p>
        </w:tc>
        <w:tc>
          <w:tcPr>
            <w:tcW w:type="dxa" w:w="2900"/>
            <w:tcMar>
              <w:top w:w="45" w:type="dxa"/>
              <w:bottom w:w="45" w:type="dxa"/>
              <w:start w:w="100" w:type="dxa"/>
              <w:end w:w="100" w:type="dxa"/>
            </w:tcMar>
          </w:tcPr>
          <w:p>
            <w:pPr>
              <w:keepLines/>
              <w:spacing w:after="0" w:line="252" w:lineRule="auto"/>
            </w:pPr>
            <w:r>
              <w:rPr>
                <w:rFonts w:ascii="Calibri" w:hAnsi="Calibri" w:eastAsia="Microsoft YaHei"/>
                <w:color w:val="0B2545"/>
                <w:sz w:val="14"/>
              </w:rPr>
              <w:t>large-scale tokamak models; device-specific validation pending</w:t>
            </w:r>
          </w:p>
        </w:tc>
      </w:tr>
      <w:tr>
        <w:trPr>
          <w:cantSplit/>
        </w:trPr>
        <w:tc>
          <w:tcPr>
            <w:tcW w:type="dxa" w:w="1000"/>
            <w:tcMar>
              <w:top w:w="45" w:type="dxa"/>
              <w:bottom w:w="45" w:type="dxa"/>
              <w:start w:w="100" w:type="dxa"/>
              <w:end w:w="100" w:type="dxa"/>
            </w:tcMar>
          </w:tcPr>
          <w:p>
            <w:pPr>
              <w:keepLines/>
              <w:spacing w:after="0" w:line="252" w:lineRule="auto"/>
            </w:pPr>
            <w:r>
              <w:rPr>
                <w:rFonts w:ascii="Calibri" w:hAnsi="Calibri" w:eastAsia="Microsoft YaHei"/>
                <w:color w:val="0B2545"/>
                <w:sz w:val="14"/>
              </w:rPr>
              <w:t>PDT-009</w:t>
            </w:r>
          </w:p>
        </w:tc>
        <w:tc>
          <w:tcPr>
            <w:tcW w:type="dxa" w:w="900"/>
            <w:tcMar>
              <w:top w:w="45" w:type="dxa"/>
              <w:bottom w:w="45" w:type="dxa"/>
              <w:start w:w="100" w:type="dxa"/>
              <w:end w:w="100" w:type="dxa"/>
            </w:tcMar>
          </w:tcPr>
          <w:p>
            <w:pPr>
              <w:keepLines/>
              <w:spacing w:after="0" w:line="252" w:lineRule="auto"/>
            </w:pPr>
            <w:r>
              <w:rPr>
                <w:rFonts w:ascii="Calibri" w:hAnsi="Calibri" w:eastAsia="Microsoft YaHei"/>
                <w:color w:val="0B2545"/>
                <w:sz w:val="14"/>
              </w:rPr>
              <w:t>DG8</w:t>
            </w:r>
          </w:p>
        </w:tc>
        <w:tc>
          <w:tcPr>
            <w:tcW w:type="dxa" w:w="3760"/>
            <w:tcMar>
              <w:top w:w="45" w:type="dxa"/>
              <w:bottom w:w="45" w:type="dxa"/>
              <w:start w:w="100" w:type="dxa"/>
              <w:end w:w="100" w:type="dxa"/>
            </w:tcMar>
          </w:tcPr>
          <w:p>
            <w:pPr>
              <w:keepLines/>
              <w:spacing w:after="0" w:line="252" w:lineRule="auto"/>
            </w:pPr>
            <w:r>
              <w:rPr>
                <w:rFonts w:ascii="Calibri" w:hAnsi="Calibri" w:eastAsia="Microsoft YaHei"/>
                <w:color w:val="0B2545"/>
                <w:sz w:val="14"/>
              </w:rPr>
              <w:t>TEXTOR/T-10 运行中部件振动与位移测量</w:t>
            </w:r>
          </w:p>
        </w:tc>
        <w:tc>
          <w:tcPr>
            <w:tcW w:type="dxa" w:w="800"/>
            <w:tcMar>
              <w:top w:w="45" w:type="dxa"/>
              <w:bottom w:w="45" w:type="dxa"/>
              <w:start w:w="100" w:type="dxa"/>
              <w:end w:w="100" w:type="dxa"/>
            </w:tcMar>
          </w:tcPr>
          <w:p>
            <w:pPr>
              <w:keepLines/>
              <w:spacing w:after="0" w:line="252" w:lineRule="auto"/>
            </w:pPr>
            <w:r>
              <w:rPr>
                <w:rFonts w:ascii="Calibri" w:hAnsi="Calibri" w:eastAsia="Microsoft YaHei"/>
                <w:color w:val="0B2545"/>
                <w:sz w:val="14"/>
              </w:rPr>
              <w:t>E4</w:t>
            </w:r>
          </w:p>
        </w:tc>
        <w:tc>
          <w:tcPr>
            <w:tcW w:type="dxa" w:w="2900"/>
            <w:tcMar>
              <w:top w:w="45" w:type="dxa"/>
              <w:bottom w:w="45" w:type="dxa"/>
              <w:start w:w="100" w:type="dxa"/>
              <w:end w:w="100" w:type="dxa"/>
            </w:tcMar>
          </w:tcPr>
          <w:p>
            <w:pPr>
              <w:keepLines/>
              <w:spacing w:after="0" w:line="252" w:lineRule="auto"/>
            </w:pPr>
            <w:r>
              <w:rPr>
                <w:rFonts w:ascii="Calibri" w:hAnsi="Calibri" w:eastAsia="Microsoft YaHei"/>
                <w:color w:val="0B2545"/>
                <w:sz w:val="14"/>
              </w:rPr>
              <w:t>TEXTOR；T-10</w:t>
            </w:r>
          </w:p>
        </w:tc>
      </w:tr>
      <w:tr>
        <w:trPr>
          <w:cantSplit/>
        </w:trPr>
        <w:tc>
          <w:tcPr>
            <w:tcW w:type="dxa" w:w="1000"/>
            <w:tcMar>
              <w:top w:w="45" w:type="dxa"/>
              <w:bottom w:w="45" w:type="dxa"/>
              <w:start w:w="100" w:type="dxa"/>
              <w:end w:w="100" w:type="dxa"/>
            </w:tcMar>
          </w:tcPr>
          <w:p>
            <w:pPr>
              <w:keepLines/>
              <w:spacing w:after="0" w:line="252" w:lineRule="auto"/>
            </w:pPr>
            <w:r>
              <w:rPr>
                <w:rFonts w:ascii="Calibri" w:hAnsi="Calibri" w:eastAsia="Microsoft YaHei"/>
                <w:color w:val="0B2545"/>
                <w:sz w:val="14"/>
              </w:rPr>
              <w:t>PDT-010</w:t>
            </w:r>
          </w:p>
        </w:tc>
        <w:tc>
          <w:tcPr>
            <w:tcW w:type="dxa" w:w="900"/>
            <w:tcMar>
              <w:top w:w="45" w:type="dxa"/>
              <w:bottom w:w="45" w:type="dxa"/>
              <w:start w:w="100" w:type="dxa"/>
              <w:end w:w="100" w:type="dxa"/>
            </w:tcMar>
          </w:tcPr>
          <w:p>
            <w:pPr>
              <w:keepLines/>
              <w:spacing w:after="0" w:line="252" w:lineRule="auto"/>
            </w:pPr>
            <w:r>
              <w:rPr>
                <w:rFonts w:ascii="Calibri" w:hAnsi="Calibri" w:eastAsia="Microsoft YaHei"/>
                <w:color w:val="0B2545"/>
                <w:sz w:val="14"/>
              </w:rPr>
              <w:t>DG8</w:t>
            </w:r>
          </w:p>
        </w:tc>
        <w:tc>
          <w:tcPr>
            <w:tcW w:type="dxa" w:w="3760"/>
            <w:tcMar>
              <w:top w:w="45" w:type="dxa"/>
              <w:bottom w:w="45" w:type="dxa"/>
              <w:start w:w="100" w:type="dxa"/>
              <w:end w:w="100" w:type="dxa"/>
            </w:tcMar>
          </w:tcPr>
          <w:p>
            <w:pPr>
              <w:keepLines/>
              <w:spacing w:after="0" w:line="252" w:lineRule="auto"/>
            </w:pPr>
            <w:r>
              <w:rPr>
                <w:rFonts w:ascii="Calibri" w:hAnsi="Calibri" w:eastAsia="Microsoft YaHei"/>
                <w:color w:val="0B2545"/>
                <w:sz w:val="14"/>
              </w:rPr>
              <w:t>ITER 诊断残余气体分析器的燃料、氦灰与杂质监测</w:t>
            </w:r>
          </w:p>
        </w:tc>
        <w:tc>
          <w:tcPr>
            <w:tcW w:type="dxa" w:w="800"/>
            <w:tcMar>
              <w:top w:w="45" w:type="dxa"/>
              <w:bottom w:w="45" w:type="dxa"/>
              <w:start w:w="100" w:type="dxa"/>
              <w:end w:w="100" w:type="dxa"/>
            </w:tcMar>
          </w:tcPr>
          <w:p>
            <w:pPr>
              <w:keepLines/>
              <w:spacing w:after="0" w:line="252" w:lineRule="auto"/>
            </w:pPr>
            <w:r>
              <w:rPr>
                <w:rFonts w:ascii="Calibri" w:hAnsi="Calibri" w:eastAsia="Microsoft YaHei"/>
                <w:color w:val="0B2545"/>
                <w:sz w:val="14"/>
              </w:rPr>
              <w:t>E2</w:t>
            </w:r>
          </w:p>
        </w:tc>
        <w:tc>
          <w:tcPr>
            <w:tcW w:type="dxa" w:w="2900"/>
            <w:tcMar>
              <w:top w:w="45" w:type="dxa"/>
              <w:bottom w:w="45" w:type="dxa"/>
              <w:start w:w="100" w:type="dxa"/>
              <w:end w:w="100" w:type="dxa"/>
            </w:tcMar>
          </w:tcPr>
          <w:p>
            <w:pPr>
              <w:keepLines/>
              <w:spacing w:after="0" w:line="252" w:lineRule="auto"/>
            </w:pPr>
            <w:r>
              <w:rPr>
                <w:rFonts w:ascii="Calibri" w:hAnsi="Calibri" w:eastAsia="Microsoft YaHei"/>
                <w:color w:val="0B2545"/>
                <w:sz w:val="14"/>
              </w:rPr>
              <w:t>ITER prototype</w:t>
            </w:r>
          </w:p>
        </w:tc>
      </w:tr>
      <w:tr>
        <w:trPr>
          <w:cantSplit/>
        </w:trPr>
        <w:tc>
          <w:tcPr>
            <w:tcW w:type="dxa" w:w="1000"/>
            <w:tcMar>
              <w:top w:w="45" w:type="dxa"/>
              <w:bottom w:w="45" w:type="dxa"/>
              <w:start w:w="100" w:type="dxa"/>
              <w:end w:w="100" w:type="dxa"/>
            </w:tcMar>
          </w:tcPr>
          <w:p>
            <w:pPr>
              <w:keepLines/>
              <w:spacing w:after="0" w:line="252" w:lineRule="auto"/>
            </w:pPr>
            <w:r>
              <w:rPr>
                <w:rFonts w:ascii="Calibri" w:hAnsi="Calibri" w:eastAsia="Microsoft YaHei"/>
                <w:color w:val="0B2545"/>
                <w:sz w:val="14"/>
              </w:rPr>
              <w:t>PDT-011</w:t>
            </w:r>
          </w:p>
        </w:tc>
        <w:tc>
          <w:tcPr>
            <w:tcW w:type="dxa" w:w="900"/>
            <w:tcMar>
              <w:top w:w="45" w:type="dxa"/>
              <w:bottom w:w="45" w:type="dxa"/>
              <w:start w:w="100" w:type="dxa"/>
              <w:end w:w="100" w:type="dxa"/>
            </w:tcMar>
          </w:tcPr>
          <w:p>
            <w:pPr>
              <w:keepLines/>
              <w:spacing w:after="0" w:line="252" w:lineRule="auto"/>
            </w:pPr>
            <w:r>
              <w:rPr>
                <w:rFonts w:ascii="Calibri" w:hAnsi="Calibri" w:eastAsia="Microsoft YaHei"/>
                <w:color w:val="0B2545"/>
                <w:sz w:val="14"/>
              </w:rPr>
              <w:t>DG8</w:t>
            </w:r>
          </w:p>
        </w:tc>
        <w:tc>
          <w:tcPr>
            <w:tcW w:type="dxa" w:w="3760"/>
            <w:tcMar>
              <w:top w:w="45" w:type="dxa"/>
              <w:bottom w:w="45" w:type="dxa"/>
              <w:start w:w="100" w:type="dxa"/>
              <w:end w:w="100" w:type="dxa"/>
            </w:tcMar>
          </w:tcPr>
          <w:p>
            <w:pPr>
              <w:keepLines/>
              <w:spacing w:after="0" w:line="252" w:lineRule="auto"/>
            </w:pPr>
            <w:r>
              <w:rPr>
                <w:rFonts w:ascii="Calibri" w:hAnsi="Calibri" w:eastAsia="Microsoft YaHei"/>
                <w:color w:val="0B2545"/>
                <w:sz w:val="14"/>
              </w:rPr>
              <w:t>聚变堆冷却水内漏的示踪气体—质量谱定位</w:t>
            </w:r>
          </w:p>
        </w:tc>
        <w:tc>
          <w:tcPr>
            <w:tcW w:type="dxa" w:w="800"/>
            <w:tcMar>
              <w:top w:w="45" w:type="dxa"/>
              <w:bottom w:w="45" w:type="dxa"/>
              <w:start w:w="100" w:type="dxa"/>
              <w:end w:w="100" w:type="dxa"/>
            </w:tcMar>
          </w:tcPr>
          <w:p>
            <w:pPr>
              <w:keepLines/>
              <w:spacing w:after="0" w:line="252" w:lineRule="auto"/>
            </w:pPr>
            <w:r>
              <w:rPr>
                <w:rFonts w:ascii="Calibri" w:hAnsi="Calibri" w:eastAsia="Microsoft YaHei"/>
                <w:color w:val="0B2545"/>
                <w:sz w:val="14"/>
              </w:rPr>
              <w:t>E2</w:t>
            </w:r>
          </w:p>
        </w:tc>
        <w:tc>
          <w:tcPr>
            <w:tcW w:type="dxa" w:w="2900"/>
            <w:tcMar>
              <w:top w:w="45" w:type="dxa"/>
              <w:bottom w:w="45" w:type="dxa"/>
              <w:start w:w="100" w:type="dxa"/>
              <w:end w:w="100" w:type="dxa"/>
            </w:tcMar>
          </w:tcPr>
          <w:p>
            <w:pPr>
              <w:keepLines/>
              <w:spacing w:after="0" w:line="252" w:lineRule="auto"/>
            </w:pPr>
            <w:r>
              <w:rPr>
                <w:rFonts w:ascii="Calibri" w:hAnsi="Calibri" w:eastAsia="Microsoft YaHei"/>
                <w:color w:val="0B2545"/>
                <w:sz w:val="14"/>
              </w:rPr>
              <w:t>ITER-relevant water-loop test</w:t>
            </w:r>
          </w:p>
        </w:tc>
      </w:tr>
      <w:tr>
        <w:trPr>
          <w:cantSplit/>
        </w:trPr>
        <w:tc>
          <w:tcPr>
            <w:tcW w:type="dxa" w:w="1000"/>
            <w:tcMar>
              <w:top w:w="45" w:type="dxa"/>
              <w:bottom w:w="45" w:type="dxa"/>
              <w:start w:w="100" w:type="dxa"/>
              <w:end w:w="100" w:type="dxa"/>
            </w:tcMar>
          </w:tcPr>
          <w:p>
            <w:pPr>
              <w:keepLines/>
              <w:spacing w:after="0" w:line="252" w:lineRule="auto"/>
            </w:pPr>
            <w:r>
              <w:rPr>
                <w:rFonts w:ascii="Calibri" w:hAnsi="Calibri" w:eastAsia="Microsoft YaHei"/>
                <w:color w:val="0B2545"/>
                <w:sz w:val="14"/>
              </w:rPr>
              <w:t>PDT-012</w:t>
            </w:r>
          </w:p>
        </w:tc>
        <w:tc>
          <w:tcPr>
            <w:tcW w:type="dxa" w:w="900"/>
            <w:tcMar>
              <w:top w:w="45" w:type="dxa"/>
              <w:bottom w:w="45" w:type="dxa"/>
              <w:start w:w="100" w:type="dxa"/>
              <w:end w:w="100" w:type="dxa"/>
            </w:tcMar>
          </w:tcPr>
          <w:p>
            <w:pPr>
              <w:keepLines/>
              <w:spacing w:after="0" w:line="252" w:lineRule="auto"/>
            </w:pPr>
            <w:r>
              <w:rPr>
                <w:rFonts w:ascii="Calibri" w:hAnsi="Calibri" w:eastAsia="Microsoft YaHei"/>
                <w:color w:val="0B2545"/>
                <w:sz w:val="14"/>
              </w:rPr>
              <w:t>DG8</w:t>
            </w:r>
          </w:p>
        </w:tc>
        <w:tc>
          <w:tcPr>
            <w:tcW w:type="dxa" w:w="3760"/>
            <w:tcMar>
              <w:top w:w="45" w:type="dxa"/>
              <w:bottom w:w="45" w:type="dxa"/>
              <w:start w:w="100" w:type="dxa"/>
              <w:end w:w="100" w:type="dxa"/>
            </w:tcMar>
          </w:tcPr>
          <w:p>
            <w:pPr>
              <w:keepLines/>
              <w:spacing w:after="0" w:line="252" w:lineRule="auto"/>
            </w:pPr>
            <w:r>
              <w:rPr>
                <w:rFonts w:ascii="Calibri" w:hAnsi="Calibri" w:eastAsia="Microsoft YaHei"/>
                <w:color w:val="0B2545"/>
                <w:sz w:val="14"/>
              </w:rPr>
              <w:t>JET 氚燃料循环在线气相色谱与物料衡算</w:t>
            </w:r>
          </w:p>
        </w:tc>
        <w:tc>
          <w:tcPr>
            <w:tcW w:type="dxa" w:w="800"/>
            <w:tcMar>
              <w:top w:w="45" w:type="dxa"/>
              <w:bottom w:w="45" w:type="dxa"/>
              <w:start w:w="100" w:type="dxa"/>
              <w:end w:w="100" w:type="dxa"/>
            </w:tcMar>
          </w:tcPr>
          <w:p>
            <w:pPr>
              <w:keepLines/>
              <w:spacing w:after="0" w:line="252" w:lineRule="auto"/>
            </w:pPr>
            <w:r>
              <w:rPr>
                <w:rFonts w:ascii="Calibri" w:hAnsi="Calibri" w:eastAsia="Microsoft YaHei"/>
                <w:color w:val="0B2545"/>
                <w:sz w:val="14"/>
              </w:rPr>
              <w:t>E4</w:t>
            </w:r>
          </w:p>
        </w:tc>
        <w:tc>
          <w:tcPr>
            <w:tcW w:type="dxa" w:w="2900"/>
            <w:tcMar>
              <w:top w:w="45" w:type="dxa"/>
              <w:bottom w:w="45" w:type="dxa"/>
              <w:start w:w="100" w:type="dxa"/>
              <w:end w:w="100" w:type="dxa"/>
            </w:tcMar>
          </w:tcPr>
          <w:p>
            <w:pPr>
              <w:keepLines/>
              <w:spacing w:after="0" w:line="252" w:lineRule="auto"/>
            </w:pPr>
            <w:r>
              <w:rPr>
                <w:rFonts w:ascii="Calibri" w:hAnsi="Calibri" w:eastAsia="Microsoft YaHei"/>
                <w:color w:val="0B2545"/>
                <w:sz w:val="14"/>
              </w:rPr>
              <w:t>JET Active Gas Handling System</w:t>
            </w:r>
          </w:p>
        </w:tc>
      </w:tr>
      <w:tr>
        <w:trPr>
          <w:cantSplit/>
        </w:trPr>
        <w:tc>
          <w:tcPr>
            <w:tcW w:type="dxa" w:w="1000"/>
            <w:tcMar>
              <w:top w:w="45" w:type="dxa"/>
              <w:bottom w:w="45" w:type="dxa"/>
              <w:start w:w="100" w:type="dxa"/>
              <w:end w:w="100" w:type="dxa"/>
            </w:tcMar>
          </w:tcPr>
          <w:p>
            <w:pPr>
              <w:keepLines/>
              <w:spacing w:after="0" w:line="252" w:lineRule="auto"/>
            </w:pPr>
            <w:r>
              <w:rPr>
                <w:rFonts w:ascii="Calibri" w:hAnsi="Calibri" w:eastAsia="Microsoft YaHei"/>
                <w:color w:val="0B2545"/>
                <w:sz w:val="14"/>
              </w:rPr>
              <w:t>PDT-013</w:t>
            </w:r>
          </w:p>
        </w:tc>
        <w:tc>
          <w:tcPr>
            <w:tcW w:type="dxa" w:w="900"/>
            <w:tcMar>
              <w:top w:w="45" w:type="dxa"/>
              <w:bottom w:w="45" w:type="dxa"/>
              <w:start w:w="100" w:type="dxa"/>
              <w:end w:w="100" w:type="dxa"/>
            </w:tcMar>
          </w:tcPr>
          <w:p>
            <w:pPr>
              <w:keepLines/>
              <w:spacing w:after="0" w:line="252" w:lineRule="auto"/>
            </w:pPr>
            <w:r>
              <w:rPr>
                <w:rFonts w:ascii="Calibri" w:hAnsi="Calibri" w:eastAsia="Microsoft YaHei"/>
                <w:color w:val="0B2545"/>
                <w:sz w:val="14"/>
              </w:rPr>
              <w:t>DG8</w:t>
            </w:r>
          </w:p>
        </w:tc>
        <w:tc>
          <w:tcPr>
            <w:tcW w:type="dxa" w:w="3760"/>
            <w:tcMar>
              <w:top w:w="45" w:type="dxa"/>
              <w:bottom w:w="45" w:type="dxa"/>
              <w:start w:w="100" w:type="dxa"/>
              <w:end w:w="100" w:type="dxa"/>
            </w:tcMar>
          </w:tcPr>
          <w:p>
            <w:pPr>
              <w:keepLines/>
              <w:spacing w:after="0" w:line="252" w:lineRule="auto"/>
            </w:pPr>
            <w:r>
              <w:rPr>
                <w:rFonts w:ascii="Calibri" w:hAnsi="Calibri" w:eastAsia="Microsoft YaHei"/>
                <w:color w:val="0B2545"/>
                <w:sz w:val="14"/>
              </w:rPr>
              <w:t>DEMO 实时激光拉曼氚过程气体分析原型</w:t>
            </w:r>
          </w:p>
        </w:tc>
        <w:tc>
          <w:tcPr>
            <w:tcW w:type="dxa" w:w="800"/>
            <w:tcMar>
              <w:top w:w="45" w:type="dxa"/>
              <w:bottom w:w="45" w:type="dxa"/>
              <w:start w:w="100" w:type="dxa"/>
              <w:end w:w="100" w:type="dxa"/>
            </w:tcMar>
          </w:tcPr>
          <w:p>
            <w:pPr>
              <w:keepLines/>
              <w:spacing w:after="0" w:line="252" w:lineRule="auto"/>
            </w:pPr>
            <w:r>
              <w:rPr>
                <w:rFonts w:ascii="Calibri" w:hAnsi="Calibri" w:eastAsia="Microsoft YaHei"/>
                <w:color w:val="0B2545"/>
                <w:sz w:val="14"/>
              </w:rPr>
              <w:t>E2</w:t>
            </w:r>
          </w:p>
        </w:tc>
        <w:tc>
          <w:tcPr>
            <w:tcW w:type="dxa" w:w="2900"/>
            <w:tcMar>
              <w:top w:w="45" w:type="dxa"/>
              <w:bottom w:w="45" w:type="dxa"/>
              <w:start w:w="100" w:type="dxa"/>
              <w:end w:w="100" w:type="dxa"/>
            </w:tcMar>
          </w:tcPr>
          <w:p>
            <w:pPr>
              <w:keepLines/>
              <w:spacing w:after="0" w:line="252" w:lineRule="auto"/>
            </w:pPr>
            <w:r>
              <w:rPr>
                <w:rFonts w:ascii="Calibri" w:hAnsi="Calibri" w:eastAsia="Microsoft YaHei"/>
                <w:color w:val="0B2545"/>
                <w:sz w:val="14"/>
              </w:rPr>
              <w:t>DEMO fuel-cycle prototype</w:t>
            </w:r>
          </w:p>
        </w:tc>
      </w:tr>
      <w:tr>
        <w:trPr>
          <w:cantSplit/>
        </w:trPr>
        <w:tc>
          <w:tcPr>
            <w:tcW w:type="dxa" w:w="1000"/>
            <w:tcMar>
              <w:top w:w="45" w:type="dxa"/>
              <w:bottom w:w="45" w:type="dxa"/>
              <w:start w:w="100" w:type="dxa"/>
              <w:end w:w="100" w:type="dxa"/>
            </w:tcMar>
          </w:tcPr>
          <w:p>
            <w:pPr>
              <w:keepLines/>
              <w:spacing w:after="0" w:line="252" w:lineRule="auto"/>
            </w:pPr>
            <w:r>
              <w:rPr>
                <w:rFonts w:ascii="Calibri" w:hAnsi="Calibri" w:eastAsia="Microsoft YaHei"/>
                <w:color w:val="0B2545"/>
                <w:sz w:val="14"/>
              </w:rPr>
              <w:t>PDT-014</w:t>
            </w:r>
          </w:p>
        </w:tc>
        <w:tc>
          <w:tcPr>
            <w:tcW w:type="dxa" w:w="900"/>
            <w:tcMar>
              <w:top w:w="45" w:type="dxa"/>
              <w:bottom w:w="45" w:type="dxa"/>
              <w:start w:w="100" w:type="dxa"/>
              <w:end w:w="100" w:type="dxa"/>
            </w:tcMar>
          </w:tcPr>
          <w:p>
            <w:pPr>
              <w:keepLines/>
              <w:spacing w:after="0" w:line="252" w:lineRule="auto"/>
            </w:pPr>
            <w:r>
              <w:rPr>
                <w:rFonts w:ascii="Calibri" w:hAnsi="Calibri" w:eastAsia="Microsoft YaHei"/>
                <w:color w:val="0B2545"/>
                <w:sz w:val="14"/>
              </w:rPr>
              <w:t>DG8</w:t>
            </w:r>
          </w:p>
        </w:tc>
        <w:tc>
          <w:tcPr>
            <w:tcW w:type="dxa" w:w="3760"/>
            <w:tcMar>
              <w:top w:w="45" w:type="dxa"/>
              <w:bottom w:w="45" w:type="dxa"/>
              <w:start w:w="100" w:type="dxa"/>
              <w:end w:w="100" w:type="dxa"/>
            </w:tcMar>
          </w:tcPr>
          <w:p>
            <w:pPr>
              <w:keepLines/>
              <w:spacing w:after="0" w:line="252" w:lineRule="auto"/>
            </w:pPr>
            <w:r>
              <w:rPr>
                <w:rFonts w:ascii="Calibri" w:hAnsi="Calibri" w:eastAsia="Microsoft YaHei"/>
                <w:color w:val="0B2545"/>
                <w:sz w:val="14"/>
              </w:rPr>
              <w:t>JET 排气去氚系统腐蚀失效诊断与替换后运行监测</w:t>
            </w:r>
          </w:p>
        </w:tc>
        <w:tc>
          <w:tcPr>
            <w:tcW w:type="dxa" w:w="800"/>
            <w:tcMar>
              <w:top w:w="45" w:type="dxa"/>
              <w:bottom w:w="45" w:type="dxa"/>
              <w:start w:w="100" w:type="dxa"/>
              <w:end w:w="100" w:type="dxa"/>
            </w:tcMar>
          </w:tcPr>
          <w:p>
            <w:pPr>
              <w:keepLines/>
              <w:spacing w:after="0" w:line="252" w:lineRule="auto"/>
            </w:pPr>
            <w:r>
              <w:rPr>
                <w:rFonts w:ascii="Calibri" w:hAnsi="Calibri" w:eastAsia="Microsoft YaHei"/>
                <w:color w:val="0B2545"/>
                <w:sz w:val="14"/>
              </w:rPr>
              <w:t>E4</w:t>
            </w:r>
          </w:p>
        </w:tc>
        <w:tc>
          <w:tcPr>
            <w:tcW w:type="dxa" w:w="2900"/>
            <w:tcMar>
              <w:top w:w="45" w:type="dxa"/>
              <w:bottom w:w="45" w:type="dxa"/>
              <w:start w:w="100" w:type="dxa"/>
              <w:end w:w="100" w:type="dxa"/>
            </w:tcMar>
          </w:tcPr>
          <w:p>
            <w:pPr>
              <w:keepLines/>
              <w:spacing w:after="0" w:line="252" w:lineRule="auto"/>
            </w:pPr>
            <w:r>
              <w:rPr>
                <w:rFonts w:ascii="Calibri" w:hAnsi="Calibri" w:eastAsia="Microsoft YaHei"/>
                <w:color w:val="0B2545"/>
                <w:sz w:val="14"/>
              </w:rPr>
              <w:t>JET Active Gas Handling System</w:t>
            </w:r>
          </w:p>
        </w:tc>
      </w:tr>
      <w:tr>
        <w:trPr>
          <w:cantSplit/>
        </w:trPr>
        <w:tc>
          <w:tcPr>
            <w:tcW w:type="dxa" w:w="1000"/>
            <w:tcMar>
              <w:top w:w="45" w:type="dxa"/>
              <w:bottom w:w="45" w:type="dxa"/>
              <w:start w:w="100" w:type="dxa"/>
              <w:end w:w="100" w:type="dxa"/>
            </w:tcMar>
          </w:tcPr>
          <w:p>
            <w:pPr>
              <w:keepLines/>
              <w:spacing w:after="0" w:line="252" w:lineRule="auto"/>
            </w:pPr>
            <w:r>
              <w:rPr>
                <w:rFonts w:ascii="Calibri" w:hAnsi="Calibri" w:eastAsia="Microsoft YaHei"/>
                <w:color w:val="0B2545"/>
                <w:sz w:val="14"/>
              </w:rPr>
              <w:t>PDT-015</w:t>
            </w:r>
          </w:p>
        </w:tc>
        <w:tc>
          <w:tcPr>
            <w:tcW w:type="dxa" w:w="900"/>
            <w:tcMar>
              <w:top w:w="45" w:type="dxa"/>
              <w:bottom w:w="45" w:type="dxa"/>
              <w:start w:w="100" w:type="dxa"/>
              <w:end w:w="100" w:type="dxa"/>
            </w:tcMar>
          </w:tcPr>
          <w:p>
            <w:pPr>
              <w:keepLines/>
              <w:spacing w:after="0" w:line="252" w:lineRule="auto"/>
            </w:pPr>
            <w:r>
              <w:rPr>
                <w:rFonts w:ascii="Calibri" w:hAnsi="Calibri" w:eastAsia="Microsoft YaHei"/>
                <w:color w:val="0B2545"/>
                <w:sz w:val="14"/>
              </w:rPr>
              <w:t>DG8</w:t>
            </w:r>
          </w:p>
        </w:tc>
        <w:tc>
          <w:tcPr>
            <w:tcW w:type="dxa" w:w="3760"/>
            <w:tcMar>
              <w:top w:w="45" w:type="dxa"/>
              <w:bottom w:w="45" w:type="dxa"/>
              <w:start w:w="100" w:type="dxa"/>
              <w:end w:w="100" w:type="dxa"/>
            </w:tcMar>
          </w:tcPr>
          <w:p>
            <w:pPr>
              <w:keepLines/>
              <w:spacing w:after="0" w:line="252" w:lineRule="auto"/>
            </w:pPr>
            <w:r>
              <w:rPr>
                <w:rFonts w:ascii="Calibri" w:hAnsi="Calibri" w:eastAsia="Microsoft YaHei"/>
                <w:color w:val="0B2545"/>
                <w:sz w:val="14"/>
              </w:rPr>
              <w:t>ITER 在役远程视觉、计量与诊断维护</w:t>
            </w:r>
          </w:p>
        </w:tc>
        <w:tc>
          <w:tcPr>
            <w:tcW w:type="dxa" w:w="800"/>
            <w:tcMar>
              <w:top w:w="45" w:type="dxa"/>
              <w:bottom w:w="45" w:type="dxa"/>
              <w:start w:w="100" w:type="dxa"/>
              <w:end w:w="100" w:type="dxa"/>
            </w:tcMar>
          </w:tcPr>
          <w:p>
            <w:pPr>
              <w:keepLines/>
              <w:spacing w:after="0" w:line="252" w:lineRule="auto"/>
            </w:pPr>
            <w:r>
              <w:rPr>
                <w:rFonts w:ascii="Calibri" w:hAnsi="Calibri" w:eastAsia="Microsoft YaHei"/>
                <w:color w:val="0B2545"/>
                <w:sz w:val="14"/>
              </w:rPr>
              <w:t>E2</w:t>
            </w:r>
          </w:p>
        </w:tc>
        <w:tc>
          <w:tcPr>
            <w:tcW w:type="dxa" w:w="2900"/>
            <w:tcMar>
              <w:top w:w="45" w:type="dxa"/>
              <w:bottom w:w="45" w:type="dxa"/>
              <w:start w:w="100" w:type="dxa"/>
              <w:end w:w="100" w:type="dxa"/>
            </w:tcMar>
          </w:tcPr>
          <w:p>
            <w:pPr>
              <w:keepLines/>
              <w:spacing w:after="0" w:line="252" w:lineRule="auto"/>
            </w:pPr>
            <w:r>
              <w:rPr>
                <w:rFonts w:ascii="Calibri" w:hAnsi="Calibri" w:eastAsia="Microsoft YaHei"/>
                <w:color w:val="0B2545"/>
                <w:sz w:val="14"/>
              </w:rPr>
              <w:t>ITER remote handling prototypes；RACE mock-ups</w:t>
            </w:r>
          </w:p>
        </w:tc>
      </w:tr>
      <w:tr>
        <w:trPr>
          <w:cantSplit/>
        </w:trPr>
        <w:tc>
          <w:tcPr>
            <w:tcW w:type="dxa" w:w="1000"/>
            <w:tcMar>
              <w:top w:w="45" w:type="dxa"/>
              <w:bottom w:w="45" w:type="dxa"/>
              <w:start w:w="100" w:type="dxa"/>
              <w:end w:w="100" w:type="dxa"/>
            </w:tcMar>
          </w:tcPr>
          <w:p>
            <w:pPr>
              <w:keepLines/>
              <w:spacing w:after="0" w:line="252" w:lineRule="auto"/>
            </w:pPr>
            <w:r>
              <w:rPr>
                <w:rFonts w:ascii="Calibri" w:hAnsi="Calibri" w:eastAsia="Microsoft YaHei"/>
                <w:color w:val="0B2545"/>
                <w:sz w:val="14"/>
              </w:rPr>
              <w:t>PDT-016</w:t>
            </w:r>
          </w:p>
        </w:tc>
        <w:tc>
          <w:tcPr>
            <w:tcW w:type="dxa" w:w="900"/>
            <w:tcMar>
              <w:top w:w="45" w:type="dxa"/>
              <w:bottom w:w="45" w:type="dxa"/>
              <w:start w:w="100" w:type="dxa"/>
              <w:end w:w="100" w:type="dxa"/>
            </w:tcMar>
          </w:tcPr>
          <w:p>
            <w:pPr>
              <w:keepLines/>
              <w:spacing w:after="0" w:line="252" w:lineRule="auto"/>
            </w:pPr>
            <w:r>
              <w:rPr>
                <w:rFonts w:ascii="Calibri" w:hAnsi="Calibri" w:eastAsia="Microsoft YaHei"/>
                <w:color w:val="0B2545"/>
                <w:sz w:val="14"/>
              </w:rPr>
              <w:t>DG8</w:t>
            </w:r>
          </w:p>
        </w:tc>
        <w:tc>
          <w:tcPr>
            <w:tcW w:type="dxa" w:w="3760"/>
            <w:tcMar>
              <w:top w:w="45" w:type="dxa"/>
              <w:bottom w:w="45" w:type="dxa"/>
              <w:start w:w="100" w:type="dxa"/>
              <w:end w:w="100" w:type="dxa"/>
            </w:tcMar>
          </w:tcPr>
          <w:p>
            <w:pPr>
              <w:keepLines/>
              <w:spacing w:after="0" w:line="252" w:lineRule="auto"/>
            </w:pPr>
            <w:r>
              <w:rPr>
                <w:rFonts w:ascii="Calibri" w:hAnsi="Calibri" w:eastAsia="Microsoft YaHei"/>
                <w:color w:val="0B2545"/>
                <w:sz w:val="14"/>
              </w:rPr>
              <w:t>ITER 冷却水系统的热工、水化学、氚与环境排放监测</w:t>
            </w:r>
          </w:p>
        </w:tc>
        <w:tc>
          <w:tcPr>
            <w:tcW w:type="dxa" w:w="800"/>
            <w:tcMar>
              <w:top w:w="45" w:type="dxa"/>
              <w:bottom w:w="45" w:type="dxa"/>
              <w:start w:w="100" w:type="dxa"/>
              <w:end w:w="100" w:type="dxa"/>
            </w:tcMar>
          </w:tcPr>
          <w:p>
            <w:pPr>
              <w:keepLines/>
              <w:spacing w:after="0" w:line="252" w:lineRule="auto"/>
            </w:pPr>
            <w:r>
              <w:rPr>
                <w:rFonts w:ascii="Calibri" w:hAnsi="Calibri" w:eastAsia="Microsoft YaHei"/>
                <w:color w:val="0B2545"/>
                <w:sz w:val="14"/>
              </w:rPr>
              <w:t>E1</w:t>
            </w:r>
          </w:p>
        </w:tc>
        <w:tc>
          <w:tcPr>
            <w:tcW w:type="dxa" w:w="2900"/>
            <w:tcMar>
              <w:top w:w="45" w:type="dxa"/>
              <w:bottom w:w="45" w:type="dxa"/>
              <w:start w:w="100" w:type="dxa"/>
              <w:end w:w="100" w:type="dxa"/>
            </w:tcMar>
          </w:tcPr>
          <w:p>
            <w:pPr>
              <w:keepLines/>
              <w:spacing w:after="0" w:line="252" w:lineRule="auto"/>
            </w:pPr>
            <w:r>
              <w:rPr>
                <w:rFonts w:ascii="Calibri" w:hAnsi="Calibri" w:eastAsia="Microsoft YaHei"/>
                <w:color w:val="0B2545"/>
                <w:sz w:val="14"/>
              </w:rPr>
              <w:t>ITER cooling-water plant</w:t>
            </w:r>
          </w:p>
        </w:tc>
      </w:tr>
      <w:tr>
        <w:trPr>
          <w:cantSplit/>
        </w:trPr>
        <w:tc>
          <w:tcPr>
            <w:tcW w:type="dxa" w:w="1000"/>
            <w:tcMar>
              <w:top w:w="45" w:type="dxa"/>
              <w:bottom w:w="45" w:type="dxa"/>
              <w:start w:w="100" w:type="dxa"/>
              <w:end w:w="100" w:type="dxa"/>
            </w:tcMar>
          </w:tcPr>
          <w:p>
            <w:pPr>
              <w:keepLines/>
              <w:spacing w:after="0" w:line="252" w:lineRule="auto"/>
            </w:pPr>
            <w:r>
              <w:rPr>
                <w:rFonts w:ascii="Calibri" w:hAnsi="Calibri" w:eastAsia="Microsoft YaHei"/>
                <w:color w:val="0B2545"/>
                <w:sz w:val="14"/>
              </w:rPr>
              <w:t>PDT-017</w:t>
            </w:r>
          </w:p>
        </w:tc>
        <w:tc>
          <w:tcPr>
            <w:tcW w:type="dxa" w:w="900"/>
            <w:tcMar>
              <w:top w:w="45" w:type="dxa"/>
              <w:bottom w:w="45" w:type="dxa"/>
              <w:start w:w="100" w:type="dxa"/>
              <w:end w:w="100" w:type="dxa"/>
            </w:tcMar>
          </w:tcPr>
          <w:p>
            <w:pPr>
              <w:keepLines/>
              <w:spacing w:after="0" w:line="252" w:lineRule="auto"/>
            </w:pPr>
            <w:r>
              <w:rPr>
                <w:rFonts w:ascii="Calibri" w:hAnsi="Calibri" w:eastAsia="Microsoft YaHei"/>
                <w:color w:val="0B2545"/>
                <w:sz w:val="14"/>
              </w:rPr>
              <w:t>DG8</w:t>
            </w:r>
          </w:p>
        </w:tc>
        <w:tc>
          <w:tcPr>
            <w:tcW w:type="dxa" w:w="3760"/>
            <w:tcMar>
              <w:top w:w="45" w:type="dxa"/>
              <w:bottom w:w="45" w:type="dxa"/>
              <w:start w:w="100" w:type="dxa"/>
              <w:end w:w="100" w:type="dxa"/>
            </w:tcMar>
          </w:tcPr>
          <w:p>
            <w:pPr>
              <w:keepLines/>
              <w:spacing w:after="0" w:line="252" w:lineRule="auto"/>
            </w:pPr>
            <w:r>
              <w:rPr>
                <w:rFonts w:ascii="Calibri" w:hAnsi="Calibri" w:eastAsia="Microsoft YaHei"/>
                <w:color w:val="0B2545"/>
                <w:sz w:val="14"/>
              </w:rPr>
              <w:t>EU-DEMO 能量转换与 BOP 状态监测的公开证据缺口</w:t>
            </w:r>
          </w:p>
        </w:tc>
        <w:tc>
          <w:tcPr>
            <w:tcW w:type="dxa" w:w="800"/>
            <w:tcMar>
              <w:top w:w="45" w:type="dxa"/>
              <w:bottom w:w="45" w:type="dxa"/>
              <w:start w:w="100" w:type="dxa"/>
              <w:end w:w="100" w:type="dxa"/>
            </w:tcMar>
          </w:tcPr>
          <w:p>
            <w:pPr>
              <w:keepLines/>
              <w:spacing w:after="0" w:line="252" w:lineRule="auto"/>
            </w:pPr>
            <w:r>
              <w:rPr>
                <w:rFonts w:ascii="Calibri" w:hAnsi="Calibri" w:eastAsia="Microsoft YaHei"/>
                <w:color w:val="0B2545"/>
                <w:sz w:val="14"/>
              </w:rPr>
              <w:t>E0</w:t>
            </w:r>
          </w:p>
        </w:tc>
        <w:tc>
          <w:tcPr>
            <w:tcW w:type="dxa" w:w="2900"/>
            <w:tcMar>
              <w:top w:w="45" w:type="dxa"/>
              <w:bottom w:w="45" w:type="dxa"/>
              <w:start w:w="100" w:type="dxa"/>
              <w:end w:w="100" w:type="dxa"/>
            </w:tcMar>
          </w:tcPr>
          <w:p>
            <w:pPr>
              <w:keepLines/>
              <w:spacing w:after="0" w:line="252" w:lineRule="auto"/>
            </w:pPr>
            <w:r>
              <w:rPr>
                <w:rFonts w:ascii="Calibri" w:hAnsi="Calibri" w:eastAsia="Microsoft YaHei"/>
                <w:color w:val="0B2545"/>
                <w:sz w:val="14"/>
              </w:rPr>
              <w:t>EU-DEMO conceptual BOP; no fusion-plant deployment</w:t>
            </w:r>
          </w:p>
        </w:tc>
      </w:tr>
      <w:tr>
        <w:trPr>
          <w:cantSplit/>
        </w:trPr>
        <w:tc>
          <w:tcPr>
            <w:tcW w:type="dxa" w:w="1000"/>
            <w:tcMar>
              <w:top w:w="45" w:type="dxa"/>
              <w:bottom w:w="45" w:type="dxa"/>
              <w:start w:w="100" w:type="dxa"/>
              <w:end w:w="100" w:type="dxa"/>
            </w:tcMar>
          </w:tcPr>
          <w:p>
            <w:pPr>
              <w:keepLines/>
              <w:spacing w:after="0" w:line="252" w:lineRule="auto"/>
            </w:pPr>
            <w:r>
              <w:rPr>
                <w:rFonts w:ascii="Calibri" w:hAnsi="Calibri" w:eastAsia="Microsoft YaHei"/>
                <w:color w:val="0B2545"/>
                <w:sz w:val="14"/>
              </w:rPr>
              <w:t>PDT-018</w:t>
            </w:r>
          </w:p>
        </w:tc>
        <w:tc>
          <w:tcPr>
            <w:tcW w:type="dxa" w:w="900"/>
            <w:tcMar>
              <w:top w:w="45" w:type="dxa"/>
              <w:bottom w:w="45" w:type="dxa"/>
              <w:start w:w="100" w:type="dxa"/>
              <w:end w:w="100" w:type="dxa"/>
            </w:tcMar>
          </w:tcPr>
          <w:p>
            <w:pPr>
              <w:keepLines/>
              <w:spacing w:after="0" w:line="252" w:lineRule="auto"/>
            </w:pPr>
            <w:r>
              <w:rPr>
                <w:rFonts w:ascii="Calibri" w:hAnsi="Calibri" w:eastAsia="Microsoft YaHei"/>
                <w:color w:val="0B2545"/>
                <w:sz w:val="14"/>
              </w:rPr>
              <w:t>DG8</w:t>
            </w:r>
          </w:p>
        </w:tc>
        <w:tc>
          <w:tcPr>
            <w:tcW w:type="dxa" w:w="3760"/>
            <w:tcMar>
              <w:top w:w="45" w:type="dxa"/>
              <w:bottom w:w="45" w:type="dxa"/>
              <w:start w:w="100" w:type="dxa"/>
              <w:end w:w="100" w:type="dxa"/>
            </w:tcMar>
          </w:tcPr>
          <w:p>
            <w:pPr>
              <w:keepLines/>
              <w:spacing w:after="0" w:line="252" w:lineRule="auto"/>
            </w:pPr>
            <w:r>
              <w:rPr>
                <w:rFonts w:ascii="Calibri" w:hAnsi="Calibri" w:eastAsia="Microsoft YaHei"/>
                <w:color w:val="0B2545"/>
                <w:sz w:val="14"/>
              </w:rPr>
              <w:t>W7-X 超导线圈独立保护与设备状态链</w:t>
            </w:r>
          </w:p>
        </w:tc>
        <w:tc>
          <w:tcPr>
            <w:tcW w:type="dxa" w:w="800"/>
            <w:tcMar>
              <w:top w:w="45" w:type="dxa"/>
              <w:bottom w:w="45" w:type="dxa"/>
              <w:start w:w="100" w:type="dxa"/>
              <w:end w:w="100" w:type="dxa"/>
            </w:tcMar>
          </w:tcPr>
          <w:p>
            <w:pPr>
              <w:keepLines/>
              <w:spacing w:after="0" w:line="252" w:lineRule="auto"/>
            </w:pPr>
            <w:r>
              <w:rPr>
                <w:rFonts w:ascii="Calibri" w:hAnsi="Calibri" w:eastAsia="Microsoft YaHei"/>
                <w:color w:val="0B2545"/>
                <w:sz w:val="14"/>
              </w:rPr>
              <w:t>E3</w:t>
            </w:r>
          </w:p>
        </w:tc>
        <w:tc>
          <w:tcPr>
            <w:tcW w:type="dxa" w:w="2900"/>
            <w:tcMar>
              <w:top w:w="45" w:type="dxa"/>
              <w:bottom w:w="45" w:type="dxa"/>
              <w:start w:w="100" w:type="dxa"/>
              <w:end w:w="100" w:type="dxa"/>
            </w:tcMar>
          </w:tcPr>
          <w:p>
            <w:pPr>
              <w:keepLines/>
              <w:spacing w:after="0" w:line="252" w:lineRule="auto"/>
            </w:pPr>
            <w:r>
              <w:rPr>
                <w:rFonts w:ascii="Calibri" w:hAnsi="Calibri" w:eastAsia="Microsoft YaHei"/>
                <w:color w:val="0B2545"/>
                <w:sz w:val="14"/>
              </w:rPr>
              <w:t>Wendelstein 7-X</w:t>
            </w:r>
          </w:p>
        </w:tc>
      </w:tr>
      <w:tr>
        <w:trPr>
          <w:cantSplit/>
        </w:trPr>
        <w:tc>
          <w:tcPr>
            <w:tcW w:type="dxa" w:w="1000"/>
            <w:tcMar>
              <w:top w:w="45" w:type="dxa"/>
              <w:bottom w:w="45" w:type="dxa"/>
              <w:start w:w="100" w:type="dxa"/>
              <w:end w:w="100" w:type="dxa"/>
            </w:tcMar>
          </w:tcPr>
          <w:p>
            <w:pPr>
              <w:keepLines/>
              <w:spacing w:after="0" w:line="252" w:lineRule="auto"/>
            </w:pPr>
            <w:r>
              <w:rPr>
                <w:rFonts w:ascii="Calibri" w:hAnsi="Calibri" w:eastAsia="Microsoft YaHei"/>
                <w:color w:val="0B2545"/>
                <w:sz w:val="14"/>
              </w:rPr>
              <w:t>PDT-019</w:t>
            </w:r>
          </w:p>
        </w:tc>
        <w:tc>
          <w:tcPr>
            <w:tcW w:type="dxa" w:w="900"/>
            <w:tcMar>
              <w:top w:w="45" w:type="dxa"/>
              <w:bottom w:w="45" w:type="dxa"/>
              <w:start w:w="100" w:type="dxa"/>
              <w:end w:w="100" w:type="dxa"/>
            </w:tcMar>
          </w:tcPr>
          <w:p>
            <w:pPr>
              <w:keepLines/>
              <w:spacing w:after="0" w:line="252" w:lineRule="auto"/>
            </w:pPr>
            <w:r>
              <w:rPr>
                <w:rFonts w:ascii="Calibri" w:hAnsi="Calibri" w:eastAsia="Microsoft YaHei"/>
                <w:color w:val="0B2545"/>
                <w:sz w:val="14"/>
              </w:rPr>
              <w:t>DG8</w:t>
            </w:r>
          </w:p>
        </w:tc>
        <w:tc>
          <w:tcPr>
            <w:tcW w:type="dxa" w:w="3760"/>
            <w:tcMar>
              <w:top w:w="45" w:type="dxa"/>
              <w:bottom w:w="45" w:type="dxa"/>
              <w:start w:w="100" w:type="dxa"/>
              <w:end w:w="100" w:type="dxa"/>
            </w:tcMar>
          </w:tcPr>
          <w:p>
            <w:pPr>
              <w:keepLines/>
              <w:spacing w:after="0" w:line="252" w:lineRule="auto"/>
            </w:pPr>
            <w:r>
              <w:rPr>
                <w:rFonts w:ascii="Calibri" w:hAnsi="Calibri" w:eastAsia="Microsoft YaHei"/>
                <w:color w:val="0B2545"/>
                <w:sz w:val="14"/>
              </w:rPr>
              <w:t>NSTX-U 物理诊断与工程 EPICS 数据的统一可追溯归档</w:t>
            </w:r>
          </w:p>
        </w:tc>
        <w:tc>
          <w:tcPr>
            <w:tcW w:type="dxa" w:w="800"/>
            <w:tcMar>
              <w:top w:w="45" w:type="dxa"/>
              <w:bottom w:w="45" w:type="dxa"/>
              <w:start w:w="100" w:type="dxa"/>
              <w:end w:w="100" w:type="dxa"/>
            </w:tcMar>
          </w:tcPr>
          <w:p>
            <w:pPr>
              <w:keepLines/>
              <w:spacing w:after="0" w:line="252" w:lineRule="auto"/>
            </w:pPr>
            <w:r>
              <w:rPr>
                <w:rFonts w:ascii="Calibri" w:hAnsi="Calibri" w:eastAsia="Microsoft YaHei"/>
                <w:color w:val="0B2545"/>
                <w:sz w:val="14"/>
              </w:rPr>
              <w:t>E2</w:t>
            </w:r>
          </w:p>
        </w:tc>
        <w:tc>
          <w:tcPr>
            <w:tcW w:type="dxa" w:w="2900"/>
            <w:tcMar>
              <w:top w:w="45" w:type="dxa"/>
              <w:bottom w:w="45" w:type="dxa"/>
              <w:start w:w="100" w:type="dxa"/>
              <w:end w:w="100" w:type="dxa"/>
            </w:tcMar>
          </w:tcPr>
          <w:p>
            <w:pPr>
              <w:keepLines/>
              <w:spacing w:after="0" w:line="252" w:lineRule="auto"/>
            </w:pPr>
            <w:r>
              <w:rPr>
                <w:rFonts w:ascii="Calibri" w:hAnsi="Calibri" w:eastAsia="Microsoft YaHei"/>
                <w:color w:val="0B2545"/>
                <w:sz w:val="14"/>
              </w:rPr>
              <w:t>NSTX-U</w:t>
            </w:r>
          </w:p>
        </w:tc>
      </w:tr>
      <w:tr>
        <w:trPr>
          <w:cantSplit/>
        </w:trPr>
        <w:tc>
          <w:tcPr>
            <w:tcW w:type="dxa" w:w="1000"/>
            <w:tcMar>
              <w:top w:w="45" w:type="dxa"/>
              <w:bottom w:w="45" w:type="dxa"/>
              <w:start w:w="100" w:type="dxa"/>
              <w:end w:w="100" w:type="dxa"/>
            </w:tcMar>
          </w:tcPr>
          <w:p>
            <w:pPr>
              <w:keepLines/>
              <w:spacing w:after="0" w:line="252" w:lineRule="auto"/>
            </w:pPr>
            <w:r>
              <w:rPr>
                <w:rFonts w:ascii="Calibri" w:hAnsi="Calibri" w:eastAsia="Microsoft YaHei"/>
                <w:color w:val="0B2545"/>
                <w:sz w:val="14"/>
              </w:rPr>
              <w:t>PDT-020</w:t>
            </w:r>
          </w:p>
        </w:tc>
        <w:tc>
          <w:tcPr>
            <w:tcW w:type="dxa" w:w="900"/>
            <w:tcMar>
              <w:top w:w="45" w:type="dxa"/>
              <w:bottom w:w="45" w:type="dxa"/>
              <w:start w:w="100" w:type="dxa"/>
              <w:end w:w="100" w:type="dxa"/>
            </w:tcMar>
          </w:tcPr>
          <w:p>
            <w:pPr>
              <w:keepLines/>
              <w:spacing w:after="0" w:line="252" w:lineRule="auto"/>
            </w:pPr>
            <w:r>
              <w:rPr>
                <w:rFonts w:ascii="Calibri" w:hAnsi="Calibri" w:eastAsia="Microsoft YaHei"/>
                <w:color w:val="0B2545"/>
                <w:sz w:val="14"/>
              </w:rPr>
              <w:t>DG8</w:t>
            </w:r>
          </w:p>
        </w:tc>
        <w:tc>
          <w:tcPr>
            <w:tcW w:type="dxa" w:w="3760"/>
            <w:tcMar>
              <w:top w:w="45" w:type="dxa"/>
              <w:bottom w:w="45" w:type="dxa"/>
              <w:start w:w="100" w:type="dxa"/>
              <w:end w:w="100" w:type="dxa"/>
            </w:tcMar>
          </w:tcPr>
          <w:p>
            <w:pPr>
              <w:keepLines/>
              <w:spacing w:after="0" w:line="252" w:lineRule="auto"/>
            </w:pPr>
            <w:r>
              <w:rPr>
                <w:rFonts w:ascii="Calibri" w:hAnsi="Calibri" w:eastAsia="Microsoft YaHei"/>
                <w:color w:val="0B2545"/>
                <w:sz w:val="14"/>
              </w:rPr>
              <w:t>SPARC 诊断电子学与部件的强场、辐照、热、真空环境资格</w:t>
            </w:r>
          </w:p>
        </w:tc>
        <w:tc>
          <w:tcPr>
            <w:tcW w:type="dxa" w:w="800"/>
            <w:tcMar>
              <w:top w:w="45" w:type="dxa"/>
              <w:bottom w:w="45" w:type="dxa"/>
              <w:start w:w="100" w:type="dxa"/>
              <w:end w:w="100" w:type="dxa"/>
            </w:tcMar>
          </w:tcPr>
          <w:p>
            <w:pPr>
              <w:keepLines/>
              <w:spacing w:after="0" w:line="252" w:lineRule="auto"/>
            </w:pPr>
            <w:r>
              <w:rPr>
                <w:rFonts w:ascii="Calibri" w:hAnsi="Calibri" w:eastAsia="Microsoft YaHei"/>
                <w:color w:val="0B2545"/>
                <w:sz w:val="14"/>
              </w:rPr>
              <w:t>E2</w:t>
            </w:r>
          </w:p>
        </w:tc>
        <w:tc>
          <w:tcPr>
            <w:tcW w:type="dxa" w:w="2900"/>
            <w:tcMar>
              <w:top w:w="45" w:type="dxa"/>
              <w:bottom w:w="45" w:type="dxa"/>
              <w:start w:w="100" w:type="dxa"/>
              <w:end w:w="100" w:type="dxa"/>
            </w:tcMar>
          </w:tcPr>
          <w:p>
            <w:pPr>
              <w:keepLines/>
              <w:spacing w:after="0" w:line="252" w:lineRule="auto"/>
            </w:pPr>
            <w:r>
              <w:rPr>
                <w:rFonts w:ascii="Calibri" w:hAnsi="Calibri" w:eastAsia="Microsoft YaHei"/>
                <w:color w:val="0B2545"/>
                <w:sz w:val="14"/>
              </w:rPr>
              <w:t>SPARC diagnostic prototypes</w:t>
            </w:r>
          </w:p>
        </w:tc>
      </w:tr>
    </w:tbl>
    <w:p>
      <w:pPr>
        <w:keepNext/>
        <w:pageBreakBefore/>
        <w:spacing w:before="0" w:after="100"/>
      </w:pPr>
      <w:r>
        <w:rPr>
          <w:rFonts w:ascii="Calibri" w:hAnsi="Calibri" w:eastAsia="Microsoft YaHei"/>
          <w:b/>
          <w:caps/>
          <w:color w:val="008C95"/>
          <w:sz w:val="17"/>
        </w:rPr>
        <w:t>06 / DG1 / MAGNETIC EQUILIBRIUM, CURRENT &amp; CONFIGURATION</w:t>
      </w:r>
    </w:p>
    <w:p>
      <w:pPr>
        <w:pStyle w:val="Heading1"/>
      </w:pPr>
      <w:r>
        <w:t>磁平衡、电流与位形</w:t>
      </w:r>
    </w:p>
    <w:tbl>
      <w:tblPr>
        <w:tblStyle w:val="TableGrid"/>
        <w:tblW w:type="dxa" w:w="9360"/>
        <w:jc w:val="left"/>
        <w:tblLayout w:type="fixed"/>
        <w:tblLook w:firstColumn="1" w:firstRow="1" w:lastColumn="0" w:lastRow="0" w:noHBand="0" w:noVBand="1" w:val="04A0"/>
        <w:tblInd w:w="120" w:type="dxa"/>
      </w:tblPr>
      <w:tblGrid>
        <w:gridCol w:w="9360"/>
      </w:tblGrid>
      <w:tr>
        <w:trPr>
          <w:cantSplit/>
        </w:trPr>
        <w:tc>
          <w:tcPr>
            <w:tcW w:type="dxa" w:w="9360"/>
            <w:tcMar>
              <w:top w:w="80" w:type="dxa"/>
              <w:bottom w:w="80" w:type="dxa"/>
              <w:start w:w="120" w:type="dxa"/>
              <w:end w:w="120" w:type="dxa"/>
            </w:tcMar>
            <w:vAlign w:val="center"/>
            <w:shd w:fill="F2F4F7"/>
          </w:tcPr>
          <w:p>
            <w:pPr>
              <w:keepNext/>
              <w:keepLines/>
              <w:spacing w:after="40"/>
            </w:pPr>
            <w:r>
              <w:rPr>
                <w:rFonts w:ascii="Calibri" w:hAnsi="Calibri" w:eastAsia="Microsoft YaHei"/>
                <w:b/>
                <w:color w:val="008C95"/>
                <w:sz w:val="17"/>
              </w:rPr>
              <w:t>CHAPTER SCOPE</w:t>
            </w:r>
          </w:p>
          <w:p>
            <w:pPr>
              <w:spacing w:after="0"/>
            </w:pPr>
            <w:r>
              <w:rPr>
                <w:rFonts w:ascii="Calibri" w:hAnsi="Calibri" w:eastAsia="Microsoft YaHei"/>
                <w:color w:val="0B2545"/>
                <w:sz w:val="20"/>
              </w:rPr>
              <w:t>本章全文展开 5 项主工作，并列出 14 项跨域关联工作。关联工作只在其主任务章节全文展开，避免重复计数。</w:t>
            </w:r>
          </w:p>
        </w:tc>
      </w:tr>
    </w:tbl>
    <w:p>
      <w:pPr>
        <w:spacing w:after="40"/>
      </w:pPr>
    </w:p>
    <w:p>
      <w:pPr>
        <w:pStyle w:val="Heading3"/>
        <w:keepNext/>
      </w:pPr>
      <w:r>
        <w:t>DG1.01  感应式磁测量：磁通环、拾取线圈与罗戈夫斯基线圈</w:t>
      </w:r>
    </w:p>
    <w:p>
      <w:pPr>
        <w:keepNext/>
        <w:spacing w:after="80"/>
      </w:pPr>
      <w:r>
        <w:rPr>
          <w:rFonts w:ascii="Calibri" w:hAnsi="Calibri" w:eastAsia="Microsoft YaHei"/>
          <w:i/>
          <w:color w:val="566573"/>
          <w:sz w:val="18"/>
        </w:rPr>
        <w:t>Inductive magnetics: flux loops, pickup coils and Rogowski coils</w:t>
      </w:r>
    </w:p>
    <w:tbl>
      <w:tblPr>
        <w:tblStyle w:val="TableGrid"/>
        <w:tblW w:type="dxa" w:w="9360"/>
        <w:jc w:val="left"/>
        <w:tblLayout w:type="fixed"/>
        <w:tblLook w:firstColumn="1" w:firstRow="1" w:lastColumn="0" w:lastRow="0" w:noHBand="0" w:noVBand="1" w:val="04A0"/>
        <w:tblInd w:w="120" w:type="dxa"/>
      </w:tblPr>
      <w:tblGrid>
        <w:gridCol w:w="1200"/>
        <w:gridCol w:w="750"/>
        <w:gridCol w:w="750"/>
        <w:gridCol w:w="2100"/>
        <w:gridCol w:w="4560"/>
      </w:tblGrid>
      <w:tr>
        <w:trPr>
          <w:tblHeader w:val="true"/>
        </w:trPr>
        <w:tc>
          <w:tcPr>
            <w:tcW w:type="dxa" w:w="12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工作 ID</w:t>
            </w:r>
          </w:p>
        </w:tc>
        <w:tc>
          <w:tcPr>
            <w:tcW w:type="dxa" w:w="7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证据</w:t>
            </w:r>
          </w:p>
        </w:tc>
        <w:tc>
          <w:tcPr>
            <w:tcW w:type="dxa" w:w="7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部署</w:t>
            </w:r>
          </w:p>
        </w:tc>
        <w:tc>
          <w:tcPr>
            <w:tcW w:type="dxa" w:w="21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技术族</w:t>
            </w:r>
          </w:p>
        </w:tc>
        <w:tc>
          <w:tcPr>
            <w:tcW w:type="dxa" w:w="456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装置</w:t>
            </w:r>
          </w:p>
        </w:tc>
      </w:tr>
      <w:tr>
        <w:trPr>
          <w:cantSplit/>
        </w:trPr>
        <w:tc>
          <w:tcPr>
            <w:tcW w:type="dxa" w:w="1200"/>
          </w:tcPr>
          <w:p>
            <w:pPr>
              <w:keepLines/>
              <w:spacing w:after="0" w:line="276" w:lineRule="auto"/>
            </w:pPr>
            <w:r>
              <w:rPr>
                <w:rFonts w:ascii="Calibri" w:hAnsi="Calibri" w:eastAsia="Microsoft YaHei"/>
                <w:color w:val="0B2545"/>
                <w:sz w:val="15"/>
              </w:rPr>
              <w:t>DG1-001</w:t>
            </w:r>
          </w:p>
        </w:tc>
        <w:tc>
          <w:tcPr>
            <w:tcW w:type="dxa" w:w="750"/>
          </w:tcPr>
          <w:p>
            <w:pPr>
              <w:keepLines/>
              <w:spacing w:after="0" w:line="276" w:lineRule="auto"/>
            </w:pPr>
            <w:r>
              <w:rPr>
                <w:rFonts w:ascii="Calibri" w:hAnsi="Calibri" w:eastAsia="Microsoft YaHei"/>
                <w:color w:val="0B2545"/>
                <w:sz w:val="15"/>
              </w:rPr>
              <w:t>E1</w:t>
            </w:r>
          </w:p>
        </w:tc>
        <w:tc>
          <w:tcPr>
            <w:tcW w:type="dxa" w:w="750"/>
          </w:tcPr>
          <w:p>
            <w:pPr>
              <w:keepLines/>
              <w:spacing w:after="0" w:line="276" w:lineRule="auto"/>
            </w:pPr>
            <w:r>
              <w:rPr>
                <w:rFonts w:ascii="Calibri" w:hAnsi="Calibri" w:eastAsia="Microsoft YaHei"/>
                <w:color w:val="0B2545"/>
                <w:sz w:val="15"/>
              </w:rPr>
              <w:t>D2</w:t>
            </w:r>
          </w:p>
        </w:tc>
        <w:tc>
          <w:tcPr>
            <w:tcW w:type="dxa" w:w="2100"/>
          </w:tcPr>
          <w:p>
            <w:pPr>
              <w:keepLines/>
              <w:spacing w:after="0" w:line="276" w:lineRule="auto"/>
            </w:pPr>
            <w:r>
              <w:rPr>
                <w:rFonts w:ascii="Calibri" w:hAnsi="Calibri" w:eastAsia="Microsoft YaHei"/>
                <w:color w:val="0B2545"/>
                <w:sz w:val="15"/>
              </w:rPr>
              <w:t>MAGNETIC</w:t>
            </w:r>
          </w:p>
        </w:tc>
        <w:tc>
          <w:tcPr>
            <w:tcW w:type="dxa" w:w="4560"/>
          </w:tcPr>
          <w:p>
            <w:pPr>
              <w:keepLines/>
              <w:spacing w:after="0" w:line="276" w:lineRule="auto"/>
            </w:pPr>
            <w:r>
              <w:rPr>
                <w:rFonts w:ascii="Calibri" w:hAnsi="Calibri" w:eastAsia="Microsoft YaHei"/>
                <w:color w:val="0B2545"/>
                <w:sz w:val="15"/>
              </w:rPr>
              <w:t>ITER；DIII-D；EAST；JET</w:t>
            </w:r>
          </w:p>
        </w:tc>
      </w:tr>
    </w:tbl>
    <w:p>
      <w:pPr>
        <w:spacing w:before="0" w:after="60"/>
      </w:pPr>
    </w:p>
    <w:p>
      <w:pPr>
        <w:widowControl/>
      </w:pPr>
      <w:r>
        <w:rPr>
          <w:rFonts w:ascii="Calibri" w:hAnsi="Calibri" w:eastAsia="Microsoft YaHei"/>
          <w:b/>
          <w:color w:val="1F4D78"/>
        </w:rPr>
        <w:t>解决问题：</w:t>
      </w:r>
      <w:r>
        <w:rPr>
          <w:rFonts w:ascii="Calibri" w:hAnsi="Calibri" w:eastAsia="Microsoft YaHei"/>
        </w:rPr>
        <w:t>为等离子体电流、位形控制和平衡反演提供高带宽外部磁约束。</w:t>
      </w:r>
    </w:p>
    <w:p>
      <w:pPr>
        <w:widowControl/>
      </w:pPr>
      <w:r>
        <w:rPr>
          <w:rFonts w:ascii="Calibri" w:hAnsi="Calibri" w:eastAsia="Microsoft YaHei"/>
          <w:b/>
          <w:color w:val="1F4D78"/>
        </w:rPr>
        <w:t>测量原理：</w:t>
      </w:r>
      <w:r>
        <w:rPr>
          <w:rFonts w:ascii="Calibri" w:hAnsi="Calibri" w:eastAsia="Microsoft YaHei"/>
        </w:rPr>
        <w:t>法拉第感应电压经时间积分得到局部磁场或环向磁通；环绕电流的罗戈夫斯基线圈给出总电流。</w:t>
      </w:r>
    </w:p>
    <w:p>
      <w:pPr>
        <w:widowControl/>
      </w:pPr>
      <w:r>
        <w:rPr>
          <w:rFonts w:ascii="Calibri" w:hAnsi="Calibri" w:eastAsia="Microsoft YaHei"/>
          <w:b/>
          <w:color w:val="1F4D78"/>
        </w:rPr>
        <w:t>测量产品：</w:t>
      </w:r>
      <w:r>
        <w:rPr>
          <w:rFonts w:ascii="Calibri" w:hAnsi="Calibri" w:eastAsia="Microsoft YaHei"/>
        </w:rPr>
        <w:t>B_R；B_Z；poloidal flux；plasma current；loop voltage</w:t>
      </w:r>
    </w:p>
    <w:p>
      <w:pPr>
        <w:widowControl/>
      </w:pPr>
      <w:r>
        <w:rPr>
          <w:rFonts w:ascii="Calibri" w:hAnsi="Calibri" w:eastAsia="Microsoft YaHei"/>
          <w:b/>
          <w:color w:val="1F4D78"/>
        </w:rPr>
        <w:t>时空分辨与覆盖：</w:t>
      </w:r>
      <w:r>
        <w:rPr>
          <w:rFonts w:ascii="Calibri" w:hAnsi="Calibri" w:eastAsia="Microsoft YaHei"/>
        </w:rPr>
        <w:t>时间：因装置、采集和分析链而异；原始来源未给出统一数值。；空间：由视线、几何和反演设定；原始来源未给出统一数值。</w:t>
      </w:r>
    </w:p>
    <w:p>
      <w:pPr>
        <w:widowControl/>
      </w:pPr>
      <w:r>
        <w:rPr>
          <w:rFonts w:ascii="Calibri" w:hAnsi="Calibri" w:eastAsia="Microsoft YaHei"/>
          <w:b/>
          <w:color w:val="1F4D78"/>
        </w:rPr>
        <w:t>仪器与传感器：</w:t>
      </w:r>
      <w:r>
        <w:rPr>
          <w:rFonts w:ascii="Calibri" w:hAnsi="Calibri" w:eastAsia="Microsoft YaHei"/>
        </w:rPr>
        <w:t>mineral-insulated pickup coils；flux loops；Rogowski coils；integrators；radiation-hard cables</w:t>
      </w:r>
    </w:p>
    <w:p>
      <w:pPr>
        <w:widowControl/>
      </w:pPr>
      <w:r>
        <w:rPr>
          <w:rFonts w:ascii="Calibri" w:hAnsi="Calibri" w:eastAsia="Microsoft YaHei"/>
          <w:b/>
          <w:color w:val="1F4D78"/>
        </w:rPr>
        <w:t>标定与质量：</w:t>
      </w:r>
      <w:r>
        <w:rPr>
          <w:rFonts w:ascii="Calibri" w:hAnsi="Calibri" w:eastAsia="Microsoft YaHei"/>
        </w:rPr>
        <w:t>以几何测量、已知PF线圈电流和真空脉冲标定互感矩阵；逐炮检查零点、漂移和坏道。</w:t>
      </w:r>
    </w:p>
    <w:p>
      <w:pPr>
        <w:widowControl/>
      </w:pPr>
      <w:r>
        <w:rPr>
          <w:rFonts w:ascii="Calibri" w:hAnsi="Calibri" w:eastAsia="Microsoft YaHei"/>
          <w:b/>
          <w:color w:val="1F4D78"/>
        </w:rPr>
        <w:t>反演与分析：</w:t>
      </w:r>
      <w:r>
        <w:rPr>
          <w:rFonts w:ascii="Calibri" w:hAnsi="Calibri" w:eastAsia="Microsoft YaHei"/>
        </w:rPr>
        <w:t>去偏置并积分，补偿被动结构涡流后进入EFIT类反演；残差和冗余总电流通道用于质量控制。</w:t>
      </w:r>
    </w:p>
    <w:p>
      <w:pPr>
        <w:widowControl/>
      </w:pPr>
      <w:r>
        <w:rPr>
          <w:rFonts w:ascii="Calibri" w:hAnsi="Calibri" w:eastAsia="Microsoft YaHei"/>
          <w:b/>
          <w:color w:val="1F4D78"/>
        </w:rPr>
        <w:t>验证与应用：</w:t>
      </w:r>
      <w:r>
        <w:rPr>
          <w:rFonts w:ascii="Calibri" w:hAnsi="Calibri" w:eastAsia="Microsoft YaHei"/>
        </w:rPr>
        <w:t>本条直接来源覆盖 ITER 堆外磁诊断的设计、制造约束和预期平衡重建性能；通用现役装置做法未在本记录中以独立运行论文证明。</w:t>
      </w:r>
    </w:p>
    <w:p>
      <w:pPr>
        <w:widowControl/>
      </w:pPr>
      <w:r>
        <w:rPr>
          <w:rFonts w:ascii="Calibri" w:hAnsi="Calibri" w:eastAsia="Microsoft YaHei"/>
          <w:b/>
          <w:color w:val="1F4D78"/>
        </w:rPr>
        <w:t>局限与边界：</w:t>
      </w:r>
      <w:r>
        <w:rPr>
          <w:rFonts w:ascii="Calibri" w:hAnsi="Calibri" w:eastAsia="Microsoft YaHei"/>
        </w:rPr>
        <w:t>感应线圈没有真正直流响应；积分漂移、涡流模型、辐照和不可维修性限制长期精度。</w:t>
      </w:r>
    </w:p>
    <w:tbl>
      <w:tblPr>
        <w:tblStyle w:val="TableGrid"/>
        <w:tblW w:type="dxa" w:w="9360"/>
        <w:jc w:val="left"/>
        <w:tblLayout w:type="fixed"/>
        <w:tblLook w:firstColumn="1" w:firstRow="1" w:lastColumn="0" w:lastRow="0" w:noHBand="0" w:noVBand="1" w:val="04A0"/>
        <w:tblInd w:w="120" w:type="dxa"/>
      </w:tblPr>
      <w:tblGrid>
        <w:gridCol w:w="9360"/>
      </w:tblGrid>
      <w:tr>
        <w:trPr>
          <w:cantSplit/>
        </w:trPr>
        <w:tc>
          <w:tcPr>
            <w:tcW w:type="dxa" w:w="9360"/>
            <w:tcMar>
              <w:top w:w="80" w:type="dxa"/>
              <w:bottom w:w="80" w:type="dxa"/>
              <w:start w:w="120" w:type="dxa"/>
              <w:end w:w="120" w:type="dxa"/>
            </w:tcMar>
            <w:vAlign w:val="center"/>
            <w:shd w:fill="EEF7F7"/>
          </w:tcPr>
          <w:p>
            <w:pPr>
              <w:keepNext/>
              <w:keepLines/>
              <w:spacing w:after="40"/>
            </w:pPr>
            <w:r>
              <w:rPr>
                <w:rFonts w:ascii="Calibri" w:hAnsi="Calibri" w:eastAsia="Microsoft YaHei"/>
                <w:b/>
                <w:color w:val="008C95"/>
                <w:sz w:val="17"/>
              </w:rPr>
              <w:t>DIGITAL-TWIN RELEVANCE</w:t>
            </w:r>
          </w:p>
          <w:p>
            <w:pPr>
              <w:spacing w:after="0"/>
            </w:pPr>
            <w:r>
              <w:rPr>
                <w:rFonts w:ascii="Calibri" w:hAnsi="Calibri" w:eastAsia="Microsoft YaHei"/>
                <w:color w:val="0B2545"/>
                <w:sz w:val="20"/>
              </w:rPr>
              <w:t>位形孪生的基础观测层；必须版本化几何、互感矩阵、积分器状态、时间同步和通道健康。</w:t>
            </w:r>
          </w:p>
        </w:tc>
      </w:tr>
    </w:tbl>
    <w:p>
      <w:pPr>
        <w:spacing w:after="40"/>
      </w:pPr>
    </w:p>
    <w:tbl>
      <w:tblPr>
        <w:tblStyle w:val="TableGrid"/>
        <w:tblW w:type="dxa" w:w="9360"/>
        <w:jc w:val="left"/>
        <w:tblLayout w:type="fixed"/>
        <w:tblLook w:firstColumn="1" w:firstRow="1" w:lastColumn="0" w:lastRow="0" w:noHBand="0" w:noVBand="1" w:val="04A0"/>
        <w:tblInd w:w="120" w:type="dxa"/>
      </w:tblPr>
      <w:tblGrid>
        <w:gridCol w:w="850"/>
        <w:gridCol w:w="2500"/>
        <w:gridCol w:w="1600"/>
        <w:gridCol w:w="2300"/>
        <w:gridCol w:w="2110"/>
      </w:tblGrid>
      <w:tr>
        <w:trPr>
          <w:tblHeader w:val="true"/>
        </w:trPr>
        <w:tc>
          <w:tcPr>
            <w:tcW w:type="dxa" w:w="8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年份/类型</w:t>
            </w:r>
          </w:p>
        </w:tc>
        <w:tc>
          <w:tcPr>
            <w:tcW w:type="dxa" w:w="25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论文或软件</w:t>
            </w:r>
          </w:p>
        </w:tc>
        <w:tc>
          <w:tcPr>
            <w:tcW w:type="dxa" w:w="16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期刊/开放性</w:t>
            </w:r>
          </w:p>
        </w:tc>
        <w:tc>
          <w:tcPr>
            <w:tcW w:type="dxa" w:w="23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来源类型/关系</w:t>
            </w:r>
          </w:p>
        </w:tc>
        <w:tc>
          <w:tcPr>
            <w:tcW w:type="dxa" w:w="211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链接</w:t>
            </w:r>
          </w:p>
        </w:tc>
      </w:tr>
      <w:tr>
        <w:trPr>
          <w:cantSplit/>
        </w:trPr>
        <w:tc>
          <w:tcPr>
            <w:tcW w:type="dxa" w:w="850"/>
          </w:tcPr>
          <w:p>
            <w:pPr>
              <w:keepLines/>
              <w:spacing w:after="0" w:line="276" w:lineRule="auto"/>
            </w:pPr>
            <w:r>
              <w:rPr>
                <w:rFonts w:ascii="Calibri" w:hAnsi="Calibri" w:eastAsia="Microsoft YaHei"/>
                <w:color w:val="0B2545"/>
                <w:sz w:val="14"/>
              </w:rPr>
              <w:t>2009</w:t>
            </w:r>
          </w:p>
        </w:tc>
        <w:tc>
          <w:tcPr>
            <w:tcW w:type="dxa" w:w="2500"/>
          </w:tcPr>
          <w:p>
            <w:pPr>
              <w:keepLines/>
              <w:spacing w:after="0" w:line="276" w:lineRule="auto"/>
            </w:pPr>
            <w:r>
              <w:rPr>
                <w:rFonts w:ascii="Calibri" w:hAnsi="Calibri" w:eastAsia="Microsoft YaHei"/>
                <w:color w:val="0B2545"/>
                <w:sz w:val="14"/>
              </w:rPr>
              <w:t>Design and performance analysis of ITER ex-vessel magnetic diagnostics</w:t>
            </w:r>
          </w:p>
        </w:tc>
        <w:tc>
          <w:tcPr>
            <w:tcW w:type="dxa" w:w="1600"/>
          </w:tcPr>
          <w:p>
            <w:pPr>
              <w:keepLines/>
              <w:spacing w:after="0" w:line="276" w:lineRule="auto"/>
            </w:pPr>
            <w:r>
              <w:rPr>
                <w:rFonts w:ascii="Calibri" w:hAnsi="Calibri" w:eastAsia="Microsoft YaHei"/>
                <w:color w:val="0B2545"/>
                <w:sz w:val="14"/>
              </w:rPr>
              <w:t>Fusion Engineering and Design</w:t>
            </w:r>
          </w:p>
        </w:tc>
        <w:tc>
          <w:tcPr>
            <w:tcW w:type="dxa" w:w="2300"/>
          </w:tcPr>
          <w:p>
            <w:pPr>
              <w:keepLines/>
              <w:spacing w:after="0" w:line="276" w:lineRule="auto"/>
            </w:pPr>
            <w:r>
              <w:rPr>
                <w:rFonts w:ascii="Calibri" w:hAnsi="Calibri" w:eastAsia="Microsoft YaHei"/>
                <w:color w:val="0B2545"/>
                <w:sz w:val="14"/>
              </w:rPr>
              <w:t>peer-reviewed-journal</w:t>
            </w:r>
          </w:p>
        </w:tc>
        <w:tc>
          <w:tcPr>
            <w:tcW w:type="dxa" w:w="2110"/>
          </w:tcPr>
          <w:p>
            <w:pPr>
              <w:keepLines/>
              <w:spacing w:after="0" w:line="276" w:lineRule="auto"/>
            </w:pPr>
            <w:hyperlink r:id="rId36">
              <w:r>
                <w:rPr>
                  <w:rFonts w:ascii="Calibri" w:hAnsi="Calibri" w:eastAsia="Microsoft YaHei"/>
                  <w:color w:val="008C95"/>
                  <w:u w:val="single"/>
                </w:rPr>
                <w:t>打开原始来源 ↗</w:t>
              </w:r>
            </w:hyperlink>
          </w:p>
        </w:tc>
      </w:tr>
      <w:tr>
        <w:trPr>
          <w:cantSplit/>
        </w:trPr>
        <w:tc>
          <w:tcPr>
            <w:tcW w:type="dxa" w:w="850"/>
          </w:tcPr>
          <w:p>
            <w:pPr>
              <w:keepLines/>
              <w:spacing w:after="0" w:line="276" w:lineRule="auto"/>
            </w:pPr>
            <w:r>
              <w:rPr>
                <w:rFonts w:ascii="Calibri" w:hAnsi="Calibri" w:eastAsia="Microsoft YaHei"/>
                <w:color w:val="0B2545"/>
                <w:sz w:val="14"/>
              </w:rPr>
              <w:t>2003</w:t>
            </w:r>
          </w:p>
        </w:tc>
        <w:tc>
          <w:tcPr>
            <w:tcW w:type="dxa" w:w="2500"/>
          </w:tcPr>
          <w:p>
            <w:pPr>
              <w:keepLines/>
              <w:spacing w:after="0" w:line="276" w:lineRule="auto"/>
            </w:pPr>
            <w:r>
              <w:rPr>
                <w:rFonts w:ascii="Calibri" w:hAnsi="Calibri" w:eastAsia="Microsoft YaHei"/>
                <w:color w:val="0B2545"/>
                <w:sz w:val="14"/>
              </w:rPr>
              <w:t>ITER diagnostics design and implementation</w:t>
            </w:r>
          </w:p>
        </w:tc>
        <w:tc>
          <w:tcPr>
            <w:tcW w:type="dxa" w:w="1600"/>
          </w:tcPr>
          <w:p>
            <w:pPr>
              <w:keepLines/>
              <w:spacing w:after="0" w:line="276" w:lineRule="auto"/>
            </w:pPr>
            <w:r>
              <w:rPr>
                <w:rFonts w:ascii="Calibri" w:hAnsi="Calibri" w:eastAsia="Microsoft YaHei"/>
                <w:color w:val="0B2545"/>
                <w:sz w:val="14"/>
              </w:rPr>
              <w:t>IAEA technical proceedings</w:t>
            </w:r>
          </w:p>
        </w:tc>
        <w:tc>
          <w:tcPr>
            <w:tcW w:type="dxa" w:w="2300"/>
          </w:tcPr>
          <w:p>
            <w:pPr>
              <w:keepLines/>
              <w:spacing w:after="0" w:line="276" w:lineRule="auto"/>
            </w:pPr>
            <w:r>
              <w:rPr>
                <w:rFonts w:ascii="Calibri" w:hAnsi="Calibri" w:eastAsia="Microsoft YaHei"/>
                <w:color w:val="0B2545"/>
                <w:sz w:val="14"/>
              </w:rPr>
              <w:t>official-technical-document</w:t>
            </w:r>
          </w:p>
        </w:tc>
        <w:tc>
          <w:tcPr>
            <w:tcW w:type="dxa" w:w="2110"/>
          </w:tcPr>
          <w:p>
            <w:pPr>
              <w:keepLines/>
              <w:spacing w:after="0" w:line="276" w:lineRule="auto"/>
            </w:pPr>
            <w:hyperlink r:id="rId37">
              <w:r>
                <w:rPr>
                  <w:rFonts w:ascii="Calibri" w:hAnsi="Calibri" w:eastAsia="Microsoft YaHei"/>
                  <w:color w:val="008C95"/>
                  <w:u w:val="single"/>
                </w:rPr>
                <w:t>打开原始来源 ↗</w:t>
              </w:r>
            </w:hyperlink>
          </w:p>
        </w:tc>
      </w:tr>
      <w:tr>
        <w:trPr>
          <w:cantSplit/>
        </w:trPr>
        <w:tc>
          <w:tcPr>
            <w:tcW w:type="dxa" w:w="850"/>
          </w:tcPr>
          <w:p>
            <w:pPr>
              <w:keepLines/>
              <w:spacing w:after="0" w:line="276" w:lineRule="auto"/>
            </w:pPr>
            <w:r>
              <w:rPr>
                <w:rFonts w:ascii="Calibri" w:hAnsi="Calibri" w:eastAsia="Microsoft YaHei"/>
                <w:color w:val="0B2545"/>
                <w:sz w:val="14"/>
              </w:rPr>
              <w:t>软件</w:t>
            </w:r>
          </w:p>
        </w:tc>
        <w:tc>
          <w:tcPr>
            <w:tcW w:type="dxa" w:w="2500"/>
          </w:tcPr>
          <w:p>
            <w:pPr>
              <w:keepLines/>
              <w:spacing w:after="0" w:line="276" w:lineRule="auto"/>
            </w:pPr>
            <w:r>
              <w:rPr>
                <w:rFonts w:ascii="Calibri" w:hAnsi="Calibri" w:eastAsia="Microsoft YaHei"/>
                <w:color w:val="0B2545"/>
                <w:sz w:val="14"/>
              </w:rPr>
              <w:t>装置专有分析/标定软件</w:t>
            </w:r>
          </w:p>
        </w:tc>
        <w:tc>
          <w:tcPr>
            <w:tcW w:type="dxa" w:w="1600"/>
          </w:tcPr>
          <w:p>
            <w:pPr>
              <w:keepLines/>
              <w:spacing w:after="0" w:line="276" w:lineRule="auto"/>
            </w:pPr>
            <w:r>
              <w:rPr>
                <w:rFonts w:ascii="Calibri" w:hAnsi="Calibri" w:eastAsia="Microsoft YaHei"/>
                <w:color w:val="0B2545"/>
                <w:sz w:val="14"/>
              </w:rPr>
              <w:t>not-public</w:t>
            </w:r>
          </w:p>
        </w:tc>
        <w:tc>
          <w:tcPr>
            <w:tcW w:type="dxa" w:w="2300"/>
          </w:tcPr>
          <w:p>
            <w:pPr>
              <w:keepLines/>
              <w:spacing w:after="0" w:line="276" w:lineRule="auto"/>
            </w:pPr>
            <w:r>
              <w:rPr>
                <w:rFonts w:ascii="Calibri" w:hAnsi="Calibri" w:eastAsia="Microsoft YaHei"/>
                <w:color w:val="0B2545"/>
                <w:sz w:val="14"/>
              </w:rPr>
              <w:t>装置积分器、涡流补偿和PCS接口未公开。</w:t>
            </w:r>
          </w:p>
        </w:tc>
        <w:tc>
          <w:tcPr>
            <w:tcW w:type="dxa" w:w="2110"/>
          </w:tcPr>
          <w:p>
            <w:pPr>
              <w:keepLines/>
              <w:spacing w:after="0" w:line="276" w:lineRule="auto"/>
            </w:pPr>
            <w:r>
              <w:rPr>
                <w:rFonts w:ascii="Calibri" w:hAnsi="Calibri" w:eastAsia="Microsoft YaHei"/>
                <w:color w:val="0B2545"/>
                <w:sz w:val="14"/>
              </w:rPr>
              <w:t>未公开</w:t>
            </w:r>
          </w:p>
        </w:tc>
      </w:tr>
    </w:tbl>
    <w:p>
      <w:pPr>
        <w:spacing w:before="0" w:after="60"/>
      </w:pPr>
    </w:p>
    <w:p>
      <w:pPr>
        <w:pStyle w:val="Heading3"/>
        <w:keepNext/>
      </w:pPr>
      <w:r>
        <w:t>DG1.02  稳态霍尔磁测量：ITER OVSS与DEMO候选传感器</w:t>
      </w:r>
    </w:p>
    <w:p>
      <w:pPr>
        <w:keepNext/>
        <w:spacing w:after="80"/>
      </w:pPr>
      <w:r>
        <w:rPr>
          <w:rFonts w:ascii="Calibri" w:hAnsi="Calibri" w:eastAsia="Microsoft YaHei"/>
          <w:i/>
          <w:color w:val="566573"/>
          <w:sz w:val="18"/>
        </w:rPr>
        <w:t>Steady-state Hall magnetics for ITER OVSS and DEMO</w:t>
      </w:r>
    </w:p>
    <w:tbl>
      <w:tblPr>
        <w:tblStyle w:val="TableGrid"/>
        <w:tblW w:type="dxa" w:w="9360"/>
        <w:jc w:val="left"/>
        <w:tblLayout w:type="fixed"/>
        <w:tblLook w:firstColumn="1" w:firstRow="1" w:lastColumn="0" w:lastRow="0" w:noHBand="0" w:noVBand="1" w:val="04A0"/>
        <w:tblInd w:w="120" w:type="dxa"/>
      </w:tblPr>
      <w:tblGrid>
        <w:gridCol w:w="1200"/>
        <w:gridCol w:w="750"/>
        <w:gridCol w:w="750"/>
        <w:gridCol w:w="2100"/>
        <w:gridCol w:w="4560"/>
      </w:tblGrid>
      <w:tr>
        <w:trPr>
          <w:tblHeader w:val="true"/>
        </w:trPr>
        <w:tc>
          <w:tcPr>
            <w:tcW w:type="dxa" w:w="12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工作 ID</w:t>
            </w:r>
          </w:p>
        </w:tc>
        <w:tc>
          <w:tcPr>
            <w:tcW w:type="dxa" w:w="7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证据</w:t>
            </w:r>
          </w:p>
        </w:tc>
        <w:tc>
          <w:tcPr>
            <w:tcW w:type="dxa" w:w="7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部署</w:t>
            </w:r>
          </w:p>
        </w:tc>
        <w:tc>
          <w:tcPr>
            <w:tcW w:type="dxa" w:w="21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技术族</w:t>
            </w:r>
          </w:p>
        </w:tc>
        <w:tc>
          <w:tcPr>
            <w:tcW w:type="dxa" w:w="456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装置</w:t>
            </w:r>
          </w:p>
        </w:tc>
      </w:tr>
      <w:tr>
        <w:trPr>
          <w:cantSplit/>
        </w:trPr>
        <w:tc>
          <w:tcPr>
            <w:tcW w:type="dxa" w:w="1200"/>
          </w:tcPr>
          <w:p>
            <w:pPr>
              <w:keepLines/>
              <w:spacing w:after="0" w:line="276" w:lineRule="auto"/>
            </w:pPr>
            <w:r>
              <w:rPr>
                <w:rFonts w:ascii="Calibri" w:hAnsi="Calibri" w:eastAsia="Microsoft YaHei"/>
                <w:color w:val="0B2545"/>
                <w:sz w:val="15"/>
              </w:rPr>
              <w:t>DG1-002</w:t>
            </w:r>
          </w:p>
        </w:tc>
        <w:tc>
          <w:tcPr>
            <w:tcW w:type="dxa" w:w="750"/>
          </w:tcPr>
          <w:p>
            <w:pPr>
              <w:keepLines/>
              <w:spacing w:after="0" w:line="276" w:lineRule="auto"/>
            </w:pPr>
            <w:r>
              <w:rPr>
                <w:rFonts w:ascii="Calibri" w:hAnsi="Calibri" w:eastAsia="Microsoft YaHei"/>
                <w:color w:val="0B2545"/>
                <w:sz w:val="15"/>
              </w:rPr>
              <w:t>E3</w:t>
            </w:r>
          </w:p>
        </w:tc>
        <w:tc>
          <w:tcPr>
            <w:tcW w:type="dxa" w:w="750"/>
          </w:tcPr>
          <w:p>
            <w:pPr>
              <w:keepLines/>
              <w:spacing w:after="0" w:line="276" w:lineRule="auto"/>
            </w:pPr>
            <w:r>
              <w:rPr>
                <w:rFonts w:ascii="Calibri" w:hAnsi="Calibri" w:eastAsia="Microsoft YaHei"/>
                <w:color w:val="0B2545"/>
                <w:sz w:val="15"/>
              </w:rPr>
              <w:t>D3</w:t>
            </w:r>
          </w:p>
        </w:tc>
        <w:tc>
          <w:tcPr>
            <w:tcW w:type="dxa" w:w="2100"/>
          </w:tcPr>
          <w:p>
            <w:pPr>
              <w:keepLines/>
              <w:spacing w:after="0" w:line="276" w:lineRule="auto"/>
            </w:pPr>
            <w:r>
              <w:rPr>
                <w:rFonts w:ascii="Calibri" w:hAnsi="Calibri" w:eastAsia="Microsoft YaHei"/>
                <w:color w:val="0B2545"/>
                <w:sz w:val="15"/>
              </w:rPr>
              <w:t>MAGNETIC</w:t>
            </w:r>
          </w:p>
        </w:tc>
        <w:tc>
          <w:tcPr>
            <w:tcW w:type="dxa" w:w="4560"/>
          </w:tcPr>
          <w:p>
            <w:pPr>
              <w:keepLines/>
              <w:spacing w:after="0" w:line="276" w:lineRule="auto"/>
            </w:pPr>
            <w:r>
              <w:rPr>
                <w:rFonts w:ascii="Calibri" w:hAnsi="Calibri" w:eastAsia="Microsoft YaHei"/>
                <w:color w:val="0B2545"/>
                <w:sz w:val="15"/>
              </w:rPr>
              <w:t>ITER OVSS；DEMO；TEXTOR；Tore Supra</w:t>
            </w:r>
          </w:p>
        </w:tc>
      </w:tr>
    </w:tbl>
    <w:p>
      <w:pPr>
        <w:spacing w:before="0" w:after="60"/>
      </w:pPr>
    </w:p>
    <w:p>
      <w:pPr>
        <w:widowControl/>
      </w:pPr>
      <w:r>
        <w:rPr>
          <w:rFonts w:ascii="Calibri" w:hAnsi="Calibri" w:eastAsia="Microsoft YaHei"/>
          <w:b/>
          <w:color w:val="1F4D78"/>
        </w:rPr>
        <w:t>解决问题：</w:t>
      </w:r>
      <w:r>
        <w:rPr>
          <w:rFonts w:ascii="Calibri" w:hAnsi="Calibri" w:eastAsia="Microsoft YaHei"/>
        </w:rPr>
        <w:t>补足长脉冲/连续运行时感应线圈的低频与直流盲区。</w:t>
      </w:r>
    </w:p>
    <w:p>
      <w:pPr>
        <w:widowControl/>
      </w:pPr>
      <w:r>
        <w:rPr>
          <w:rFonts w:ascii="Calibri" w:hAnsi="Calibri" w:eastAsia="Microsoft YaHei"/>
          <w:b/>
          <w:color w:val="1F4D78"/>
        </w:rPr>
        <w:t>测量原理：</w:t>
      </w:r>
      <w:r>
        <w:rPr>
          <w:rFonts w:ascii="Calibri" w:hAnsi="Calibri" w:eastAsia="Microsoft YaHei"/>
        </w:rPr>
        <w:t>霍尔横向电压随磁场、驱动电流与材料霍尔系数变化；用磁场—温度标定函数补偿非线性。</w:t>
      </w:r>
    </w:p>
    <w:p>
      <w:pPr>
        <w:widowControl/>
      </w:pPr>
      <w:r>
        <w:rPr>
          <w:rFonts w:ascii="Calibri" w:hAnsi="Calibri" w:eastAsia="Microsoft YaHei"/>
          <w:b/>
          <w:color w:val="1F4D78"/>
        </w:rPr>
        <w:t>测量产品：</w:t>
      </w:r>
      <w:r>
        <w:rPr>
          <w:rFonts w:ascii="Calibri" w:hAnsi="Calibri" w:eastAsia="Microsoft YaHei"/>
        </w:rPr>
        <w:t>steady magnetic field；field drift；sensor temperature</w:t>
      </w:r>
    </w:p>
    <w:p>
      <w:pPr>
        <w:widowControl/>
      </w:pPr>
      <w:r>
        <w:rPr>
          <w:rFonts w:ascii="Calibri" w:hAnsi="Calibri" w:eastAsia="Microsoft YaHei"/>
          <w:b/>
          <w:color w:val="1F4D78"/>
        </w:rPr>
        <w:t>时空分辨与覆盖：</w:t>
      </w:r>
      <w:r>
        <w:rPr>
          <w:rFonts w:ascii="Calibri" w:hAnsi="Calibri" w:eastAsia="Microsoft YaHei"/>
        </w:rPr>
        <w:t>时间：因装置、采集和分析链而异；原始来源未给出统一数值。；空间：由视线、几何和反演设定；原始来源未给出统一数值。</w:t>
      </w:r>
    </w:p>
    <w:p>
      <w:pPr>
        <w:widowControl/>
      </w:pPr>
      <w:r>
        <w:rPr>
          <w:rFonts w:ascii="Calibri" w:hAnsi="Calibri" w:eastAsia="Microsoft YaHei"/>
          <w:b/>
          <w:color w:val="1F4D78"/>
        </w:rPr>
        <w:t>仪器与传感器：</w:t>
      </w:r>
      <w:r>
        <w:rPr>
          <w:rFonts w:ascii="Calibri" w:hAnsi="Calibri" w:eastAsia="Microsoft YaHei"/>
        </w:rPr>
        <w:t>bismuth Hall sensors；antimony/chromium Hall elements；temperature sensors；radiation-tolerant feedthroughs</w:t>
      </w:r>
    </w:p>
    <w:p>
      <w:pPr>
        <w:widowControl/>
      </w:pPr>
      <w:r>
        <w:rPr>
          <w:rFonts w:ascii="Calibri" w:hAnsi="Calibri" w:eastAsia="Microsoft YaHei"/>
          <w:b/>
          <w:color w:val="1F4D78"/>
        </w:rPr>
        <w:t>标定与质量：</w:t>
      </w:r>
      <w:r>
        <w:rPr>
          <w:rFonts w:ascii="Calibri" w:hAnsi="Calibri" w:eastAsia="Microsoft YaHei"/>
        </w:rPr>
        <w:t>在磁场—温度二维网格标定霍尔系数，并做中子嬗变/辐照评估和安装后零偏复核。</w:t>
      </w:r>
    </w:p>
    <w:p>
      <w:pPr>
        <w:widowControl/>
      </w:pPr>
      <w:r>
        <w:rPr>
          <w:rFonts w:ascii="Calibri" w:hAnsi="Calibri" w:eastAsia="Microsoft YaHei"/>
          <w:b/>
          <w:color w:val="1F4D78"/>
        </w:rPr>
        <w:t>反演与分析：</w:t>
      </w:r>
      <w:r>
        <w:rPr>
          <w:rFonts w:ascii="Calibri" w:hAnsi="Calibri" w:eastAsia="Microsoft YaHei"/>
        </w:rPr>
        <w:t>温度补偿与非线性拟合后，与感应线圈做带宽拼接和多传感器一致性检查。</w:t>
      </w:r>
    </w:p>
    <w:p>
      <w:pPr>
        <w:widowControl/>
      </w:pPr>
      <w:r>
        <w:rPr>
          <w:rFonts w:ascii="Calibri" w:hAnsi="Calibri" w:eastAsia="Microsoft YaHei"/>
          <w:b/>
          <w:color w:val="1F4D78"/>
        </w:rPr>
        <w:t>验证与应用：</w:t>
      </w:r>
      <w:r>
        <w:rPr>
          <w:rFonts w:ascii="Calibri" w:hAnsi="Calibri" w:eastAsia="Microsoft YaHei"/>
        </w:rPr>
        <w:t>ITER以材料表征、制造试验和误差预算验证；DEMO候选仍以台架/辐照外推为主。</w:t>
      </w:r>
    </w:p>
    <w:p>
      <w:pPr>
        <w:widowControl/>
      </w:pPr>
      <w:r>
        <w:rPr>
          <w:rFonts w:ascii="Calibri" w:hAnsi="Calibri" w:eastAsia="Microsoft YaHei"/>
          <w:b/>
          <w:color w:val="1F4D78"/>
        </w:rPr>
        <w:t>局限与边界：</w:t>
      </w:r>
      <w:r>
        <w:rPr>
          <w:rFonts w:ascii="Calibri" w:hAnsi="Calibri" w:eastAsia="Microsoft YaHei"/>
        </w:rPr>
        <w:t>温度、辐照嬗变和远离等离子体的位置使灵敏度漂移及反演病态。</w:t>
      </w:r>
    </w:p>
    <w:tbl>
      <w:tblPr>
        <w:tblStyle w:val="TableGrid"/>
        <w:tblW w:type="dxa" w:w="9360"/>
        <w:jc w:val="left"/>
        <w:tblLayout w:type="fixed"/>
        <w:tblLook w:firstColumn="1" w:firstRow="1" w:lastColumn="0" w:lastRow="0" w:noHBand="0" w:noVBand="1" w:val="04A0"/>
        <w:tblInd w:w="120" w:type="dxa"/>
      </w:tblPr>
      <w:tblGrid>
        <w:gridCol w:w="9360"/>
      </w:tblGrid>
      <w:tr>
        <w:trPr>
          <w:cantSplit/>
        </w:trPr>
        <w:tc>
          <w:tcPr>
            <w:tcW w:type="dxa" w:w="9360"/>
            <w:tcMar>
              <w:top w:w="80" w:type="dxa"/>
              <w:bottom w:w="80" w:type="dxa"/>
              <w:start w:w="120" w:type="dxa"/>
              <w:end w:w="120" w:type="dxa"/>
            </w:tcMar>
            <w:vAlign w:val="center"/>
            <w:shd w:fill="EEF7F7"/>
          </w:tcPr>
          <w:p>
            <w:pPr>
              <w:keepNext/>
              <w:keepLines/>
              <w:spacing w:after="40"/>
            </w:pPr>
            <w:r>
              <w:rPr>
                <w:rFonts w:ascii="Calibri" w:hAnsi="Calibri" w:eastAsia="Microsoft YaHei"/>
                <w:b/>
                <w:color w:val="008C95"/>
                <w:sz w:val="17"/>
              </w:rPr>
              <w:t>DIGITAL-TWIN RELEVANCE</w:t>
            </w:r>
          </w:p>
          <w:p>
            <w:pPr>
              <w:spacing w:after="0"/>
            </w:pPr>
            <w:r>
              <w:rPr>
                <w:rFonts w:ascii="Calibri" w:hAnsi="Calibri" w:eastAsia="Microsoft YaHei"/>
                <w:color w:val="0B2545"/>
                <w:sz w:val="20"/>
              </w:rPr>
              <w:t>可作为长脉冲磁基线，但温度补偿模型、累积剂量和标定版本必须成为传感器状态。</w:t>
            </w:r>
          </w:p>
        </w:tc>
      </w:tr>
    </w:tbl>
    <w:p>
      <w:pPr>
        <w:spacing w:after="40"/>
      </w:pPr>
    </w:p>
    <w:tbl>
      <w:tblPr>
        <w:tblStyle w:val="TableGrid"/>
        <w:tblW w:type="dxa" w:w="9360"/>
        <w:jc w:val="left"/>
        <w:tblLayout w:type="fixed"/>
        <w:tblLook w:firstColumn="1" w:firstRow="1" w:lastColumn="0" w:lastRow="0" w:noHBand="0" w:noVBand="1" w:val="04A0"/>
        <w:tblInd w:w="120" w:type="dxa"/>
      </w:tblPr>
      <w:tblGrid>
        <w:gridCol w:w="850"/>
        <w:gridCol w:w="2500"/>
        <w:gridCol w:w="1600"/>
        <w:gridCol w:w="2300"/>
        <w:gridCol w:w="2110"/>
      </w:tblGrid>
      <w:tr>
        <w:trPr>
          <w:tblHeader w:val="true"/>
        </w:trPr>
        <w:tc>
          <w:tcPr>
            <w:tcW w:type="dxa" w:w="8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年份/类型</w:t>
            </w:r>
          </w:p>
        </w:tc>
        <w:tc>
          <w:tcPr>
            <w:tcW w:type="dxa" w:w="25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论文或软件</w:t>
            </w:r>
          </w:p>
        </w:tc>
        <w:tc>
          <w:tcPr>
            <w:tcW w:type="dxa" w:w="16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期刊/开放性</w:t>
            </w:r>
          </w:p>
        </w:tc>
        <w:tc>
          <w:tcPr>
            <w:tcW w:type="dxa" w:w="23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来源类型/关系</w:t>
            </w:r>
          </w:p>
        </w:tc>
        <w:tc>
          <w:tcPr>
            <w:tcW w:type="dxa" w:w="211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链接</w:t>
            </w:r>
          </w:p>
        </w:tc>
      </w:tr>
      <w:tr>
        <w:trPr>
          <w:cantSplit/>
        </w:trPr>
        <w:tc>
          <w:tcPr>
            <w:tcW w:type="dxa" w:w="850"/>
          </w:tcPr>
          <w:p>
            <w:pPr>
              <w:keepLines/>
              <w:spacing w:after="0" w:line="276" w:lineRule="auto"/>
            </w:pPr>
            <w:r>
              <w:rPr>
                <w:rFonts w:ascii="Calibri" w:hAnsi="Calibri" w:eastAsia="Microsoft YaHei"/>
                <w:color w:val="0B2545"/>
                <w:sz w:val="14"/>
              </w:rPr>
              <w:t>2019</w:t>
            </w:r>
          </w:p>
        </w:tc>
        <w:tc>
          <w:tcPr>
            <w:tcW w:type="dxa" w:w="2500"/>
          </w:tcPr>
          <w:p>
            <w:pPr>
              <w:keepLines/>
              <w:spacing w:after="0" w:line="276" w:lineRule="auto"/>
            </w:pPr>
            <w:r>
              <w:rPr>
                <w:rFonts w:ascii="Calibri" w:hAnsi="Calibri" w:eastAsia="Microsoft YaHei"/>
                <w:color w:val="0B2545"/>
                <w:sz w:val="14"/>
              </w:rPr>
              <w:t>Status of steady-state magnetic diagnostic for ITER and outlook for possible materials of Hall sensors for DEMO</w:t>
            </w:r>
          </w:p>
        </w:tc>
        <w:tc>
          <w:tcPr>
            <w:tcW w:type="dxa" w:w="1600"/>
          </w:tcPr>
          <w:p>
            <w:pPr>
              <w:keepLines/>
              <w:spacing w:after="0" w:line="276" w:lineRule="auto"/>
            </w:pPr>
            <w:r>
              <w:rPr>
                <w:rFonts w:ascii="Calibri" w:hAnsi="Calibri" w:eastAsia="Microsoft YaHei"/>
                <w:color w:val="0B2545"/>
                <w:sz w:val="14"/>
              </w:rPr>
              <w:t>Fusion Engineering and Design</w:t>
            </w:r>
          </w:p>
        </w:tc>
        <w:tc>
          <w:tcPr>
            <w:tcW w:type="dxa" w:w="2300"/>
          </w:tcPr>
          <w:p>
            <w:pPr>
              <w:keepLines/>
              <w:spacing w:after="0" w:line="276" w:lineRule="auto"/>
            </w:pPr>
            <w:r>
              <w:rPr>
                <w:rFonts w:ascii="Calibri" w:hAnsi="Calibri" w:eastAsia="Microsoft YaHei"/>
                <w:color w:val="0B2545"/>
                <w:sz w:val="14"/>
              </w:rPr>
              <w:t>peer-reviewed-journal</w:t>
            </w:r>
          </w:p>
        </w:tc>
        <w:tc>
          <w:tcPr>
            <w:tcW w:type="dxa" w:w="2110"/>
          </w:tcPr>
          <w:p>
            <w:pPr>
              <w:keepLines/>
              <w:spacing w:after="0" w:line="276" w:lineRule="auto"/>
            </w:pPr>
            <w:hyperlink r:id="rId38">
              <w:r>
                <w:rPr>
                  <w:rFonts w:ascii="Calibri" w:hAnsi="Calibri" w:eastAsia="Microsoft YaHei"/>
                  <w:color w:val="008C95"/>
                  <w:u w:val="single"/>
                </w:rPr>
                <w:t>打开原始来源 ↗</w:t>
              </w:r>
            </w:hyperlink>
          </w:p>
        </w:tc>
      </w:tr>
      <w:tr>
        <w:trPr>
          <w:cantSplit/>
        </w:trPr>
        <w:tc>
          <w:tcPr>
            <w:tcW w:type="dxa" w:w="850"/>
          </w:tcPr>
          <w:p>
            <w:pPr>
              <w:keepLines/>
              <w:spacing w:after="0" w:line="276" w:lineRule="auto"/>
            </w:pPr>
            <w:r>
              <w:rPr>
                <w:rFonts w:ascii="Calibri" w:hAnsi="Calibri" w:eastAsia="Microsoft YaHei"/>
                <w:color w:val="0B2545"/>
                <w:sz w:val="14"/>
              </w:rPr>
              <w:t>2019</w:t>
            </w:r>
          </w:p>
        </w:tc>
        <w:tc>
          <w:tcPr>
            <w:tcW w:type="dxa" w:w="2500"/>
          </w:tcPr>
          <w:p>
            <w:pPr>
              <w:keepLines/>
              <w:spacing w:after="0" w:line="276" w:lineRule="auto"/>
            </w:pPr>
            <w:r>
              <w:rPr>
                <w:rFonts w:ascii="Calibri" w:hAnsi="Calibri" w:eastAsia="Microsoft YaHei"/>
                <w:color w:val="0B2545"/>
                <w:sz w:val="14"/>
              </w:rPr>
              <w:t>Prospects for the steady-state magnetic diagnostic based on antimony Hall sensors for future fusion power reactors</w:t>
            </w:r>
          </w:p>
        </w:tc>
        <w:tc>
          <w:tcPr>
            <w:tcW w:type="dxa" w:w="1600"/>
          </w:tcPr>
          <w:p>
            <w:pPr>
              <w:keepLines/>
              <w:spacing w:after="0" w:line="276" w:lineRule="auto"/>
            </w:pPr>
            <w:r>
              <w:rPr>
                <w:rFonts w:ascii="Calibri" w:hAnsi="Calibri" w:eastAsia="Microsoft YaHei"/>
                <w:color w:val="0B2545"/>
                <w:sz w:val="14"/>
              </w:rPr>
              <w:t>Fusion Engineering and Design</w:t>
            </w:r>
          </w:p>
        </w:tc>
        <w:tc>
          <w:tcPr>
            <w:tcW w:type="dxa" w:w="2300"/>
          </w:tcPr>
          <w:p>
            <w:pPr>
              <w:keepLines/>
              <w:spacing w:after="0" w:line="276" w:lineRule="auto"/>
            </w:pPr>
            <w:r>
              <w:rPr>
                <w:rFonts w:ascii="Calibri" w:hAnsi="Calibri" w:eastAsia="Microsoft YaHei"/>
                <w:color w:val="0B2545"/>
                <w:sz w:val="14"/>
              </w:rPr>
              <w:t>peer-reviewed-journal</w:t>
            </w:r>
          </w:p>
        </w:tc>
        <w:tc>
          <w:tcPr>
            <w:tcW w:type="dxa" w:w="2110"/>
          </w:tcPr>
          <w:p>
            <w:pPr>
              <w:keepLines/>
              <w:spacing w:after="0" w:line="276" w:lineRule="auto"/>
            </w:pPr>
            <w:hyperlink r:id="rId39">
              <w:r>
                <w:rPr>
                  <w:rFonts w:ascii="Calibri" w:hAnsi="Calibri" w:eastAsia="Microsoft YaHei"/>
                  <w:color w:val="008C95"/>
                  <w:u w:val="single"/>
                </w:rPr>
                <w:t>打开原始来源 ↗</w:t>
              </w:r>
            </w:hyperlink>
          </w:p>
        </w:tc>
      </w:tr>
      <w:tr>
        <w:trPr>
          <w:cantSplit/>
        </w:trPr>
        <w:tc>
          <w:tcPr>
            <w:tcW w:type="dxa" w:w="850"/>
          </w:tcPr>
          <w:p>
            <w:pPr>
              <w:keepLines/>
              <w:spacing w:after="0" w:line="276" w:lineRule="auto"/>
            </w:pPr>
            <w:r>
              <w:rPr>
                <w:rFonts w:ascii="Calibri" w:hAnsi="Calibri" w:eastAsia="Microsoft YaHei"/>
                <w:color w:val="0B2545"/>
                <w:sz w:val="14"/>
              </w:rPr>
              <w:t>软件</w:t>
            </w:r>
          </w:p>
        </w:tc>
        <w:tc>
          <w:tcPr>
            <w:tcW w:type="dxa" w:w="2500"/>
          </w:tcPr>
          <w:p>
            <w:pPr>
              <w:keepLines/>
              <w:spacing w:after="0" w:line="276" w:lineRule="auto"/>
            </w:pPr>
            <w:r>
              <w:rPr>
                <w:rFonts w:ascii="Calibri" w:hAnsi="Calibri" w:eastAsia="Microsoft YaHei"/>
                <w:color w:val="0B2545"/>
                <w:sz w:val="14"/>
              </w:rPr>
              <w:t>装置专有分析/标定软件</w:t>
            </w:r>
          </w:p>
        </w:tc>
        <w:tc>
          <w:tcPr>
            <w:tcW w:type="dxa" w:w="1600"/>
          </w:tcPr>
          <w:p>
            <w:pPr>
              <w:keepLines/>
              <w:spacing w:after="0" w:line="276" w:lineRule="auto"/>
            </w:pPr>
            <w:r>
              <w:rPr>
                <w:rFonts w:ascii="Calibri" w:hAnsi="Calibri" w:eastAsia="Microsoft YaHei"/>
                <w:color w:val="0B2545"/>
                <w:sz w:val="14"/>
              </w:rPr>
              <w:t>not-public</w:t>
            </w:r>
          </w:p>
        </w:tc>
        <w:tc>
          <w:tcPr>
            <w:tcW w:type="dxa" w:w="2300"/>
          </w:tcPr>
          <w:p>
            <w:pPr>
              <w:keepLines/>
              <w:spacing w:after="0" w:line="276" w:lineRule="auto"/>
            </w:pPr>
            <w:r>
              <w:rPr>
                <w:rFonts w:ascii="Calibri" w:hAnsi="Calibri" w:eastAsia="Microsoft YaHei"/>
                <w:color w:val="0B2545"/>
                <w:sz w:val="14"/>
              </w:rPr>
              <w:t>OVSS补偿系数和运行软件由项目配置控制。</w:t>
            </w:r>
          </w:p>
        </w:tc>
        <w:tc>
          <w:tcPr>
            <w:tcW w:type="dxa" w:w="2110"/>
          </w:tcPr>
          <w:p>
            <w:pPr>
              <w:keepLines/>
              <w:spacing w:after="0" w:line="276" w:lineRule="auto"/>
            </w:pPr>
            <w:r>
              <w:rPr>
                <w:rFonts w:ascii="Calibri" w:hAnsi="Calibri" w:eastAsia="Microsoft YaHei"/>
                <w:color w:val="0B2545"/>
                <w:sz w:val="14"/>
              </w:rPr>
              <w:t>未公开</w:t>
            </w:r>
          </w:p>
        </w:tc>
      </w:tr>
    </w:tbl>
    <w:p>
      <w:pPr>
        <w:spacing w:before="0" w:after="60"/>
      </w:pPr>
    </w:p>
    <w:p>
      <w:pPr>
        <w:pStyle w:val="Heading3"/>
        <w:keepNext/>
      </w:pPr>
      <w:r>
        <w:t>DG1.03  光纤电流传感：EAST等离子体与PF母排电流</w:t>
      </w:r>
    </w:p>
    <w:p>
      <w:pPr>
        <w:keepNext/>
        <w:spacing w:after="80"/>
      </w:pPr>
      <w:r>
        <w:rPr>
          <w:rFonts w:ascii="Calibri" w:hAnsi="Calibri" w:eastAsia="Microsoft YaHei"/>
          <w:i/>
          <w:color w:val="566573"/>
          <w:sz w:val="18"/>
        </w:rPr>
        <w:t>Fiber-optic current sensing for EAST plasma and PF currents</w:t>
      </w:r>
    </w:p>
    <w:tbl>
      <w:tblPr>
        <w:tblStyle w:val="TableGrid"/>
        <w:tblW w:type="dxa" w:w="9360"/>
        <w:jc w:val="left"/>
        <w:tblLayout w:type="fixed"/>
        <w:tblLook w:firstColumn="1" w:firstRow="1" w:lastColumn="0" w:lastRow="0" w:noHBand="0" w:noVBand="1" w:val="04A0"/>
        <w:tblInd w:w="120" w:type="dxa"/>
      </w:tblPr>
      <w:tblGrid>
        <w:gridCol w:w="1200"/>
        <w:gridCol w:w="750"/>
        <w:gridCol w:w="750"/>
        <w:gridCol w:w="2100"/>
        <w:gridCol w:w="4560"/>
      </w:tblGrid>
      <w:tr>
        <w:trPr>
          <w:tblHeader w:val="true"/>
        </w:trPr>
        <w:tc>
          <w:tcPr>
            <w:tcW w:type="dxa" w:w="12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工作 ID</w:t>
            </w:r>
          </w:p>
        </w:tc>
        <w:tc>
          <w:tcPr>
            <w:tcW w:type="dxa" w:w="7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证据</w:t>
            </w:r>
          </w:p>
        </w:tc>
        <w:tc>
          <w:tcPr>
            <w:tcW w:type="dxa" w:w="7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部署</w:t>
            </w:r>
          </w:p>
        </w:tc>
        <w:tc>
          <w:tcPr>
            <w:tcW w:type="dxa" w:w="21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技术族</w:t>
            </w:r>
          </w:p>
        </w:tc>
        <w:tc>
          <w:tcPr>
            <w:tcW w:type="dxa" w:w="456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装置</w:t>
            </w:r>
          </w:p>
        </w:tc>
      </w:tr>
      <w:tr>
        <w:trPr>
          <w:cantSplit/>
        </w:trPr>
        <w:tc>
          <w:tcPr>
            <w:tcW w:type="dxa" w:w="1200"/>
          </w:tcPr>
          <w:p>
            <w:pPr>
              <w:keepLines/>
              <w:spacing w:after="0" w:line="276" w:lineRule="auto"/>
            </w:pPr>
            <w:r>
              <w:rPr>
                <w:rFonts w:ascii="Calibri" w:hAnsi="Calibri" w:eastAsia="Microsoft YaHei"/>
                <w:color w:val="0B2545"/>
                <w:sz w:val="15"/>
              </w:rPr>
              <w:t>DG1-003</w:t>
            </w:r>
          </w:p>
        </w:tc>
        <w:tc>
          <w:tcPr>
            <w:tcW w:type="dxa" w:w="750"/>
          </w:tcPr>
          <w:p>
            <w:pPr>
              <w:keepLines/>
              <w:spacing w:after="0" w:line="276" w:lineRule="auto"/>
            </w:pPr>
            <w:r>
              <w:rPr>
                <w:rFonts w:ascii="Calibri" w:hAnsi="Calibri" w:eastAsia="Microsoft YaHei"/>
                <w:color w:val="0B2545"/>
                <w:sz w:val="15"/>
              </w:rPr>
              <w:t>E4</w:t>
            </w:r>
          </w:p>
        </w:tc>
        <w:tc>
          <w:tcPr>
            <w:tcW w:type="dxa" w:w="750"/>
          </w:tcPr>
          <w:p>
            <w:pPr>
              <w:keepLines/>
              <w:spacing w:after="0" w:line="276" w:lineRule="auto"/>
            </w:pPr>
            <w:r>
              <w:rPr>
                <w:rFonts w:ascii="Calibri" w:hAnsi="Calibri" w:eastAsia="Microsoft YaHei"/>
                <w:color w:val="0B2545"/>
                <w:sz w:val="15"/>
              </w:rPr>
              <w:t>D4</w:t>
            </w:r>
          </w:p>
        </w:tc>
        <w:tc>
          <w:tcPr>
            <w:tcW w:type="dxa" w:w="2100"/>
          </w:tcPr>
          <w:p>
            <w:pPr>
              <w:keepLines/>
              <w:spacing w:after="0" w:line="276" w:lineRule="auto"/>
            </w:pPr>
            <w:r>
              <w:rPr>
                <w:rFonts w:ascii="Calibri" w:hAnsi="Calibri" w:eastAsia="Microsoft YaHei"/>
                <w:color w:val="0B2545"/>
                <w:sz w:val="15"/>
              </w:rPr>
              <w:t>OPTICAL</w:t>
            </w:r>
          </w:p>
        </w:tc>
        <w:tc>
          <w:tcPr>
            <w:tcW w:type="dxa" w:w="4560"/>
          </w:tcPr>
          <w:p>
            <w:pPr>
              <w:keepLines/>
              <w:spacing w:after="0" w:line="276" w:lineRule="auto"/>
            </w:pPr>
            <w:r>
              <w:rPr>
                <w:rFonts w:ascii="Calibri" w:hAnsi="Calibri" w:eastAsia="Microsoft YaHei"/>
                <w:color w:val="0B2545"/>
                <w:sz w:val="15"/>
              </w:rPr>
              <w:t>EAST；ITER concept；CFETR concept</w:t>
            </w:r>
          </w:p>
        </w:tc>
      </w:tr>
    </w:tbl>
    <w:p>
      <w:pPr>
        <w:spacing w:before="0" w:after="60"/>
      </w:pPr>
    </w:p>
    <w:p>
      <w:pPr>
        <w:widowControl/>
      </w:pPr>
      <w:r>
        <w:rPr>
          <w:rFonts w:ascii="Calibri" w:hAnsi="Calibri" w:eastAsia="Microsoft YaHei"/>
          <w:b/>
          <w:color w:val="1F4D78"/>
        </w:rPr>
        <w:t>解决问题：</w:t>
      </w:r>
      <w:r>
        <w:rPr>
          <w:rFonts w:ascii="Calibri" w:hAnsi="Calibri" w:eastAsia="Microsoft YaHei"/>
        </w:rPr>
        <w:t>无积分漂移地测量长脉冲等离子体与线圈电流，并隔离高压和电磁干扰。</w:t>
      </w:r>
    </w:p>
    <w:p>
      <w:pPr>
        <w:widowControl/>
      </w:pPr>
      <w:r>
        <w:rPr>
          <w:rFonts w:ascii="Calibri" w:hAnsi="Calibri" w:eastAsia="Microsoft YaHei"/>
          <w:b/>
          <w:color w:val="1F4D78"/>
        </w:rPr>
        <w:t>测量原理：</w:t>
      </w:r>
      <w:r>
        <w:rPr>
          <w:rFonts w:ascii="Calibri" w:hAnsi="Calibri" w:eastAsia="Microsoft YaHei"/>
        </w:rPr>
        <w:t>环绕电流的光纤产生法拉第偏振旋转；反射式干涉仪把旋转转成电信号。</w:t>
      </w:r>
    </w:p>
    <w:p>
      <w:pPr>
        <w:widowControl/>
      </w:pPr>
      <w:r>
        <w:rPr>
          <w:rFonts w:ascii="Calibri" w:hAnsi="Calibri" w:eastAsia="Microsoft YaHei"/>
          <w:b/>
          <w:color w:val="1F4D78"/>
        </w:rPr>
        <w:t>测量产品：</w:t>
      </w:r>
      <w:r>
        <w:rPr>
          <w:rFonts w:ascii="Calibri" w:hAnsi="Calibri" w:eastAsia="Microsoft YaHei"/>
        </w:rPr>
        <w:t>plasma current；PF current；disruption transient</w:t>
      </w:r>
    </w:p>
    <w:p>
      <w:pPr>
        <w:widowControl/>
      </w:pPr>
      <w:r>
        <w:rPr>
          <w:rFonts w:ascii="Calibri" w:hAnsi="Calibri" w:eastAsia="Microsoft YaHei"/>
          <w:b/>
          <w:color w:val="1F4D78"/>
        </w:rPr>
        <w:t>时空分辨与覆盖：</w:t>
      </w:r>
      <w:r>
        <w:rPr>
          <w:rFonts w:ascii="Calibri" w:hAnsi="Calibri" w:eastAsia="Microsoft YaHei"/>
        </w:rPr>
        <w:t>时间：因装置、采集和分析链而异；原始来源未给出统一数值。；空间：由视线、几何和反演设定；原始来源未给出统一数值。</w:t>
      </w:r>
    </w:p>
    <w:p>
      <w:pPr>
        <w:widowControl/>
      </w:pPr>
      <w:r>
        <w:rPr>
          <w:rFonts w:ascii="Calibri" w:hAnsi="Calibri" w:eastAsia="Microsoft YaHei"/>
          <w:b/>
          <w:color w:val="1F4D78"/>
        </w:rPr>
        <w:t>仪器与传感器：</w:t>
      </w:r>
      <w:r>
        <w:rPr>
          <w:rFonts w:ascii="Calibri" w:hAnsi="Calibri" w:eastAsia="Microsoft YaHei"/>
        </w:rPr>
        <w:t>polarization-maintaining fiber；Faraday mirror；reflection interferometer；optical feedthrough</w:t>
      </w:r>
    </w:p>
    <w:p>
      <w:pPr>
        <w:widowControl/>
      </w:pPr>
      <w:r>
        <w:rPr>
          <w:rFonts w:ascii="Calibri" w:hAnsi="Calibri" w:eastAsia="Microsoft YaHei"/>
          <w:b/>
          <w:color w:val="1F4D78"/>
        </w:rPr>
        <w:t>标定与质量：</w:t>
      </w:r>
      <w:r>
        <w:rPr>
          <w:rFonts w:ascii="Calibri" w:hAnsi="Calibri" w:eastAsia="Microsoft YaHei"/>
        </w:rPr>
        <w:t>已知电流标定比例系数；测量温漂、振动、冲击和磁串扰，PF通道在-5至55°C验证0.4%要求。</w:t>
      </w:r>
    </w:p>
    <w:p>
      <w:pPr>
        <w:widowControl/>
      </w:pPr>
      <w:r>
        <w:rPr>
          <w:rFonts w:ascii="Calibri" w:hAnsi="Calibri" w:eastAsia="Microsoft YaHei"/>
          <w:b/>
          <w:color w:val="1F4D78"/>
        </w:rPr>
        <w:t>反演与分析：</w:t>
      </w:r>
      <w:r>
        <w:rPr>
          <w:rFonts w:ascii="Calibri" w:hAnsi="Calibri" w:eastAsia="Microsoft YaHei"/>
        </w:rPr>
        <w:t>偏振解调、相位展开、温度/串扰补偿，并与罗戈夫斯基线圈逐炮比对。</w:t>
      </w:r>
    </w:p>
    <w:p>
      <w:pPr>
        <w:widowControl/>
      </w:pPr>
      <w:r>
        <w:rPr>
          <w:rFonts w:ascii="Calibri" w:hAnsi="Calibri" w:eastAsia="Microsoft YaHei"/>
          <w:b/>
          <w:color w:val="1F4D78"/>
        </w:rPr>
        <w:t>验证与应用：</w:t>
      </w:r>
      <w:r>
        <w:rPr>
          <w:rFonts w:ascii="Calibri" w:hAnsi="Calibri" w:eastAsia="Microsoft YaHei"/>
        </w:rPr>
        <w:t>EAST不同电流水平放电测得约800 kA并捕捉破裂瞬变；12个PF母排通道在装置运行验证。</w:t>
      </w:r>
    </w:p>
    <w:p>
      <w:pPr>
        <w:widowControl/>
      </w:pPr>
      <w:r>
        <w:rPr>
          <w:rFonts w:ascii="Calibri" w:hAnsi="Calibri" w:eastAsia="Microsoft YaHei"/>
          <w:b/>
          <w:color w:val="1F4D78"/>
        </w:rPr>
        <w:t>局限与边界：</w:t>
      </w:r>
      <w:r>
        <w:rPr>
          <w:rFonts w:ascii="Calibri" w:hAnsi="Calibri" w:eastAsia="Microsoft YaHei"/>
        </w:rPr>
        <w:t>双折射、连接器/法拉第镜误差、振动和真空内光纤老化影响绝对精度。</w:t>
      </w:r>
    </w:p>
    <w:tbl>
      <w:tblPr>
        <w:tblStyle w:val="TableGrid"/>
        <w:tblW w:type="dxa" w:w="9360"/>
        <w:jc w:val="left"/>
        <w:tblLayout w:type="fixed"/>
        <w:tblLook w:firstColumn="1" w:firstRow="1" w:lastColumn="0" w:lastRow="0" w:noHBand="0" w:noVBand="1" w:val="04A0"/>
        <w:tblInd w:w="120" w:type="dxa"/>
      </w:tblPr>
      <w:tblGrid>
        <w:gridCol w:w="9360"/>
      </w:tblGrid>
      <w:tr>
        <w:trPr>
          <w:cantSplit/>
        </w:trPr>
        <w:tc>
          <w:tcPr>
            <w:tcW w:type="dxa" w:w="9360"/>
            <w:tcMar>
              <w:top w:w="80" w:type="dxa"/>
              <w:bottom w:w="80" w:type="dxa"/>
              <w:start w:w="120" w:type="dxa"/>
              <w:end w:w="120" w:type="dxa"/>
            </w:tcMar>
            <w:vAlign w:val="center"/>
            <w:shd w:fill="EEF7F7"/>
          </w:tcPr>
          <w:p>
            <w:pPr>
              <w:keepNext/>
              <w:keepLines/>
              <w:spacing w:after="40"/>
            </w:pPr>
            <w:r>
              <w:rPr>
                <w:rFonts w:ascii="Calibri" w:hAnsi="Calibri" w:eastAsia="Microsoft YaHei"/>
                <w:b/>
                <w:color w:val="008C95"/>
                <w:sz w:val="17"/>
              </w:rPr>
              <w:t>DIGITAL-TWIN RELEVANCE</w:t>
            </w:r>
          </w:p>
          <w:p>
            <w:pPr>
              <w:spacing w:after="0"/>
            </w:pPr>
            <w:r>
              <w:rPr>
                <w:rFonts w:ascii="Calibri" w:hAnsi="Calibri" w:eastAsia="Microsoft YaHei"/>
                <w:color w:val="0B2545"/>
                <w:sz w:val="20"/>
              </w:rPr>
              <w:t>可作为长脉冲绝对电流锚点，并在线校正感应磁通积分漂移。</w:t>
            </w:r>
          </w:p>
        </w:tc>
      </w:tr>
    </w:tbl>
    <w:p>
      <w:pPr>
        <w:spacing w:after="40"/>
      </w:pPr>
    </w:p>
    <w:tbl>
      <w:tblPr>
        <w:tblStyle w:val="TableGrid"/>
        <w:tblW w:type="dxa" w:w="9360"/>
        <w:jc w:val="left"/>
        <w:tblLayout w:type="fixed"/>
        <w:tblLook w:firstColumn="1" w:firstRow="1" w:lastColumn="0" w:lastRow="0" w:noHBand="0" w:noVBand="1" w:val="04A0"/>
        <w:tblInd w:w="120" w:type="dxa"/>
      </w:tblPr>
      <w:tblGrid>
        <w:gridCol w:w="850"/>
        <w:gridCol w:w="2500"/>
        <w:gridCol w:w="1600"/>
        <w:gridCol w:w="2300"/>
        <w:gridCol w:w="2110"/>
      </w:tblGrid>
      <w:tr>
        <w:trPr>
          <w:tblHeader w:val="true"/>
        </w:trPr>
        <w:tc>
          <w:tcPr>
            <w:tcW w:type="dxa" w:w="8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年份/类型</w:t>
            </w:r>
          </w:p>
        </w:tc>
        <w:tc>
          <w:tcPr>
            <w:tcW w:type="dxa" w:w="25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论文或软件</w:t>
            </w:r>
          </w:p>
        </w:tc>
        <w:tc>
          <w:tcPr>
            <w:tcW w:type="dxa" w:w="16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期刊/开放性</w:t>
            </w:r>
          </w:p>
        </w:tc>
        <w:tc>
          <w:tcPr>
            <w:tcW w:type="dxa" w:w="23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来源类型/关系</w:t>
            </w:r>
          </w:p>
        </w:tc>
        <w:tc>
          <w:tcPr>
            <w:tcW w:type="dxa" w:w="211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链接</w:t>
            </w:r>
          </w:p>
        </w:tc>
      </w:tr>
      <w:tr>
        <w:trPr>
          <w:cantSplit/>
        </w:trPr>
        <w:tc>
          <w:tcPr>
            <w:tcW w:type="dxa" w:w="850"/>
          </w:tcPr>
          <w:p>
            <w:pPr>
              <w:keepLines/>
              <w:spacing w:after="0" w:line="276" w:lineRule="auto"/>
            </w:pPr>
            <w:r>
              <w:rPr>
                <w:rFonts w:ascii="Calibri" w:hAnsi="Calibri" w:eastAsia="Microsoft YaHei"/>
                <w:color w:val="0B2545"/>
                <w:sz w:val="14"/>
              </w:rPr>
              <w:t>2019</w:t>
            </w:r>
          </w:p>
        </w:tc>
        <w:tc>
          <w:tcPr>
            <w:tcW w:type="dxa" w:w="2500"/>
          </w:tcPr>
          <w:p>
            <w:pPr>
              <w:keepLines/>
              <w:spacing w:after="0" w:line="276" w:lineRule="auto"/>
            </w:pPr>
            <w:r>
              <w:rPr>
                <w:rFonts w:ascii="Calibri" w:hAnsi="Calibri" w:eastAsia="Microsoft YaHei"/>
                <w:color w:val="0B2545"/>
                <w:sz w:val="14"/>
              </w:rPr>
              <w:t>Fiber-optic current sensor for plasma current on experimental advanced superconducting tokamak</w:t>
            </w:r>
          </w:p>
        </w:tc>
        <w:tc>
          <w:tcPr>
            <w:tcW w:type="dxa" w:w="1600"/>
          </w:tcPr>
          <w:p>
            <w:pPr>
              <w:keepLines/>
              <w:spacing w:after="0" w:line="276" w:lineRule="auto"/>
            </w:pPr>
            <w:r>
              <w:rPr>
                <w:rFonts w:ascii="Calibri" w:hAnsi="Calibri" w:eastAsia="Microsoft YaHei"/>
                <w:color w:val="0B2545"/>
                <w:sz w:val="14"/>
              </w:rPr>
              <w:t>Fusion Engineering and Design</w:t>
            </w:r>
          </w:p>
        </w:tc>
        <w:tc>
          <w:tcPr>
            <w:tcW w:type="dxa" w:w="2300"/>
          </w:tcPr>
          <w:p>
            <w:pPr>
              <w:keepLines/>
              <w:spacing w:after="0" w:line="276" w:lineRule="auto"/>
            </w:pPr>
            <w:r>
              <w:rPr>
                <w:rFonts w:ascii="Calibri" w:hAnsi="Calibri" w:eastAsia="Microsoft YaHei"/>
                <w:color w:val="0B2545"/>
                <w:sz w:val="14"/>
              </w:rPr>
              <w:t>peer-reviewed-journal</w:t>
            </w:r>
          </w:p>
        </w:tc>
        <w:tc>
          <w:tcPr>
            <w:tcW w:type="dxa" w:w="2110"/>
          </w:tcPr>
          <w:p>
            <w:pPr>
              <w:keepLines/>
              <w:spacing w:after="0" w:line="276" w:lineRule="auto"/>
            </w:pPr>
            <w:hyperlink r:id="rId40">
              <w:r>
                <w:rPr>
                  <w:rFonts w:ascii="Calibri" w:hAnsi="Calibri" w:eastAsia="Microsoft YaHei"/>
                  <w:color w:val="008C95"/>
                  <w:u w:val="single"/>
                </w:rPr>
                <w:t>打开原始来源 ↗</w:t>
              </w:r>
            </w:hyperlink>
          </w:p>
        </w:tc>
      </w:tr>
      <w:tr>
        <w:trPr>
          <w:cantSplit/>
        </w:trPr>
        <w:tc>
          <w:tcPr>
            <w:tcW w:type="dxa" w:w="850"/>
          </w:tcPr>
          <w:p>
            <w:pPr>
              <w:keepLines/>
              <w:spacing w:after="0" w:line="276" w:lineRule="auto"/>
            </w:pPr>
            <w:r>
              <w:rPr>
                <w:rFonts w:ascii="Calibri" w:hAnsi="Calibri" w:eastAsia="Microsoft YaHei"/>
                <w:color w:val="0B2545"/>
                <w:sz w:val="14"/>
              </w:rPr>
              <w:t>2019</w:t>
            </w:r>
          </w:p>
        </w:tc>
        <w:tc>
          <w:tcPr>
            <w:tcW w:type="dxa" w:w="2500"/>
          </w:tcPr>
          <w:p>
            <w:pPr>
              <w:keepLines/>
              <w:spacing w:after="0" w:line="276" w:lineRule="auto"/>
            </w:pPr>
            <w:r>
              <w:rPr>
                <w:rFonts w:ascii="Calibri" w:hAnsi="Calibri" w:eastAsia="Microsoft YaHei"/>
                <w:color w:val="0B2545"/>
                <w:sz w:val="14"/>
              </w:rPr>
              <w:t>Upgrade of poloidal field coils current measurement system on Experimental Advanced Superconducting Tokamak</w:t>
            </w:r>
          </w:p>
        </w:tc>
        <w:tc>
          <w:tcPr>
            <w:tcW w:type="dxa" w:w="1600"/>
          </w:tcPr>
          <w:p>
            <w:pPr>
              <w:keepLines/>
              <w:spacing w:after="0" w:line="276" w:lineRule="auto"/>
            </w:pPr>
            <w:r>
              <w:rPr>
                <w:rFonts w:ascii="Calibri" w:hAnsi="Calibri" w:eastAsia="Microsoft YaHei"/>
                <w:color w:val="0B2545"/>
                <w:sz w:val="14"/>
              </w:rPr>
              <w:t>Fusion Engineering and Design</w:t>
            </w:r>
          </w:p>
        </w:tc>
        <w:tc>
          <w:tcPr>
            <w:tcW w:type="dxa" w:w="2300"/>
          </w:tcPr>
          <w:p>
            <w:pPr>
              <w:keepLines/>
              <w:spacing w:after="0" w:line="276" w:lineRule="auto"/>
            </w:pPr>
            <w:r>
              <w:rPr>
                <w:rFonts w:ascii="Calibri" w:hAnsi="Calibri" w:eastAsia="Microsoft YaHei"/>
                <w:color w:val="0B2545"/>
                <w:sz w:val="14"/>
              </w:rPr>
              <w:t>peer-reviewed-journal</w:t>
            </w:r>
          </w:p>
        </w:tc>
        <w:tc>
          <w:tcPr>
            <w:tcW w:type="dxa" w:w="2110"/>
          </w:tcPr>
          <w:p>
            <w:pPr>
              <w:keepLines/>
              <w:spacing w:after="0" w:line="276" w:lineRule="auto"/>
            </w:pPr>
            <w:hyperlink r:id="rId41">
              <w:r>
                <w:rPr>
                  <w:rFonts w:ascii="Calibri" w:hAnsi="Calibri" w:eastAsia="Microsoft YaHei"/>
                  <w:color w:val="008C95"/>
                  <w:u w:val="single"/>
                </w:rPr>
                <w:t>打开原始来源 ↗</w:t>
              </w:r>
            </w:hyperlink>
          </w:p>
        </w:tc>
      </w:tr>
      <w:tr>
        <w:trPr>
          <w:cantSplit/>
        </w:trPr>
        <w:tc>
          <w:tcPr>
            <w:tcW w:type="dxa" w:w="850"/>
          </w:tcPr>
          <w:p>
            <w:pPr>
              <w:keepLines/>
              <w:spacing w:after="0" w:line="276" w:lineRule="auto"/>
            </w:pPr>
            <w:r>
              <w:rPr>
                <w:rFonts w:ascii="Calibri" w:hAnsi="Calibri" w:eastAsia="Microsoft YaHei"/>
                <w:color w:val="0B2545"/>
                <w:sz w:val="14"/>
              </w:rPr>
              <w:t>2019</w:t>
            </w:r>
          </w:p>
        </w:tc>
        <w:tc>
          <w:tcPr>
            <w:tcW w:type="dxa" w:w="2500"/>
          </w:tcPr>
          <w:p>
            <w:pPr>
              <w:keepLines/>
              <w:spacing w:after="0" w:line="276" w:lineRule="auto"/>
            </w:pPr>
            <w:r>
              <w:rPr>
                <w:rFonts w:ascii="Calibri" w:hAnsi="Calibri" w:eastAsia="Microsoft YaHei"/>
                <w:color w:val="0B2545"/>
                <w:sz w:val="14"/>
              </w:rPr>
              <w:t>Effect of Faraday mirror imperfections in a fiber optic current sensor dedicated to ITER</w:t>
            </w:r>
          </w:p>
        </w:tc>
        <w:tc>
          <w:tcPr>
            <w:tcW w:type="dxa" w:w="1600"/>
          </w:tcPr>
          <w:p>
            <w:pPr>
              <w:keepLines/>
              <w:spacing w:after="0" w:line="276" w:lineRule="auto"/>
            </w:pPr>
            <w:r>
              <w:rPr>
                <w:rFonts w:ascii="Calibri" w:hAnsi="Calibri" w:eastAsia="Microsoft YaHei"/>
                <w:color w:val="0B2545"/>
                <w:sz w:val="14"/>
              </w:rPr>
              <w:t>Fusion Engineering and Design</w:t>
            </w:r>
          </w:p>
        </w:tc>
        <w:tc>
          <w:tcPr>
            <w:tcW w:type="dxa" w:w="2300"/>
          </w:tcPr>
          <w:p>
            <w:pPr>
              <w:keepLines/>
              <w:spacing w:after="0" w:line="276" w:lineRule="auto"/>
            </w:pPr>
            <w:r>
              <w:rPr>
                <w:rFonts w:ascii="Calibri" w:hAnsi="Calibri" w:eastAsia="Microsoft YaHei"/>
                <w:color w:val="0B2545"/>
                <w:sz w:val="14"/>
              </w:rPr>
              <w:t>peer-reviewed-journal</w:t>
            </w:r>
          </w:p>
        </w:tc>
        <w:tc>
          <w:tcPr>
            <w:tcW w:type="dxa" w:w="2110"/>
          </w:tcPr>
          <w:p>
            <w:pPr>
              <w:keepLines/>
              <w:spacing w:after="0" w:line="276" w:lineRule="auto"/>
            </w:pPr>
            <w:hyperlink r:id="rId42">
              <w:r>
                <w:rPr>
                  <w:rFonts w:ascii="Calibri" w:hAnsi="Calibri" w:eastAsia="Microsoft YaHei"/>
                  <w:color w:val="008C95"/>
                  <w:u w:val="single"/>
                </w:rPr>
                <w:t>打开原始来源 ↗</w:t>
              </w:r>
            </w:hyperlink>
          </w:p>
        </w:tc>
      </w:tr>
      <w:tr>
        <w:trPr>
          <w:cantSplit/>
        </w:trPr>
        <w:tc>
          <w:tcPr>
            <w:tcW w:type="dxa" w:w="850"/>
          </w:tcPr>
          <w:p>
            <w:pPr>
              <w:keepLines/>
              <w:spacing w:after="0" w:line="276" w:lineRule="auto"/>
            </w:pPr>
            <w:r>
              <w:rPr>
                <w:rFonts w:ascii="Calibri" w:hAnsi="Calibri" w:eastAsia="Microsoft YaHei"/>
                <w:color w:val="0B2545"/>
                <w:sz w:val="14"/>
              </w:rPr>
              <w:t>软件</w:t>
            </w:r>
          </w:p>
        </w:tc>
        <w:tc>
          <w:tcPr>
            <w:tcW w:type="dxa" w:w="2500"/>
          </w:tcPr>
          <w:p>
            <w:pPr>
              <w:keepLines/>
              <w:spacing w:after="0" w:line="276" w:lineRule="auto"/>
            </w:pPr>
            <w:r>
              <w:rPr>
                <w:rFonts w:ascii="Calibri" w:hAnsi="Calibri" w:eastAsia="Microsoft YaHei"/>
                <w:color w:val="0B2545"/>
                <w:sz w:val="14"/>
              </w:rPr>
              <w:t>装置专有分析/标定软件</w:t>
            </w:r>
          </w:p>
        </w:tc>
        <w:tc>
          <w:tcPr>
            <w:tcW w:type="dxa" w:w="1600"/>
          </w:tcPr>
          <w:p>
            <w:pPr>
              <w:keepLines/>
              <w:spacing w:after="0" w:line="276" w:lineRule="auto"/>
            </w:pPr>
            <w:r>
              <w:rPr>
                <w:rFonts w:ascii="Calibri" w:hAnsi="Calibri" w:eastAsia="Microsoft YaHei"/>
                <w:color w:val="0B2545"/>
                <w:sz w:val="14"/>
              </w:rPr>
              <w:t>not-public</w:t>
            </w:r>
          </w:p>
        </w:tc>
        <w:tc>
          <w:tcPr>
            <w:tcW w:type="dxa" w:w="2300"/>
          </w:tcPr>
          <w:p>
            <w:pPr>
              <w:keepLines/>
              <w:spacing w:after="0" w:line="276" w:lineRule="auto"/>
            </w:pPr>
            <w:r>
              <w:rPr>
                <w:rFonts w:ascii="Calibri" w:hAnsi="Calibri" w:eastAsia="Microsoft YaHei"/>
                <w:color w:val="0B2545"/>
                <w:sz w:val="14"/>
              </w:rPr>
              <w:t>偏振解调与装置实时接口未发布。</w:t>
            </w:r>
          </w:p>
        </w:tc>
        <w:tc>
          <w:tcPr>
            <w:tcW w:type="dxa" w:w="2110"/>
          </w:tcPr>
          <w:p>
            <w:pPr>
              <w:keepLines/>
              <w:spacing w:after="0" w:line="276" w:lineRule="auto"/>
            </w:pPr>
            <w:r>
              <w:rPr>
                <w:rFonts w:ascii="Calibri" w:hAnsi="Calibri" w:eastAsia="Microsoft YaHei"/>
                <w:color w:val="0B2545"/>
                <w:sz w:val="14"/>
              </w:rPr>
              <w:t>未公开</w:t>
            </w:r>
          </w:p>
        </w:tc>
      </w:tr>
    </w:tbl>
    <w:p>
      <w:pPr>
        <w:spacing w:before="0" w:after="60"/>
      </w:pPr>
    </w:p>
    <w:p>
      <w:pPr>
        <w:pStyle w:val="Heading3"/>
        <w:keepNext/>
      </w:pPr>
      <w:r>
        <w:t>DG1.04  动生斯塔克效应：内部磁场与电流密度剖面</w:t>
      </w:r>
    </w:p>
    <w:p>
      <w:pPr>
        <w:keepNext/>
        <w:spacing w:after="80"/>
      </w:pPr>
      <w:r>
        <w:rPr>
          <w:rFonts w:ascii="Calibri" w:hAnsi="Calibri" w:eastAsia="Microsoft YaHei"/>
          <w:i/>
          <w:color w:val="566573"/>
          <w:sz w:val="18"/>
        </w:rPr>
        <w:t>Motional Stark effect for internal field and current profile</w:t>
      </w:r>
    </w:p>
    <w:tbl>
      <w:tblPr>
        <w:tblStyle w:val="TableGrid"/>
        <w:tblW w:type="dxa" w:w="9360"/>
        <w:jc w:val="left"/>
        <w:tblLayout w:type="fixed"/>
        <w:tblLook w:firstColumn="1" w:firstRow="1" w:lastColumn="0" w:lastRow="0" w:noHBand="0" w:noVBand="1" w:val="04A0"/>
        <w:tblInd w:w="120" w:type="dxa"/>
      </w:tblPr>
      <w:tblGrid>
        <w:gridCol w:w="1200"/>
        <w:gridCol w:w="750"/>
        <w:gridCol w:w="750"/>
        <w:gridCol w:w="2100"/>
        <w:gridCol w:w="4560"/>
      </w:tblGrid>
      <w:tr>
        <w:trPr>
          <w:tblHeader w:val="true"/>
        </w:trPr>
        <w:tc>
          <w:tcPr>
            <w:tcW w:type="dxa" w:w="12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工作 ID</w:t>
            </w:r>
          </w:p>
        </w:tc>
        <w:tc>
          <w:tcPr>
            <w:tcW w:type="dxa" w:w="7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证据</w:t>
            </w:r>
          </w:p>
        </w:tc>
        <w:tc>
          <w:tcPr>
            <w:tcW w:type="dxa" w:w="7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部署</w:t>
            </w:r>
          </w:p>
        </w:tc>
        <w:tc>
          <w:tcPr>
            <w:tcW w:type="dxa" w:w="21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技术族</w:t>
            </w:r>
          </w:p>
        </w:tc>
        <w:tc>
          <w:tcPr>
            <w:tcW w:type="dxa" w:w="456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装置</w:t>
            </w:r>
          </w:p>
        </w:tc>
      </w:tr>
      <w:tr>
        <w:trPr>
          <w:cantSplit/>
        </w:trPr>
        <w:tc>
          <w:tcPr>
            <w:tcW w:type="dxa" w:w="1200"/>
          </w:tcPr>
          <w:p>
            <w:pPr>
              <w:keepLines/>
              <w:spacing w:after="0" w:line="276" w:lineRule="auto"/>
            </w:pPr>
            <w:r>
              <w:rPr>
                <w:rFonts w:ascii="Calibri" w:hAnsi="Calibri" w:eastAsia="Microsoft YaHei"/>
                <w:color w:val="0B2545"/>
                <w:sz w:val="15"/>
              </w:rPr>
              <w:t>DG1-004</w:t>
            </w:r>
          </w:p>
        </w:tc>
        <w:tc>
          <w:tcPr>
            <w:tcW w:type="dxa" w:w="750"/>
          </w:tcPr>
          <w:p>
            <w:pPr>
              <w:keepLines/>
              <w:spacing w:after="0" w:line="276" w:lineRule="auto"/>
            </w:pPr>
            <w:r>
              <w:rPr>
                <w:rFonts w:ascii="Calibri" w:hAnsi="Calibri" w:eastAsia="Microsoft YaHei"/>
                <w:color w:val="0B2545"/>
                <w:sz w:val="15"/>
              </w:rPr>
              <w:t>E4</w:t>
            </w:r>
          </w:p>
        </w:tc>
        <w:tc>
          <w:tcPr>
            <w:tcW w:type="dxa" w:w="750"/>
          </w:tcPr>
          <w:p>
            <w:pPr>
              <w:keepLines/>
              <w:spacing w:after="0" w:line="276" w:lineRule="auto"/>
            </w:pPr>
            <w:r>
              <w:rPr>
                <w:rFonts w:ascii="Calibri" w:hAnsi="Calibri" w:eastAsia="Microsoft YaHei"/>
                <w:color w:val="0B2545"/>
                <w:sz w:val="15"/>
              </w:rPr>
              <w:t>D4</w:t>
            </w:r>
          </w:p>
        </w:tc>
        <w:tc>
          <w:tcPr>
            <w:tcW w:type="dxa" w:w="2100"/>
          </w:tcPr>
          <w:p>
            <w:pPr>
              <w:keepLines/>
              <w:spacing w:after="0" w:line="276" w:lineRule="auto"/>
            </w:pPr>
            <w:r>
              <w:rPr>
                <w:rFonts w:ascii="Calibri" w:hAnsi="Calibri" w:eastAsia="Microsoft YaHei"/>
                <w:color w:val="0B2545"/>
                <w:sz w:val="15"/>
              </w:rPr>
              <w:t>OPTICAL</w:t>
            </w:r>
          </w:p>
        </w:tc>
        <w:tc>
          <w:tcPr>
            <w:tcW w:type="dxa" w:w="4560"/>
          </w:tcPr>
          <w:p>
            <w:pPr>
              <w:keepLines/>
              <w:spacing w:after="0" w:line="276" w:lineRule="auto"/>
            </w:pPr>
            <w:r>
              <w:rPr>
                <w:rFonts w:ascii="Calibri" w:hAnsi="Calibri" w:eastAsia="Microsoft YaHei"/>
                <w:color w:val="0B2545"/>
                <w:sz w:val="15"/>
              </w:rPr>
              <w:t>DIII-D；MST；KSTAR</w:t>
            </w:r>
          </w:p>
        </w:tc>
      </w:tr>
    </w:tbl>
    <w:p>
      <w:pPr>
        <w:spacing w:before="0" w:after="60"/>
      </w:pPr>
    </w:p>
    <w:p>
      <w:pPr>
        <w:widowControl/>
      </w:pPr>
      <w:r>
        <w:rPr>
          <w:rFonts w:ascii="Calibri" w:hAnsi="Calibri" w:eastAsia="Microsoft YaHei"/>
          <w:b/>
          <w:color w:val="1F4D78"/>
        </w:rPr>
        <w:t>解决问题：</w:t>
      </w:r>
      <w:r>
        <w:rPr>
          <w:rFonts w:ascii="Calibri" w:hAnsi="Calibri" w:eastAsia="Microsoft YaHei"/>
        </w:rPr>
        <w:t>为仅靠外部磁测量不可唯一确定的内部安全因子和电流密度提供局部约束。</w:t>
      </w:r>
    </w:p>
    <w:p>
      <w:pPr>
        <w:widowControl/>
      </w:pPr>
      <w:r>
        <w:rPr>
          <w:rFonts w:ascii="Calibri" w:hAnsi="Calibri" w:eastAsia="Microsoft YaHei"/>
          <w:b/>
          <w:color w:val="1F4D78"/>
        </w:rPr>
        <w:t>测量原理：</w:t>
      </w:r>
      <w:r>
        <w:rPr>
          <w:rFonts w:ascii="Calibri" w:hAnsi="Calibri" w:eastAsia="Microsoft YaHei"/>
        </w:rPr>
        <w:t>中性束原子在v×B等效电场中发生斯塔克分裂；Dα偏振方向编码局部磁场倾角。</w:t>
      </w:r>
    </w:p>
    <w:p>
      <w:pPr>
        <w:widowControl/>
      </w:pPr>
      <w:r>
        <w:rPr>
          <w:rFonts w:ascii="Calibri" w:hAnsi="Calibri" w:eastAsia="Microsoft YaHei"/>
          <w:b/>
          <w:color w:val="1F4D78"/>
        </w:rPr>
        <w:t>测量产品：</w:t>
      </w:r>
      <w:r>
        <w:rPr>
          <w:rFonts w:ascii="Calibri" w:hAnsi="Calibri" w:eastAsia="Microsoft YaHei"/>
        </w:rPr>
        <w:t>magnetic pitch angle；q profile；current-density profile</w:t>
      </w:r>
    </w:p>
    <w:p>
      <w:pPr>
        <w:widowControl/>
      </w:pPr>
      <w:r>
        <w:rPr>
          <w:rFonts w:ascii="Calibri" w:hAnsi="Calibri" w:eastAsia="Microsoft YaHei"/>
          <w:b/>
          <w:color w:val="1F4D78"/>
        </w:rPr>
        <w:t>时空分辨与覆盖：</w:t>
      </w:r>
      <w:r>
        <w:rPr>
          <w:rFonts w:ascii="Calibri" w:hAnsi="Calibri" w:eastAsia="Microsoft YaHei"/>
        </w:rPr>
        <w:t>时间：因装置、采集和分析链而异；原始来源未给出统一数值。；空间：由视线、几何和反演设定；原始来源未给出统一数值。</w:t>
      </w:r>
    </w:p>
    <w:p>
      <w:pPr>
        <w:widowControl/>
      </w:pPr>
      <w:r>
        <w:rPr>
          <w:rFonts w:ascii="Calibri" w:hAnsi="Calibri" w:eastAsia="Microsoft YaHei"/>
          <w:b/>
          <w:color w:val="1F4D78"/>
        </w:rPr>
        <w:t>仪器与传感器：</w:t>
      </w:r>
      <w:r>
        <w:rPr>
          <w:rFonts w:ascii="Calibri" w:hAnsi="Calibri" w:eastAsia="Microsoft YaHei"/>
        </w:rPr>
        <w:t>neutral beam；polarization optics；photoelastic modulators；spectrometers；CCD/photodiodes</w:t>
      </w:r>
    </w:p>
    <w:p>
      <w:pPr>
        <w:widowControl/>
      </w:pPr>
      <w:r>
        <w:rPr>
          <w:rFonts w:ascii="Calibri" w:hAnsi="Calibri" w:eastAsia="Microsoft YaHei"/>
          <w:b/>
          <w:color w:val="1F4D78"/>
        </w:rPr>
        <w:t>标定与质量：</w:t>
      </w:r>
      <w:r>
        <w:rPr>
          <w:rFonts w:ascii="Calibri" w:hAnsi="Calibri" w:eastAsia="Microsoft YaHei"/>
        </w:rPr>
        <w:t>用旋转偏振片和Mueller矩阵做真空内外标定；束关闭测背景并控制视线/偏振零点。</w:t>
      </w:r>
    </w:p>
    <w:p>
      <w:pPr>
        <w:widowControl/>
      </w:pPr>
      <w:r>
        <w:rPr>
          <w:rFonts w:ascii="Calibri" w:hAnsi="Calibri" w:eastAsia="Microsoft YaHei"/>
          <w:b/>
          <w:color w:val="1F4D78"/>
        </w:rPr>
        <w:t>反演与分析：</w:t>
      </w:r>
      <w:r>
        <w:rPr>
          <w:rFonts w:ascii="Calibri" w:hAnsi="Calibri" w:eastAsia="Microsoft YaHei"/>
        </w:rPr>
        <w:t>锁相或Stokes解调得到偏振角，再作为EFIT内部约束；传播束几何、径向电场和零点误差。</w:t>
      </w:r>
    </w:p>
    <w:p>
      <w:pPr>
        <w:widowControl/>
      </w:pPr>
      <w:r>
        <w:rPr>
          <w:rFonts w:ascii="Calibri" w:hAnsi="Calibri" w:eastAsia="Microsoft YaHei"/>
          <w:b/>
          <w:color w:val="1F4D78"/>
        </w:rPr>
        <w:t>验证与应用：</w:t>
      </w:r>
      <w:r>
        <w:rPr>
          <w:rFonts w:ascii="Calibri" w:hAnsi="Calibri" w:eastAsia="Microsoft YaHei"/>
        </w:rPr>
        <w:t>DIII-D 装置在线 MSE 测量通过多视线重复性、原位偏振校准及与磁平衡、锯齿/MHD位置一致性验证。</w:t>
      </w:r>
    </w:p>
    <w:p>
      <w:pPr>
        <w:widowControl/>
      </w:pPr>
      <w:r>
        <w:rPr>
          <w:rFonts w:ascii="Calibri" w:hAnsi="Calibri" w:eastAsia="Microsoft YaHei"/>
          <w:b/>
          <w:color w:val="1F4D78"/>
        </w:rPr>
        <w:t>局限与边界：</w:t>
      </w:r>
      <w:r>
        <w:rPr>
          <w:rFonts w:ascii="Calibri" w:hAnsi="Calibri" w:eastAsia="Microsoft YaHei"/>
        </w:rPr>
        <w:t>依赖中性束；背景Dα、窗双折射、径向电场和有限束宽形成系统误差。</w:t>
      </w:r>
    </w:p>
    <w:tbl>
      <w:tblPr>
        <w:tblStyle w:val="TableGrid"/>
        <w:tblW w:type="dxa" w:w="9360"/>
        <w:jc w:val="left"/>
        <w:tblLayout w:type="fixed"/>
        <w:tblLook w:firstColumn="1" w:firstRow="1" w:lastColumn="0" w:lastRow="0" w:noHBand="0" w:noVBand="1" w:val="04A0"/>
        <w:tblInd w:w="120" w:type="dxa"/>
      </w:tblPr>
      <w:tblGrid>
        <w:gridCol w:w="9360"/>
      </w:tblGrid>
      <w:tr>
        <w:trPr>
          <w:cantSplit/>
        </w:trPr>
        <w:tc>
          <w:tcPr>
            <w:tcW w:type="dxa" w:w="9360"/>
            <w:tcMar>
              <w:top w:w="80" w:type="dxa"/>
              <w:bottom w:w="80" w:type="dxa"/>
              <w:start w:w="120" w:type="dxa"/>
              <w:end w:w="120" w:type="dxa"/>
            </w:tcMar>
            <w:vAlign w:val="center"/>
            <w:shd w:fill="EEF7F7"/>
          </w:tcPr>
          <w:p>
            <w:pPr>
              <w:keepNext/>
              <w:keepLines/>
              <w:spacing w:after="40"/>
            </w:pPr>
            <w:r>
              <w:rPr>
                <w:rFonts w:ascii="Calibri" w:hAnsi="Calibri" w:eastAsia="Microsoft YaHei"/>
                <w:b/>
                <w:color w:val="008C95"/>
                <w:sz w:val="17"/>
              </w:rPr>
              <w:t>DIGITAL-TWIN RELEVANCE</w:t>
            </w:r>
          </w:p>
          <w:p>
            <w:pPr>
              <w:spacing w:after="0"/>
            </w:pPr>
            <w:r>
              <w:rPr>
                <w:rFonts w:ascii="Calibri" w:hAnsi="Calibri" w:eastAsia="Microsoft YaHei"/>
                <w:color w:val="0B2545"/>
                <w:sz w:val="20"/>
              </w:rPr>
              <w:t>将外部平衡升级为内部剖面状态；孪生应保存原始Stokes量与标定协方差。</w:t>
            </w:r>
          </w:p>
        </w:tc>
      </w:tr>
    </w:tbl>
    <w:p>
      <w:pPr>
        <w:spacing w:after="40"/>
      </w:pPr>
    </w:p>
    <w:tbl>
      <w:tblPr>
        <w:tblStyle w:val="TableGrid"/>
        <w:tblW w:type="dxa" w:w="9360"/>
        <w:jc w:val="left"/>
        <w:tblLayout w:type="fixed"/>
        <w:tblLook w:firstColumn="1" w:firstRow="1" w:lastColumn="0" w:lastRow="0" w:noHBand="0" w:noVBand="1" w:val="04A0"/>
        <w:tblInd w:w="120" w:type="dxa"/>
      </w:tblPr>
      <w:tblGrid>
        <w:gridCol w:w="850"/>
        <w:gridCol w:w="2500"/>
        <w:gridCol w:w="1600"/>
        <w:gridCol w:w="2300"/>
        <w:gridCol w:w="2110"/>
      </w:tblGrid>
      <w:tr>
        <w:trPr>
          <w:tblHeader w:val="true"/>
        </w:trPr>
        <w:tc>
          <w:tcPr>
            <w:tcW w:type="dxa" w:w="8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年份/类型</w:t>
            </w:r>
          </w:p>
        </w:tc>
        <w:tc>
          <w:tcPr>
            <w:tcW w:type="dxa" w:w="25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论文或软件</w:t>
            </w:r>
          </w:p>
        </w:tc>
        <w:tc>
          <w:tcPr>
            <w:tcW w:type="dxa" w:w="16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期刊/开放性</w:t>
            </w:r>
          </w:p>
        </w:tc>
        <w:tc>
          <w:tcPr>
            <w:tcW w:type="dxa" w:w="23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来源类型/关系</w:t>
            </w:r>
          </w:p>
        </w:tc>
        <w:tc>
          <w:tcPr>
            <w:tcW w:type="dxa" w:w="211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链接</w:t>
            </w:r>
          </w:p>
        </w:tc>
      </w:tr>
      <w:tr>
        <w:trPr>
          <w:cantSplit/>
        </w:trPr>
        <w:tc>
          <w:tcPr>
            <w:tcW w:type="dxa" w:w="850"/>
          </w:tcPr>
          <w:p>
            <w:pPr>
              <w:keepLines/>
              <w:spacing w:after="0" w:line="276" w:lineRule="auto"/>
            </w:pPr>
            <w:r>
              <w:rPr>
                <w:rFonts w:ascii="Calibri" w:hAnsi="Calibri" w:eastAsia="Microsoft YaHei"/>
                <w:color w:val="0B2545"/>
                <w:sz w:val="14"/>
              </w:rPr>
              <w:t>1990</w:t>
            </w:r>
          </w:p>
        </w:tc>
        <w:tc>
          <w:tcPr>
            <w:tcW w:type="dxa" w:w="2500"/>
          </w:tcPr>
          <w:p>
            <w:pPr>
              <w:keepLines/>
              <w:spacing w:after="0" w:line="276" w:lineRule="auto"/>
            </w:pPr>
            <w:r>
              <w:rPr>
                <w:rFonts w:ascii="Calibri" w:hAnsi="Calibri" w:eastAsia="Microsoft YaHei"/>
                <w:color w:val="0B2545"/>
                <w:sz w:val="14"/>
              </w:rPr>
              <w:t>Motional Stark effect polarimetry for a current profile diagnostic in DIII-D</w:t>
            </w:r>
          </w:p>
        </w:tc>
        <w:tc>
          <w:tcPr>
            <w:tcW w:type="dxa" w:w="1600"/>
          </w:tcPr>
          <w:p>
            <w:pPr>
              <w:keepLines/>
              <w:spacing w:after="0" w:line="276" w:lineRule="auto"/>
            </w:pPr>
            <w:r>
              <w:rPr>
                <w:rFonts w:ascii="Calibri" w:hAnsi="Calibri" w:eastAsia="Microsoft YaHei"/>
                <w:color w:val="0B2545"/>
                <w:sz w:val="14"/>
              </w:rPr>
              <w:t>Review of Scientific Instruments</w:t>
            </w:r>
          </w:p>
        </w:tc>
        <w:tc>
          <w:tcPr>
            <w:tcW w:type="dxa" w:w="2300"/>
          </w:tcPr>
          <w:p>
            <w:pPr>
              <w:keepLines/>
              <w:spacing w:after="0" w:line="276" w:lineRule="auto"/>
            </w:pPr>
            <w:r>
              <w:rPr>
                <w:rFonts w:ascii="Calibri" w:hAnsi="Calibri" w:eastAsia="Microsoft YaHei"/>
                <w:color w:val="0B2545"/>
                <w:sz w:val="14"/>
              </w:rPr>
              <w:t>peer-reviewed-journal</w:t>
            </w:r>
          </w:p>
        </w:tc>
        <w:tc>
          <w:tcPr>
            <w:tcW w:type="dxa" w:w="2110"/>
          </w:tcPr>
          <w:p>
            <w:pPr>
              <w:keepLines/>
              <w:spacing w:after="0" w:line="276" w:lineRule="auto"/>
            </w:pPr>
            <w:hyperlink r:id="rId43">
              <w:r>
                <w:rPr>
                  <w:rFonts w:ascii="Calibri" w:hAnsi="Calibri" w:eastAsia="Microsoft YaHei"/>
                  <w:color w:val="008C95"/>
                  <w:u w:val="single"/>
                </w:rPr>
                <w:t>打开原始来源 ↗</w:t>
              </w:r>
            </w:hyperlink>
          </w:p>
        </w:tc>
      </w:tr>
      <w:tr>
        <w:trPr>
          <w:cantSplit/>
        </w:trPr>
        <w:tc>
          <w:tcPr>
            <w:tcW w:type="dxa" w:w="850"/>
          </w:tcPr>
          <w:p>
            <w:pPr>
              <w:keepLines/>
              <w:spacing w:after="0" w:line="276" w:lineRule="auto"/>
            </w:pPr>
            <w:r>
              <w:rPr>
                <w:rFonts w:ascii="Calibri" w:hAnsi="Calibri" w:eastAsia="Microsoft YaHei"/>
                <w:color w:val="0B2545"/>
                <w:sz w:val="14"/>
              </w:rPr>
              <w:t>2006</w:t>
            </w:r>
          </w:p>
        </w:tc>
        <w:tc>
          <w:tcPr>
            <w:tcW w:type="dxa" w:w="2500"/>
          </w:tcPr>
          <w:p>
            <w:pPr>
              <w:keepLines/>
              <w:spacing w:after="0" w:line="276" w:lineRule="auto"/>
            </w:pPr>
            <w:r>
              <w:rPr>
                <w:rFonts w:ascii="Calibri" w:hAnsi="Calibri" w:eastAsia="Microsoft YaHei"/>
                <w:color w:val="0B2545"/>
                <w:sz w:val="14"/>
              </w:rPr>
              <w:t>Improved signal analysis for the calibration of the motional Stark effect diagnostic</w:t>
            </w:r>
          </w:p>
        </w:tc>
        <w:tc>
          <w:tcPr>
            <w:tcW w:type="dxa" w:w="1600"/>
          </w:tcPr>
          <w:p>
            <w:pPr>
              <w:keepLines/>
              <w:spacing w:after="0" w:line="276" w:lineRule="auto"/>
            </w:pPr>
            <w:r>
              <w:rPr>
                <w:rFonts w:ascii="Calibri" w:hAnsi="Calibri" w:eastAsia="Microsoft YaHei"/>
                <w:color w:val="0B2545"/>
                <w:sz w:val="14"/>
              </w:rPr>
              <w:t>Review of Scientific Instruments</w:t>
            </w:r>
          </w:p>
        </w:tc>
        <w:tc>
          <w:tcPr>
            <w:tcW w:type="dxa" w:w="2300"/>
          </w:tcPr>
          <w:p>
            <w:pPr>
              <w:keepLines/>
              <w:spacing w:after="0" w:line="276" w:lineRule="auto"/>
            </w:pPr>
            <w:r>
              <w:rPr>
                <w:rFonts w:ascii="Calibri" w:hAnsi="Calibri" w:eastAsia="Microsoft YaHei"/>
                <w:color w:val="0B2545"/>
                <w:sz w:val="14"/>
              </w:rPr>
              <w:t>peer-reviewed-journal</w:t>
            </w:r>
          </w:p>
        </w:tc>
        <w:tc>
          <w:tcPr>
            <w:tcW w:type="dxa" w:w="2110"/>
          </w:tcPr>
          <w:p>
            <w:pPr>
              <w:keepLines/>
              <w:spacing w:after="0" w:line="276" w:lineRule="auto"/>
            </w:pPr>
            <w:hyperlink r:id="rId44">
              <w:r>
                <w:rPr>
                  <w:rFonts w:ascii="Calibri" w:hAnsi="Calibri" w:eastAsia="Microsoft YaHei"/>
                  <w:color w:val="008C95"/>
                  <w:u w:val="single"/>
                </w:rPr>
                <w:t>打开原始来源 ↗</w:t>
              </w:r>
            </w:hyperlink>
          </w:p>
        </w:tc>
      </w:tr>
      <w:tr>
        <w:trPr>
          <w:cantSplit/>
        </w:trPr>
        <w:tc>
          <w:tcPr>
            <w:tcW w:type="dxa" w:w="850"/>
          </w:tcPr>
          <w:p>
            <w:pPr>
              <w:keepLines/>
              <w:spacing w:after="0" w:line="276" w:lineRule="auto"/>
            </w:pPr>
            <w:r>
              <w:rPr>
                <w:rFonts w:ascii="Calibri" w:hAnsi="Calibri" w:eastAsia="Microsoft YaHei"/>
                <w:color w:val="0B2545"/>
                <w:sz w:val="14"/>
              </w:rPr>
              <w:t>软件</w:t>
            </w:r>
          </w:p>
        </w:tc>
        <w:tc>
          <w:tcPr>
            <w:tcW w:type="dxa" w:w="2500"/>
          </w:tcPr>
          <w:p>
            <w:pPr>
              <w:keepLines/>
              <w:spacing w:after="0" w:line="276" w:lineRule="auto"/>
            </w:pPr>
            <w:r>
              <w:rPr>
                <w:rFonts w:ascii="Calibri" w:hAnsi="Calibri" w:eastAsia="Microsoft YaHei"/>
                <w:color w:val="0B2545"/>
                <w:sz w:val="14"/>
              </w:rPr>
              <w:t>装置专有分析/标定软件</w:t>
            </w:r>
          </w:p>
        </w:tc>
        <w:tc>
          <w:tcPr>
            <w:tcW w:type="dxa" w:w="1600"/>
          </w:tcPr>
          <w:p>
            <w:pPr>
              <w:keepLines/>
              <w:spacing w:after="0" w:line="276" w:lineRule="auto"/>
            </w:pPr>
            <w:r>
              <w:rPr>
                <w:rFonts w:ascii="Calibri" w:hAnsi="Calibri" w:eastAsia="Microsoft YaHei"/>
                <w:color w:val="0B2545"/>
                <w:sz w:val="14"/>
              </w:rPr>
              <w:t>not-public</w:t>
            </w:r>
          </w:p>
        </w:tc>
        <w:tc>
          <w:tcPr>
            <w:tcW w:type="dxa" w:w="2300"/>
          </w:tcPr>
          <w:p>
            <w:pPr>
              <w:keepLines/>
              <w:spacing w:after="0" w:line="276" w:lineRule="auto"/>
            </w:pPr>
            <w:r>
              <w:rPr>
                <w:rFonts w:ascii="Calibri" w:hAnsi="Calibri" w:eastAsia="Microsoft YaHei"/>
                <w:color w:val="0B2545"/>
                <w:sz w:val="14"/>
              </w:rPr>
              <w:t>DIII-D MSE生产分析与标定库受控。</w:t>
            </w:r>
          </w:p>
        </w:tc>
        <w:tc>
          <w:tcPr>
            <w:tcW w:type="dxa" w:w="2110"/>
          </w:tcPr>
          <w:p>
            <w:pPr>
              <w:keepLines/>
              <w:spacing w:after="0" w:line="276" w:lineRule="auto"/>
            </w:pPr>
            <w:r>
              <w:rPr>
                <w:rFonts w:ascii="Calibri" w:hAnsi="Calibri" w:eastAsia="Microsoft YaHei"/>
                <w:color w:val="0B2545"/>
                <w:sz w:val="14"/>
              </w:rPr>
              <w:t>未公开</w:t>
            </w:r>
          </w:p>
        </w:tc>
      </w:tr>
    </w:tbl>
    <w:p>
      <w:pPr>
        <w:spacing w:before="0" w:after="60"/>
      </w:pPr>
    </w:p>
    <w:p>
      <w:pPr>
        <w:pStyle w:val="Heading3"/>
        <w:keepNext/>
      </w:pPr>
      <w:r>
        <w:t>DG1.05  实时磁平衡重建：rtEFIT与GPU实现</w:t>
      </w:r>
    </w:p>
    <w:p>
      <w:pPr>
        <w:keepNext/>
        <w:spacing w:after="80"/>
      </w:pPr>
      <w:r>
        <w:rPr>
          <w:rFonts w:ascii="Calibri" w:hAnsi="Calibri" w:eastAsia="Microsoft YaHei"/>
          <w:i/>
          <w:color w:val="566573"/>
          <w:sz w:val="18"/>
        </w:rPr>
        <w:t>Real-time magnetic-equilibrium reconstruction: rtEFIT and GPU implementations</w:t>
      </w:r>
    </w:p>
    <w:tbl>
      <w:tblPr>
        <w:tblStyle w:val="TableGrid"/>
        <w:tblW w:type="dxa" w:w="9360"/>
        <w:jc w:val="left"/>
        <w:tblLayout w:type="fixed"/>
        <w:tblLook w:firstColumn="1" w:firstRow="1" w:lastColumn="0" w:lastRow="0" w:noHBand="0" w:noVBand="1" w:val="04A0"/>
        <w:tblInd w:w="120" w:type="dxa"/>
      </w:tblPr>
      <w:tblGrid>
        <w:gridCol w:w="1200"/>
        <w:gridCol w:w="750"/>
        <w:gridCol w:w="750"/>
        <w:gridCol w:w="2100"/>
        <w:gridCol w:w="4560"/>
      </w:tblGrid>
      <w:tr>
        <w:trPr>
          <w:tblHeader w:val="true"/>
        </w:trPr>
        <w:tc>
          <w:tcPr>
            <w:tcW w:type="dxa" w:w="12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工作 ID</w:t>
            </w:r>
          </w:p>
        </w:tc>
        <w:tc>
          <w:tcPr>
            <w:tcW w:type="dxa" w:w="7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证据</w:t>
            </w:r>
          </w:p>
        </w:tc>
        <w:tc>
          <w:tcPr>
            <w:tcW w:type="dxa" w:w="7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部署</w:t>
            </w:r>
          </w:p>
        </w:tc>
        <w:tc>
          <w:tcPr>
            <w:tcW w:type="dxa" w:w="21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技术族</w:t>
            </w:r>
          </w:p>
        </w:tc>
        <w:tc>
          <w:tcPr>
            <w:tcW w:type="dxa" w:w="456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装置</w:t>
            </w:r>
          </w:p>
        </w:tc>
      </w:tr>
      <w:tr>
        <w:trPr>
          <w:cantSplit/>
        </w:trPr>
        <w:tc>
          <w:tcPr>
            <w:tcW w:type="dxa" w:w="1200"/>
          </w:tcPr>
          <w:p>
            <w:pPr>
              <w:keepLines/>
              <w:spacing w:after="0" w:line="276" w:lineRule="auto"/>
            </w:pPr>
            <w:r>
              <w:rPr>
                <w:rFonts w:ascii="Calibri" w:hAnsi="Calibri" w:eastAsia="Microsoft YaHei"/>
                <w:color w:val="0B2545"/>
                <w:sz w:val="15"/>
              </w:rPr>
              <w:t>DG1-005</w:t>
            </w:r>
          </w:p>
        </w:tc>
        <w:tc>
          <w:tcPr>
            <w:tcW w:type="dxa" w:w="750"/>
          </w:tcPr>
          <w:p>
            <w:pPr>
              <w:keepLines/>
              <w:spacing w:after="0" w:line="276" w:lineRule="auto"/>
            </w:pPr>
            <w:r>
              <w:rPr>
                <w:rFonts w:ascii="Calibri" w:hAnsi="Calibri" w:eastAsia="Microsoft YaHei"/>
                <w:color w:val="0B2545"/>
                <w:sz w:val="15"/>
              </w:rPr>
              <w:t>E4</w:t>
            </w:r>
          </w:p>
        </w:tc>
        <w:tc>
          <w:tcPr>
            <w:tcW w:type="dxa" w:w="750"/>
          </w:tcPr>
          <w:p>
            <w:pPr>
              <w:keepLines/>
              <w:spacing w:after="0" w:line="276" w:lineRule="auto"/>
            </w:pPr>
            <w:r>
              <w:rPr>
                <w:rFonts w:ascii="Calibri" w:hAnsi="Calibri" w:eastAsia="Microsoft YaHei"/>
                <w:color w:val="0B2545"/>
                <w:sz w:val="15"/>
              </w:rPr>
              <w:t>D4</w:t>
            </w:r>
          </w:p>
        </w:tc>
        <w:tc>
          <w:tcPr>
            <w:tcW w:type="dxa" w:w="2100"/>
          </w:tcPr>
          <w:p>
            <w:pPr>
              <w:keepLines/>
              <w:spacing w:after="0" w:line="276" w:lineRule="auto"/>
            </w:pPr>
            <w:r>
              <w:rPr>
                <w:rFonts w:ascii="Calibri" w:hAnsi="Calibri" w:eastAsia="Microsoft YaHei"/>
                <w:color w:val="0B2545"/>
                <w:sz w:val="15"/>
              </w:rPr>
              <w:t>COMPUTATIONAL</w:t>
            </w:r>
          </w:p>
        </w:tc>
        <w:tc>
          <w:tcPr>
            <w:tcW w:type="dxa" w:w="4560"/>
          </w:tcPr>
          <w:p>
            <w:pPr>
              <w:keepLines/>
              <w:spacing w:after="0" w:line="276" w:lineRule="auto"/>
            </w:pPr>
            <w:r>
              <w:rPr>
                <w:rFonts w:ascii="Calibri" w:hAnsi="Calibri" w:eastAsia="Microsoft YaHei"/>
                <w:color w:val="0B2545"/>
                <w:sz w:val="15"/>
              </w:rPr>
              <w:t>DIII-D；HL-2A；EAST；KSTAR</w:t>
            </w:r>
          </w:p>
        </w:tc>
      </w:tr>
    </w:tbl>
    <w:p>
      <w:pPr>
        <w:spacing w:before="0" w:after="60"/>
      </w:pPr>
    </w:p>
    <w:p>
      <w:pPr>
        <w:widowControl/>
      </w:pPr>
      <w:r>
        <w:rPr>
          <w:rFonts w:ascii="Calibri" w:hAnsi="Calibri" w:eastAsia="Microsoft YaHei"/>
          <w:b/>
          <w:color w:val="1F4D78"/>
        </w:rPr>
        <w:t>解决问题：</w:t>
      </w:r>
      <w:r>
        <w:rPr>
          <w:rFonts w:ascii="Calibri" w:hAnsi="Calibri" w:eastAsia="Microsoft YaHei"/>
        </w:rPr>
        <w:t>把磁信号和电流观测转为位置、边界、X点和磁通面，供控制与场景评估。</w:t>
      </w:r>
    </w:p>
    <w:p>
      <w:pPr>
        <w:widowControl/>
      </w:pPr>
      <w:r>
        <w:rPr>
          <w:rFonts w:ascii="Calibri" w:hAnsi="Calibri" w:eastAsia="Microsoft YaHei"/>
          <w:b/>
          <w:color w:val="1F4D78"/>
        </w:rPr>
        <w:t>测量原理：</w:t>
      </w:r>
      <w:r>
        <w:rPr>
          <w:rFonts w:ascii="Calibri" w:hAnsi="Calibri" w:eastAsia="Microsoft YaHei"/>
        </w:rPr>
        <w:t>在轴对称Grad–Shafranov方程下拟合电流基函数和导体响应，使预测磁信号匹配观测。</w:t>
      </w:r>
    </w:p>
    <w:p>
      <w:pPr>
        <w:widowControl/>
      </w:pPr>
      <w:r>
        <w:rPr>
          <w:rFonts w:ascii="Calibri" w:hAnsi="Calibri" w:eastAsia="Microsoft YaHei"/>
          <w:b/>
          <w:color w:val="1F4D78"/>
        </w:rPr>
        <w:t>测量产品：</w:t>
      </w:r>
      <w:r>
        <w:rPr>
          <w:rFonts w:ascii="Calibri" w:hAnsi="Calibri" w:eastAsia="Microsoft YaHei"/>
        </w:rPr>
        <w:t>LCFS；magnetic axis；X-point；shape；flux surfaces；q with internal constraints</w:t>
      </w:r>
    </w:p>
    <w:p>
      <w:pPr>
        <w:widowControl/>
      </w:pPr>
      <w:r>
        <w:rPr>
          <w:rFonts w:ascii="Calibri" w:hAnsi="Calibri" w:eastAsia="Microsoft YaHei"/>
          <w:b/>
          <w:color w:val="1F4D78"/>
        </w:rPr>
        <w:t>时空分辨与覆盖：</w:t>
      </w:r>
      <w:r>
        <w:rPr>
          <w:rFonts w:ascii="Calibri" w:hAnsi="Calibri" w:eastAsia="Microsoft YaHei"/>
        </w:rPr>
        <w:t>时间：因装置、采集和分析链而异；原始来源未给出统一数值。；空间：由视线、几何和反演设定；原始来源未给出统一数值。</w:t>
      </w:r>
    </w:p>
    <w:p>
      <w:pPr>
        <w:widowControl/>
      </w:pPr>
      <w:r>
        <w:rPr>
          <w:rFonts w:ascii="Calibri" w:hAnsi="Calibri" w:eastAsia="Microsoft YaHei"/>
          <w:b/>
          <w:color w:val="1F4D78"/>
        </w:rPr>
        <w:t>仪器与传感器：</w:t>
      </w:r>
      <w:r>
        <w:rPr>
          <w:rFonts w:ascii="Calibri" w:hAnsi="Calibri" w:eastAsia="Microsoft YaHei"/>
        </w:rPr>
        <w:t>magnetic channels；plasma/PF currents；real-time compute node；equilibrium model</w:t>
      </w:r>
    </w:p>
    <w:p>
      <w:pPr>
        <w:widowControl/>
      </w:pPr>
      <w:r>
        <w:rPr>
          <w:rFonts w:ascii="Calibri" w:hAnsi="Calibri" w:eastAsia="Microsoft YaHei"/>
          <w:b/>
          <w:color w:val="1F4D78"/>
        </w:rPr>
        <w:t>标定与质量：</w:t>
      </w:r>
      <w:r>
        <w:rPr>
          <w:rFonts w:ascii="Calibri" w:hAnsi="Calibri" w:eastAsia="Microsoft YaHei"/>
        </w:rPr>
        <w:t>真空场标定输入矩阵；用离线高精度重建与合成信号做回归测试。</w:t>
      </w:r>
    </w:p>
    <w:p>
      <w:pPr>
        <w:widowControl/>
      </w:pPr>
      <w:r>
        <w:rPr>
          <w:rFonts w:ascii="Calibri" w:hAnsi="Calibri" w:eastAsia="Microsoft YaHei"/>
          <w:b/>
          <w:color w:val="1F4D78"/>
        </w:rPr>
        <w:t>反演与分析：</w:t>
      </w:r>
      <w:r>
        <w:rPr>
          <w:rFonts w:ascii="Calibri" w:hAnsi="Calibri" w:eastAsia="Microsoft YaHei"/>
        </w:rPr>
        <w:t>加权正则化反演，可加入MSE/偏振约束；实时质量门控监测残差、边界偏差和超时。</w:t>
      </w:r>
    </w:p>
    <w:p>
      <w:pPr>
        <w:widowControl/>
      </w:pPr>
      <w:r>
        <w:rPr>
          <w:rFonts w:ascii="Calibri" w:hAnsi="Calibri" w:eastAsia="Microsoft YaHei"/>
          <w:b/>
          <w:color w:val="1F4D78"/>
        </w:rPr>
        <w:t>验证与应用：</w:t>
      </w:r>
      <w:r>
        <w:rPr>
          <w:rFonts w:ascii="Calibri" w:hAnsi="Calibri" w:eastAsia="Microsoft YaHei"/>
        </w:rPr>
        <w:t>DIII-D rtEFIT 长期在装置 PCS 周期在线运行并与离线 EFIT 比对；HL-2A GPU实现以历史炮和时延/误差验证。</w:t>
      </w:r>
    </w:p>
    <w:p>
      <w:pPr>
        <w:widowControl/>
      </w:pPr>
      <w:r>
        <w:rPr>
          <w:rFonts w:ascii="Calibri" w:hAnsi="Calibri" w:eastAsia="Microsoft YaHei"/>
          <w:b/>
          <w:color w:val="1F4D78"/>
        </w:rPr>
        <w:t>局限与边界：</w:t>
      </w:r>
      <w:r>
        <w:rPr>
          <w:rFonts w:ascii="Calibri" w:hAnsi="Calibri" w:eastAsia="Microsoft YaHei"/>
        </w:rPr>
        <w:t>轴对称、被动导体和有限观测导致不可辨识；低残差不证明内部剖面真实。</w:t>
      </w:r>
    </w:p>
    <w:tbl>
      <w:tblPr>
        <w:tblStyle w:val="TableGrid"/>
        <w:tblW w:type="dxa" w:w="9360"/>
        <w:jc w:val="left"/>
        <w:tblLayout w:type="fixed"/>
        <w:tblLook w:firstColumn="1" w:firstRow="1" w:lastColumn="0" w:lastRow="0" w:noHBand="0" w:noVBand="1" w:val="04A0"/>
        <w:tblInd w:w="120" w:type="dxa"/>
      </w:tblPr>
      <w:tblGrid>
        <w:gridCol w:w="9360"/>
      </w:tblGrid>
      <w:tr>
        <w:trPr>
          <w:cantSplit/>
        </w:trPr>
        <w:tc>
          <w:tcPr>
            <w:tcW w:type="dxa" w:w="9360"/>
            <w:tcMar>
              <w:top w:w="80" w:type="dxa"/>
              <w:bottom w:w="80" w:type="dxa"/>
              <w:start w:w="120" w:type="dxa"/>
              <w:end w:w="120" w:type="dxa"/>
            </w:tcMar>
            <w:vAlign w:val="center"/>
            <w:shd w:fill="EEF7F7"/>
          </w:tcPr>
          <w:p>
            <w:pPr>
              <w:keepNext/>
              <w:keepLines/>
              <w:spacing w:after="40"/>
            </w:pPr>
            <w:r>
              <w:rPr>
                <w:rFonts w:ascii="Calibri" w:hAnsi="Calibri" w:eastAsia="Microsoft YaHei"/>
                <w:b/>
                <w:color w:val="008C95"/>
                <w:sz w:val="17"/>
              </w:rPr>
              <w:t>DIGITAL-TWIN RELEVANCE</w:t>
            </w:r>
          </w:p>
          <w:p>
            <w:pPr>
              <w:spacing w:after="0"/>
            </w:pPr>
            <w:r>
              <w:rPr>
                <w:rFonts w:ascii="Calibri" w:hAnsi="Calibri" w:eastAsia="Microsoft YaHei"/>
                <w:color w:val="0B2545"/>
                <w:sz w:val="20"/>
              </w:rPr>
              <w:t>状态孪生核心；应输出配置、输入清单、残差、协方差和失效标志。</w:t>
            </w:r>
          </w:p>
        </w:tc>
      </w:tr>
    </w:tbl>
    <w:p>
      <w:pPr>
        <w:spacing w:after="40"/>
      </w:pPr>
    </w:p>
    <w:tbl>
      <w:tblPr>
        <w:tblStyle w:val="TableGrid"/>
        <w:tblW w:type="dxa" w:w="9360"/>
        <w:jc w:val="left"/>
        <w:tblLayout w:type="fixed"/>
        <w:tblLook w:firstColumn="1" w:firstRow="1" w:lastColumn="0" w:lastRow="0" w:noHBand="0" w:noVBand="1" w:val="04A0"/>
        <w:tblInd w:w="120" w:type="dxa"/>
      </w:tblPr>
      <w:tblGrid>
        <w:gridCol w:w="850"/>
        <w:gridCol w:w="2500"/>
        <w:gridCol w:w="1600"/>
        <w:gridCol w:w="2300"/>
        <w:gridCol w:w="2110"/>
      </w:tblGrid>
      <w:tr>
        <w:trPr>
          <w:tblHeader w:val="true"/>
        </w:trPr>
        <w:tc>
          <w:tcPr>
            <w:tcW w:type="dxa" w:w="8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年份/类型</w:t>
            </w:r>
          </w:p>
        </w:tc>
        <w:tc>
          <w:tcPr>
            <w:tcW w:type="dxa" w:w="25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论文或软件</w:t>
            </w:r>
          </w:p>
        </w:tc>
        <w:tc>
          <w:tcPr>
            <w:tcW w:type="dxa" w:w="16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期刊/开放性</w:t>
            </w:r>
          </w:p>
        </w:tc>
        <w:tc>
          <w:tcPr>
            <w:tcW w:type="dxa" w:w="23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来源类型/关系</w:t>
            </w:r>
          </w:p>
        </w:tc>
        <w:tc>
          <w:tcPr>
            <w:tcW w:type="dxa" w:w="211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链接</w:t>
            </w:r>
          </w:p>
        </w:tc>
      </w:tr>
      <w:tr>
        <w:trPr>
          <w:cantSplit/>
        </w:trPr>
        <w:tc>
          <w:tcPr>
            <w:tcW w:type="dxa" w:w="850"/>
          </w:tcPr>
          <w:p>
            <w:pPr>
              <w:keepLines/>
              <w:spacing w:after="0" w:line="276" w:lineRule="auto"/>
            </w:pPr>
            <w:r>
              <w:rPr>
                <w:rFonts w:ascii="Calibri" w:hAnsi="Calibri" w:eastAsia="Microsoft YaHei"/>
                <w:color w:val="0B2545"/>
                <w:sz w:val="14"/>
              </w:rPr>
              <w:t>1998</w:t>
            </w:r>
          </w:p>
        </w:tc>
        <w:tc>
          <w:tcPr>
            <w:tcW w:type="dxa" w:w="2500"/>
          </w:tcPr>
          <w:p>
            <w:pPr>
              <w:keepLines/>
              <w:spacing w:after="0" w:line="276" w:lineRule="auto"/>
            </w:pPr>
            <w:r>
              <w:rPr>
                <w:rFonts w:ascii="Calibri" w:hAnsi="Calibri" w:eastAsia="Microsoft YaHei"/>
                <w:color w:val="0B2545"/>
                <w:sz w:val="14"/>
              </w:rPr>
              <w:t>Real time equilibrium reconstruction for tokamak discharge control</w:t>
            </w:r>
          </w:p>
        </w:tc>
        <w:tc>
          <w:tcPr>
            <w:tcW w:type="dxa" w:w="1600"/>
          </w:tcPr>
          <w:p>
            <w:pPr>
              <w:keepLines/>
              <w:spacing w:after="0" w:line="276" w:lineRule="auto"/>
            </w:pPr>
            <w:r>
              <w:rPr>
                <w:rFonts w:ascii="Calibri" w:hAnsi="Calibri" w:eastAsia="Microsoft YaHei"/>
                <w:color w:val="0B2545"/>
                <w:sz w:val="14"/>
              </w:rPr>
              <w:t>Nuclear Fusion</w:t>
            </w:r>
          </w:p>
        </w:tc>
        <w:tc>
          <w:tcPr>
            <w:tcW w:type="dxa" w:w="2300"/>
          </w:tcPr>
          <w:p>
            <w:pPr>
              <w:keepLines/>
              <w:spacing w:after="0" w:line="276" w:lineRule="auto"/>
            </w:pPr>
            <w:r>
              <w:rPr>
                <w:rFonts w:ascii="Calibri" w:hAnsi="Calibri" w:eastAsia="Microsoft YaHei"/>
                <w:color w:val="0B2545"/>
                <w:sz w:val="14"/>
              </w:rPr>
              <w:t>peer-reviewed-journal</w:t>
            </w:r>
          </w:p>
        </w:tc>
        <w:tc>
          <w:tcPr>
            <w:tcW w:type="dxa" w:w="2110"/>
          </w:tcPr>
          <w:p>
            <w:pPr>
              <w:keepLines/>
              <w:spacing w:after="0" w:line="276" w:lineRule="auto"/>
            </w:pPr>
            <w:hyperlink r:id="rId45">
              <w:r>
                <w:rPr>
                  <w:rFonts w:ascii="Calibri" w:hAnsi="Calibri" w:eastAsia="Microsoft YaHei"/>
                  <w:color w:val="008C95"/>
                  <w:u w:val="single"/>
                </w:rPr>
                <w:t>打开原始来源 ↗</w:t>
              </w:r>
            </w:hyperlink>
          </w:p>
        </w:tc>
      </w:tr>
      <w:tr>
        <w:trPr>
          <w:cantSplit/>
        </w:trPr>
        <w:tc>
          <w:tcPr>
            <w:tcW w:type="dxa" w:w="850"/>
          </w:tcPr>
          <w:p>
            <w:pPr>
              <w:keepLines/>
              <w:spacing w:after="0" w:line="276" w:lineRule="auto"/>
            </w:pPr>
            <w:r>
              <w:rPr>
                <w:rFonts w:ascii="Calibri" w:hAnsi="Calibri" w:eastAsia="Microsoft YaHei"/>
                <w:color w:val="0B2545"/>
                <w:sz w:val="14"/>
              </w:rPr>
              <w:t>2018</w:t>
            </w:r>
          </w:p>
        </w:tc>
        <w:tc>
          <w:tcPr>
            <w:tcW w:type="dxa" w:w="2500"/>
          </w:tcPr>
          <w:p>
            <w:pPr>
              <w:keepLines/>
              <w:spacing w:after="0" w:line="276" w:lineRule="auto"/>
            </w:pPr>
            <w:r>
              <w:rPr>
                <w:rFonts w:ascii="Calibri" w:hAnsi="Calibri" w:eastAsia="Microsoft YaHei"/>
                <w:color w:val="0B2545"/>
                <w:sz w:val="14"/>
              </w:rPr>
              <w:t>Acceleration optimization of real-time equilibrium reconstruction for HL-2A tokamak discharge control</w:t>
            </w:r>
          </w:p>
        </w:tc>
        <w:tc>
          <w:tcPr>
            <w:tcW w:type="dxa" w:w="1600"/>
          </w:tcPr>
          <w:p>
            <w:pPr>
              <w:keepLines/>
              <w:spacing w:after="0" w:line="276" w:lineRule="auto"/>
            </w:pPr>
            <w:r>
              <w:rPr>
                <w:rFonts w:ascii="Calibri" w:hAnsi="Calibri" w:eastAsia="Microsoft YaHei"/>
                <w:color w:val="0B2545"/>
                <w:sz w:val="14"/>
              </w:rPr>
              <w:t>Plasma Science and Technology</w:t>
            </w:r>
          </w:p>
        </w:tc>
        <w:tc>
          <w:tcPr>
            <w:tcW w:type="dxa" w:w="2300"/>
          </w:tcPr>
          <w:p>
            <w:pPr>
              <w:keepLines/>
              <w:spacing w:after="0" w:line="276" w:lineRule="auto"/>
            </w:pPr>
            <w:r>
              <w:rPr>
                <w:rFonts w:ascii="Calibri" w:hAnsi="Calibri" w:eastAsia="Microsoft YaHei"/>
                <w:color w:val="0B2545"/>
                <w:sz w:val="14"/>
              </w:rPr>
              <w:t>peer-reviewed-journal</w:t>
            </w:r>
          </w:p>
        </w:tc>
        <w:tc>
          <w:tcPr>
            <w:tcW w:type="dxa" w:w="2110"/>
          </w:tcPr>
          <w:p>
            <w:pPr>
              <w:keepLines/>
              <w:spacing w:after="0" w:line="276" w:lineRule="auto"/>
            </w:pPr>
            <w:hyperlink r:id="rId46">
              <w:r>
                <w:rPr>
                  <w:rFonts w:ascii="Calibri" w:hAnsi="Calibri" w:eastAsia="Microsoft YaHei"/>
                  <w:color w:val="008C95"/>
                  <w:u w:val="single"/>
                </w:rPr>
                <w:t>打开原始来源 ↗</w:t>
              </w:r>
            </w:hyperlink>
          </w:p>
        </w:tc>
      </w:tr>
      <w:tr>
        <w:trPr>
          <w:cantSplit/>
        </w:trPr>
        <w:tc>
          <w:tcPr>
            <w:tcW w:type="dxa" w:w="850"/>
          </w:tcPr>
          <w:p>
            <w:pPr>
              <w:keepLines/>
              <w:spacing w:after="0" w:line="276" w:lineRule="auto"/>
            </w:pPr>
            <w:r>
              <w:rPr>
                <w:rFonts w:ascii="Calibri" w:hAnsi="Calibri" w:eastAsia="Microsoft YaHei"/>
                <w:color w:val="0B2545"/>
                <w:sz w:val="14"/>
              </w:rPr>
              <w:t>软件</w:t>
            </w:r>
          </w:p>
        </w:tc>
        <w:tc>
          <w:tcPr>
            <w:tcW w:type="dxa" w:w="2500"/>
          </w:tcPr>
          <w:p>
            <w:pPr>
              <w:keepLines/>
              <w:spacing w:after="0" w:line="276" w:lineRule="auto"/>
            </w:pPr>
            <w:r>
              <w:rPr>
                <w:rFonts w:ascii="Calibri" w:hAnsi="Calibri" w:eastAsia="Microsoft YaHei"/>
                <w:color w:val="0B2545"/>
                <w:sz w:val="14"/>
              </w:rPr>
              <w:t>OMFIT EFIT module</w:t>
            </w:r>
          </w:p>
        </w:tc>
        <w:tc>
          <w:tcPr>
            <w:tcW w:type="dxa" w:w="1600"/>
          </w:tcPr>
          <w:p>
            <w:pPr>
              <w:keepLines/>
              <w:spacing w:after="0" w:line="276" w:lineRule="auto"/>
            </w:pPr>
            <w:r>
              <w:rPr>
                <w:rFonts w:ascii="Calibri" w:hAnsi="Calibri" w:eastAsia="Microsoft YaHei"/>
                <w:color w:val="0B2545"/>
                <w:sz w:val="14"/>
              </w:rPr>
              <w:t>controlled-access</w:t>
            </w:r>
          </w:p>
        </w:tc>
        <w:tc>
          <w:tcPr>
            <w:tcW w:type="dxa" w:w="2300"/>
          </w:tcPr>
          <w:p>
            <w:pPr>
              <w:keepLines/>
              <w:spacing w:after="0" w:line="276" w:lineRule="auto"/>
            </w:pPr>
            <w:r>
              <w:rPr>
                <w:rFonts w:ascii="Calibri" w:hAnsi="Calibri" w:eastAsia="Microsoft YaHei"/>
                <w:color w:val="0B2545"/>
                <w:sz w:val="14"/>
              </w:rPr>
              <w:t>EFIT配置/工作流接口，不等同rtEFIT源代码。</w:t>
            </w:r>
          </w:p>
        </w:tc>
        <w:tc>
          <w:tcPr>
            <w:tcW w:type="dxa" w:w="2110"/>
          </w:tcPr>
          <w:p>
            <w:pPr>
              <w:keepLines/>
              <w:spacing w:after="0" w:line="276" w:lineRule="auto"/>
            </w:pPr>
            <w:hyperlink r:id="rId47">
              <w:r>
                <w:rPr>
                  <w:rFonts w:ascii="Calibri" w:hAnsi="Calibri" w:eastAsia="Microsoft YaHei"/>
                  <w:color w:val="008C95"/>
                  <w:u w:val="single"/>
                </w:rPr>
                <w:t>打开原始来源 ↗</w:t>
              </w:r>
            </w:hyperlink>
          </w:p>
        </w:tc>
      </w:tr>
      <w:tr>
        <w:trPr>
          <w:cantSplit/>
        </w:trPr>
        <w:tc>
          <w:tcPr>
            <w:tcW w:type="dxa" w:w="850"/>
          </w:tcPr>
          <w:p>
            <w:pPr>
              <w:keepLines/>
              <w:spacing w:after="0" w:line="276" w:lineRule="auto"/>
            </w:pPr>
            <w:r>
              <w:rPr>
                <w:rFonts w:ascii="Calibri" w:hAnsi="Calibri" w:eastAsia="Microsoft YaHei"/>
                <w:color w:val="0B2545"/>
                <w:sz w:val="14"/>
              </w:rPr>
              <w:t>软件</w:t>
            </w:r>
          </w:p>
        </w:tc>
        <w:tc>
          <w:tcPr>
            <w:tcW w:type="dxa" w:w="2500"/>
          </w:tcPr>
          <w:p>
            <w:pPr>
              <w:keepLines/>
              <w:spacing w:after="0" w:line="276" w:lineRule="auto"/>
            </w:pPr>
            <w:r>
              <w:rPr>
                <w:rFonts w:ascii="Calibri" w:hAnsi="Calibri" w:eastAsia="Microsoft YaHei"/>
                <w:color w:val="0B2545"/>
                <w:sz w:val="14"/>
              </w:rPr>
              <w:t>FreeGS</w:t>
            </w:r>
          </w:p>
        </w:tc>
        <w:tc>
          <w:tcPr>
            <w:tcW w:type="dxa" w:w="1600"/>
          </w:tcPr>
          <w:p>
            <w:pPr>
              <w:keepLines/>
              <w:spacing w:after="0" w:line="276" w:lineRule="auto"/>
            </w:pPr>
            <w:r>
              <w:rPr>
                <w:rFonts w:ascii="Calibri" w:hAnsi="Calibri" w:eastAsia="Microsoft YaHei"/>
                <w:color w:val="0B2545"/>
                <w:sz w:val="14"/>
              </w:rPr>
              <w:t>official-enabling</w:t>
            </w:r>
          </w:p>
        </w:tc>
        <w:tc>
          <w:tcPr>
            <w:tcW w:type="dxa" w:w="2300"/>
          </w:tcPr>
          <w:p>
            <w:pPr>
              <w:keepLines/>
              <w:spacing w:after="0" w:line="276" w:lineRule="auto"/>
            </w:pPr>
            <w:r>
              <w:rPr>
                <w:rFonts w:ascii="Calibri" w:hAnsi="Calibri" w:eastAsia="Microsoft YaHei"/>
                <w:color w:val="0B2545"/>
                <w:sz w:val="14"/>
              </w:rPr>
              <w:t>开放的Grad–Shafranov与合成磁信号基线。</w:t>
            </w:r>
          </w:p>
        </w:tc>
        <w:tc>
          <w:tcPr>
            <w:tcW w:type="dxa" w:w="2110"/>
          </w:tcPr>
          <w:p>
            <w:pPr>
              <w:keepLines/>
              <w:spacing w:after="0" w:line="276" w:lineRule="auto"/>
            </w:pPr>
            <w:hyperlink r:id="rId48">
              <w:r>
                <w:rPr>
                  <w:rFonts w:ascii="Calibri" w:hAnsi="Calibri" w:eastAsia="Microsoft YaHei"/>
                  <w:color w:val="008C95"/>
                  <w:u w:val="single"/>
                </w:rPr>
                <w:t>打开原始来源 ↗</w:t>
              </w:r>
            </w:hyperlink>
          </w:p>
        </w:tc>
      </w:tr>
      <w:tr>
        <w:trPr>
          <w:cantSplit/>
        </w:trPr>
        <w:tc>
          <w:tcPr>
            <w:tcW w:type="dxa" w:w="850"/>
          </w:tcPr>
          <w:p>
            <w:pPr>
              <w:keepLines/>
              <w:spacing w:after="0" w:line="276" w:lineRule="auto"/>
            </w:pPr>
            <w:r>
              <w:rPr>
                <w:rFonts w:ascii="Calibri" w:hAnsi="Calibri" w:eastAsia="Microsoft YaHei"/>
                <w:color w:val="0B2545"/>
                <w:sz w:val="14"/>
              </w:rPr>
              <w:t>软件</w:t>
            </w:r>
          </w:p>
        </w:tc>
        <w:tc>
          <w:tcPr>
            <w:tcW w:type="dxa" w:w="2500"/>
          </w:tcPr>
          <w:p>
            <w:pPr>
              <w:keepLines/>
              <w:spacing w:after="0" w:line="276" w:lineRule="auto"/>
            </w:pPr>
            <w:r>
              <w:rPr>
                <w:rFonts w:ascii="Calibri" w:hAnsi="Calibri" w:eastAsia="Microsoft YaHei"/>
                <w:color w:val="0B2545"/>
                <w:sz w:val="14"/>
              </w:rPr>
              <w:t>装置专有分析/标定软件</w:t>
            </w:r>
          </w:p>
        </w:tc>
        <w:tc>
          <w:tcPr>
            <w:tcW w:type="dxa" w:w="1600"/>
          </w:tcPr>
          <w:p>
            <w:pPr>
              <w:keepLines/>
              <w:spacing w:after="0" w:line="276" w:lineRule="auto"/>
            </w:pPr>
            <w:r>
              <w:rPr>
                <w:rFonts w:ascii="Calibri" w:hAnsi="Calibri" w:eastAsia="Microsoft YaHei"/>
                <w:color w:val="0B2545"/>
                <w:sz w:val="14"/>
              </w:rPr>
              <w:t>not-public</w:t>
            </w:r>
          </w:p>
        </w:tc>
        <w:tc>
          <w:tcPr>
            <w:tcW w:type="dxa" w:w="2300"/>
          </w:tcPr>
          <w:p>
            <w:pPr>
              <w:keepLines/>
              <w:spacing w:after="0" w:line="276" w:lineRule="auto"/>
            </w:pPr>
            <w:r>
              <w:rPr>
                <w:rFonts w:ascii="Calibri" w:hAnsi="Calibri" w:eastAsia="Microsoft YaHei"/>
                <w:color w:val="0B2545"/>
                <w:sz w:val="14"/>
              </w:rPr>
              <w:t>rtEFIT与PCS集成源码未公开。</w:t>
            </w:r>
          </w:p>
        </w:tc>
        <w:tc>
          <w:tcPr>
            <w:tcW w:type="dxa" w:w="2110"/>
          </w:tcPr>
          <w:p>
            <w:pPr>
              <w:keepLines/>
              <w:spacing w:after="0" w:line="276" w:lineRule="auto"/>
            </w:pPr>
            <w:r>
              <w:rPr>
                <w:rFonts w:ascii="Calibri" w:hAnsi="Calibri" w:eastAsia="Microsoft YaHei"/>
                <w:color w:val="0B2545"/>
                <w:sz w:val="14"/>
              </w:rPr>
              <w:t>未公开</w:t>
            </w:r>
          </w:p>
        </w:tc>
      </w:tr>
    </w:tbl>
    <w:p>
      <w:pPr>
        <w:spacing w:before="0" w:after="60"/>
      </w:pPr>
    </w:p>
    <w:p>
      <w:pPr>
        <w:pStyle w:val="Heading2"/>
      </w:pPr>
      <w:r>
        <w:t>关联工作速查</w:t>
      </w:r>
    </w:p>
    <w:tbl>
      <w:tblPr>
        <w:tblStyle w:val="TableGrid"/>
        <w:tblW w:type="dxa" w:w="9360"/>
        <w:jc w:val="left"/>
        <w:tblLayout w:type="fixed"/>
        <w:tblLook w:firstColumn="1" w:firstRow="1" w:lastColumn="0" w:lastRow="0" w:noHBand="0" w:noVBand="1" w:val="04A0"/>
        <w:tblInd w:w="120" w:type="dxa"/>
      </w:tblPr>
      <w:tblGrid>
        <w:gridCol w:w="1000"/>
        <w:gridCol w:w="900"/>
        <w:gridCol w:w="3760"/>
        <w:gridCol w:w="800"/>
        <w:gridCol w:w="2900"/>
      </w:tblGrid>
      <w:tr>
        <w:trPr>
          <w:tblHeader w:val="true"/>
        </w:trPr>
        <w:tc>
          <w:tcPr>
            <w:tcW w:type="dxa" w:w="1000"/>
            <w:tcMar>
              <w:top w:w="55" w:type="dxa"/>
              <w:bottom w:w="55" w:type="dxa"/>
              <w:start w:w="100" w:type="dxa"/>
              <w:end w:w="100" w:type="dxa"/>
            </w:tcMar>
            <w:vAlign w:val="center"/>
            <w:shd w:fill="E8EEF5"/>
          </w:tcPr>
          <w:p>
            <w:pPr>
              <w:keepNext/>
              <w:spacing w:after="0"/>
              <w:jc w:val="center"/>
            </w:pPr>
            <w:r>
              <w:rPr>
                <w:rFonts w:ascii="Calibri" w:hAnsi="Calibri" w:eastAsia="Microsoft YaHei"/>
                <w:b/>
                <w:color w:val="0B2545"/>
                <w:sz w:val="14"/>
              </w:rPr>
              <w:t>ID</w:t>
            </w:r>
          </w:p>
        </w:tc>
        <w:tc>
          <w:tcPr>
            <w:tcW w:type="dxa" w:w="900"/>
            <w:tcMar>
              <w:top w:w="55" w:type="dxa"/>
              <w:bottom w:w="55" w:type="dxa"/>
              <w:start w:w="100" w:type="dxa"/>
              <w:end w:w="100" w:type="dxa"/>
            </w:tcMar>
            <w:vAlign w:val="center"/>
            <w:shd w:fill="E8EEF5"/>
          </w:tcPr>
          <w:p>
            <w:pPr>
              <w:keepNext/>
              <w:spacing w:after="0"/>
              <w:jc w:val="center"/>
            </w:pPr>
            <w:r>
              <w:rPr>
                <w:rFonts w:ascii="Calibri" w:hAnsi="Calibri" w:eastAsia="Microsoft YaHei"/>
                <w:b/>
                <w:color w:val="0B2545"/>
                <w:sz w:val="14"/>
              </w:rPr>
              <w:t>主任务</w:t>
            </w:r>
          </w:p>
        </w:tc>
        <w:tc>
          <w:tcPr>
            <w:tcW w:type="dxa" w:w="3760"/>
            <w:tcMar>
              <w:top w:w="55" w:type="dxa"/>
              <w:bottom w:w="55" w:type="dxa"/>
              <w:start w:w="100" w:type="dxa"/>
              <w:end w:w="100" w:type="dxa"/>
            </w:tcMar>
            <w:vAlign w:val="center"/>
            <w:shd w:fill="E8EEF5"/>
          </w:tcPr>
          <w:p>
            <w:pPr>
              <w:keepNext/>
              <w:spacing w:after="0"/>
              <w:jc w:val="center"/>
            </w:pPr>
            <w:r>
              <w:rPr>
                <w:rFonts w:ascii="Calibri" w:hAnsi="Calibri" w:eastAsia="Microsoft YaHei"/>
                <w:b/>
                <w:color w:val="0B2545"/>
                <w:sz w:val="14"/>
              </w:rPr>
              <w:t>标题</w:t>
            </w:r>
          </w:p>
        </w:tc>
        <w:tc>
          <w:tcPr>
            <w:tcW w:type="dxa" w:w="800"/>
            <w:tcMar>
              <w:top w:w="55" w:type="dxa"/>
              <w:bottom w:w="55" w:type="dxa"/>
              <w:start w:w="100" w:type="dxa"/>
              <w:end w:w="100" w:type="dxa"/>
            </w:tcMar>
            <w:vAlign w:val="center"/>
            <w:shd w:fill="E8EEF5"/>
          </w:tcPr>
          <w:p>
            <w:pPr>
              <w:keepNext/>
              <w:spacing w:after="0"/>
              <w:jc w:val="center"/>
            </w:pPr>
            <w:r>
              <w:rPr>
                <w:rFonts w:ascii="Calibri" w:hAnsi="Calibri" w:eastAsia="Microsoft YaHei"/>
                <w:b/>
                <w:color w:val="0B2545"/>
                <w:sz w:val="14"/>
              </w:rPr>
              <w:t>证据</w:t>
            </w:r>
          </w:p>
        </w:tc>
        <w:tc>
          <w:tcPr>
            <w:tcW w:type="dxa" w:w="2900"/>
            <w:tcMar>
              <w:top w:w="55" w:type="dxa"/>
              <w:bottom w:w="55" w:type="dxa"/>
              <w:start w:w="100" w:type="dxa"/>
              <w:end w:w="100" w:type="dxa"/>
            </w:tcMar>
            <w:vAlign w:val="center"/>
            <w:shd w:fill="E8EEF5"/>
          </w:tcPr>
          <w:p>
            <w:pPr>
              <w:keepNext/>
              <w:spacing w:after="0"/>
              <w:jc w:val="center"/>
            </w:pPr>
            <w:r>
              <w:rPr>
                <w:rFonts w:ascii="Calibri" w:hAnsi="Calibri" w:eastAsia="Microsoft YaHei"/>
                <w:b/>
                <w:color w:val="0B2545"/>
                <w:sz w:val="14"/>
              </w:rPr>
              <w:t>装置</w:t>
            </w:r>
          </w:p>
        </w:tc>
      </w:tr>
      <w:tr>
        <w:trPr>
          <w:cantSplit/>
        </w:trPr>
        <w:tc>
          <w:tcPr>
            <w:tcW w:type="dxa" w:w="1000"/>
            <w:tcMar>
              <w:top w:w="45" w:type="dxa"/>
              <w:bottom w:w="45" w:type="dxa"/>
              <w:start w:w="100" w:type="dxa"/>
              <w:end w:w="100" w:type="dxa"/>
            </w:tcMar>
          </w:tcPr>
          <w:p>
            <w:pPr>
              <w:keepLines/>
              <w:spacing w:after="0" w:line="252" w:lineRule="auto"/>
            </w:pPr>
            <w:r>
              <w:rPr>
                <w:rFonts w:ascii="Calibri" w:hAnsi="Calibri" w:eastAsia="Microsoft YaHei"/>
                <w:color w:val="0B2545"/>
                <w:sz w:val="14"/>
              </w:rPr>
              <w:t>DSI-001</w:t>
            </w:r>
          </w:p>
        </w:tc>
        <w:tc>
          <w:tcPr>
            <w:tcW w:type="dxa" w:w="900"/>
            <w:tcMar>
              <w:top w:w="45" w:type="dxa"/>
              <w:bottom w:w="45" w:type="dxa"/>
              <w:start w:w="100" w:type="dxa"/>
              <w:end w:w="100" w:type="dxa"/>
            </w:tcMar>
          </w:tcPr>
          <w:p>
            <w:pPr>
              <w:keepLines/>
              <w:spacing w:after="0" w:line="252" w:lineRule="auto"/>
            </w:pPr>
            <w:r>
              <w:rPr>
                <w:rFonts w:ascii="Calibri" w:hAnsi="Calibri" w:eastAsia="Microsoft YaHei"/>
                <w:color w:val="0B2545"/>
                <w:sz w:val="14"/>
              </w:rPr>
              <w:t>DG0</w:t>
            </w:r>
          </w:p>
        </w:tc>
        <w:tc>
          <w:tcPr>
            <w:tcW w:type="dxa" w:w="3760"/>
            <w:tcMar>
              <w:top w:w="45" w:type="dxa"/>
              <w:bottom w:w="45" w:type="dxa"/>
              <w:start w:w="100" w:type="dxa"/>
              <w:end w:w="100" w:type="dxa"/>
            </w:tcMar>
          </w:tcPr>
          <w:p>
            <w:pPr>
              <w:keepLines/>
              <w:spacing w:after="0" w:line="252" w:lineRule="auto"/>
            </w:pPr>
            <w:r>
              <w:rPr>
                <w:rFonts w:ascii="Calibri" w:hAnsi="Calibri" w:eastAsia="Microsoft YaHei"/>
                <w:color w:val="0B2545"/>
                <w:sz w:val="14"/>
              </w:rPr>
              <w:t>IMAS 接口数据结构与数据字典</w:t>
            </w:r>
          </w:p>
        </w:tc>
        <w:tc>
          <w:tcPr>
            <w:tcW w:type="dxa" w:w="800"/>
            <w:tcMar>
              <w:top w:w="45" w:type="dxa"/>
              <w:bottom w:w="45" w:type="dxa"/>
              <w:start w:w="100" w:type="dxa"/>
              <w:end w:w="100" w:type="dxa"/>
            </w:tcMar>
          </w:tcPr>
          <w:p>
            <w:pPr>
              <w:keepLines/>
              <w:spacing w:after="0" w:line="252" w:lineRule="auto"/>
            </w:pPr>
            <w:r>
              <w:rPr>
                <w:rFonts w:ascii="Calibri" w:hAnsi="Calibri" w:eastAsia="Microsoft YaHei"/>
                <w:color w:val="0B2545"/>
                <w:sz w:val="14"/>
              </w:rPr>
              <w:t>E3</w:t>
            </w:r>
          </w:p>
        </w:tc>
        <w:tc>
          <w:tcPr>
            <w:tcW w:type="dxa" w:w="2900"/>
            <w:tcMar>
              <w:top w:w="45" w:type="dxa"/>
              <w:bottom w:w="45" w:type="dxa"/>
              <w:start w:w="100" w:type="dxa"/>
              <w:end w:w="100" w:type="dxa"/>
            </w:tcMar>
          </w:tcPr>
          <w:p>
            <w:pPr>
              <w:keepLines/>
              <w:spacing w:after="0" w:line="252" w:lineRule="auto"/>
            </w:pPr>
            <w:r>
              <w:rPr>
                <w:rFonts w:ascii="Calibri" w:hAnsi="Calibri" w:eastAsia="Microsoft YaHei"/>
                <w:color w:val="0B2545"/>
                <w:sz w:val="14"/>
              </w:rPr>
              <w:t>ITER；EUROfusion devices；JET；ASDEX Upgrade；WEST；TCV；W7-X</w:t>
            </w:r>
          </w:p>
        </w:tc>
      </w:tr>
      <w:tr>
        <w:trPr>
          <w:cantSplit/>
        </w:trPr>
        <w:tc>
          <w:tcPr>
            <w:tcW w:type="dxa" w:w="1000"/>
            <w:tcMar>
              <w:top w:w="45" w:type="dxa"/>
              <w:bottom w:w="45" w:type="dxa"/>
              <w:start w:w="100" w:type="dxa"/>
              <w:end w:w="100" w:type="dxa"/>
            </w:tcMar>
          </w:tcPr>
          <w:p>
            <w:pPr>
              <w:keepLines/>
              <w:spacing w:after="0" w:line="252" w:lineRule="auto"/>
            </w:pPr>
            <w:r>
              <w:rPr>
                <w:rFonts w:ascii="Calibri" w:hAnsi="Calibri" w:eastAsia="Microsoft YaHei"/>
                <w:color w:val="0B2545"/>
                <w:sz w:val="14"/>
              </w:rPr>
              <w:t>DSI-002</w:t>
            </w:r>
          </w:p>
        </w:tc>
        <w:tc>
          <w:tcPr>
            <w:tcW w:type="dxa" w:w="900"/>
            <w:tcMar>
              <w:top w:w="45" w:type="dxa"/>
              <w:bottom w:w="45" w:type="dxa"/>
              <w:start w:w="100" w:type="dxa"/>
              <w:end w:w="100" w:type="dxa"/>
            </w:tcMar>
          </w:tcPr>
          <w:p>
            <w:pPr>
              <w:keepLines/>
              <w:spacing w:after="0" w:line="252" w:lineRule="auto"/>
            </w:pPr>
            <w:r>
              <w:rPr>
                <w:rFonts w:ascii="Calibri" w:hAnsi="Calibri" w:eastAsia="Microsoft YaHei"/>
                <w:color w:val="0B2545"/>
                <w:sz w:val="14"/>
              </w:rPr>
              <w:t>DG0</w:t>
            </w:r>
          </w:p>
        </w:tc>
        <w:tc>
          <w:tcPr>
            <w:tcW w:type="dxa" w:w="3760"/>
            <w:tcMar>
              <w:top w:w="45" w:type="dxa"/>
              <w:bottom w:w="45" w:type="dxa"/>
              <w:start w:w="100" w:type="dxa"/>
              <w:end w:w="100" w:type="dxa"/>
            </w:tcMar>
          </w:tcPr>
          <w:p>
            <w:pPr>
              <w:keepLines/>
              <w:spacing w:after="0" w:line="252" w:lineRule="auto"/>
            </w:pPr>
            <w:r>
              <w:rPr>
                <w:rFonts w:ascii="Calibri" w:hAnsi="Calibri" w:eastAsia="Microsoft YaHei"/>
                <w:color w:val="0B2545"/>
                <w:sz w:val="14"/>
              </w:rPr>
              <w:t>MDSplus 脉冲树、数据采集与时序数据管理</w:t>
            </w:r>
          </w:p>
        </w:tc>
        <w:tc>
          <w:tcPr>
            <w:tcW w:type="dxa" w:w="800"/>
            <w:tcMar>
              <w:top w:w="45" w:type="dxa"/>
              <w:bottom w:w="45" w:type="dxa"/>
              <w:start w:w="100" w:type="dxa"/>
              <w:end w:w="100" w:type="dxa"/>
            </w:tcMar>
          </w:tcPr>
          <w:p>
            <w:pPr>
              <w:keepLines/>
              <w:spacing w:after="0" w:line="252" w:lineRule="auto"/>
            </w:pPr>
            <w:r>
              <w:rPr>
                <w:rFonts w:ascii="Calibri" w:hAnsi="Calibri" w:eastAsia="Microsoft YaHei"/>
                <w:color w:val="0B2545"/>
                <w:sz w:val="14"/>
              </w:rPr>
              <w:t>E4</w:t>
            </w:r>
          </w:p>
        </w:tc>
        <w:tc>
          <w:tcPr>
            <w:tcW w:type="dxa" w:w="2900"/>
            <w:tcMar>
              <w:top w:w="45" w:type="dxa"/>
              <w:bottom w:w="45" w:type="dxa"/>
              <w:start w:w="100" w:type="dxa"/>
              <w:end w:w="100" w:type="dxa"/>
            </w:tcMar>
          </w:tcPr>
          <w:p>
            <w:pPr>
              <w:keepLines/>
              <w:spacing w:after="0" w:line="252" w:lineRule="auto"/>
            </w:pPr>
            <w:r>
              <w:rPr>
                <w:rFonts w:ascii="Calibri" w:hAnsi="Calibri" w:eastAsia="Microsoft YaHei"/>
                <w:color w:val="0B2545"/>
                <w:sz w:val="14"/>
              </w:rPr>
              <w:t>Alcator C-Mod；RFX-mod；TCV；DIII-D；KSTAR；EAST；NSTX-U；SPIDER</w:t>
            </w:r>
          </w:p>
        </w:tc>
      </w:tr>
      <w:tr>
        <w:trPr>
          <w:cantSplit/>
        </w:trPr>
        <w:tc>
          <w:tcPr>
            <w:tcW w:type="dxa" w:w="1000"/>
            <w:tcMar>
              <w:top w:w="45" w:type="dxa"/>
              <w:bottom w:w="45" w:type="dxa"/>
              <w:start w:w="100" w:type="dxa"/>
              <w:end w:w="100" w:type="dxa"/>
            </w:tcMar>
          </w:tcPr>
          <w:p>
            <w:pPr>
              <w:keepLines/>
              <w:spacing w:after="0" w:line="252" w:lineRule="auto"/>
            </w:pPr>
            <w:r>
              <w:rPr>
                <w:rFonts w:ascii="Calibri" w:hAnsi="Calibri" w:eastAsia="Microsoft YaHei"/>
                <w:color w:val="0B2545"/>
                <w:sz w:val="14"/>
              </w:rPr>
              <w:t>DSI-003</w:t>
            </w:r>
          </w:p>
        </w:tc>
        <w:tc>
          <w:tcPr>
            <w:tcW w:type="dxa" w:w="900"/>
            <w:tcMar>
              <w:top w:w="45" w:type="dxa"/>
              <w:bottom w:w="45" w:type="dxa"/>
              <w:start w:w="100" w:type="dxa"/>
              <w:end w:w="100" w:type="dxa"/>
            </w:tcMar>
          </w:tcPr>
          <w:p>
            <w:pPr>
              <w:keepLines/>
              <w:spacing w:after="0" w:line="252" w:lineRule="auto"/>
            </w:pPr>
            <w:r>
              <w:rPr>
                <w:rFonts w:ascii="Calibri" w:hAnsi="Calibri" w:eastAsia="Microsoft YaHei"/>
                <w:color w:val="0B2545"/>
                <w:sz w:val="14"/>
              </w:rPr>
              <w:t>DG0</w:t>
            </w:r>
          </w:p>
        </w:tc>
        <w:tc>
          <w:tcPr>
            <w:tcW w:type="dxa" w:w="3760"/>
            <w:tcMar>
              <w:top w:w="45" w:type="dxa"/>
              <w:bottom w:w="45" w:type="dxa"/>
              <w:start w:w="100" w:type="dxa"/>
              <w:end w:w="100" w:type="dxa"/>
            </w:tcMar>
          </w:tcPr>
          <w:p>
            <w:pPr>
              <w:keepLines/>
              <w:spacing w:after="0" w:line="252" w:lineRule="auto"/>
            </w:pPr>
            <w:r>
              <w:rPr>
                <w:rFonts w:ascii="Calibri" w:hAnsi="Calibri" w:eastAsia="Microsoft YaHei"/>
                <w:color w:val="0B2545"/>
                <w:sz w:val="14"/>
              </w:rPr>
              <w:t>UDA 统一数据访问层</w:t>
            </w:r>
          </w:p>
        </w:tc>
        <w:tc>
          <w:tcPr>
            <w:tcW w:type="dxa" w:w="800"/>
            <w:tcMar>
              <w:top w:w="45" w:type="dxa"/>
              <w:bottom w:w="45" w:type="dxa"/>
              <w:start w:w="100" w:type="dxa"/>
              <w:end w:w="100" w:type="dxa"/>
            </w:tcMar>
          </w:tcPr>
          <w:p>
            <w:pPr>
              <w:keepLines/>
              <w:spacing w:after="0" w:line="252" w:lineRule="auto"/>
            </w:pPr>
            <w:r>
              <w:rPr>
                <w:rFonts w:ascii="Calibri" w:hAnsi="Calibri" w:eastAsia="Microsoft YaHei"/>
                <w:color w:val="0B2545"/>
                <w:sz w:val="14"/>
              </w:rPr>
              <w:t>E3</w:t>
            </w:r>
          </w:p>
        </w:tc>
        <w:tc>
          <w:tcPr>
            <w:tcW w:type="dxa" w:w="2900"/>
            <w:tcMar>
              <w:top w:w="45" w:type="dxa"/>
              <w:bottom w:w="45" w:type="dxa"/>
              <w:start w:w="100" w:type="dxa"/>
              <w:end w:w="100" w:type="dxa"/>
            </w:tcMar>
          </w:tcPr>
          <w:p>
            <w:pPr>
              <w:keepLines/>
              <w:spacing w:after="0" w:line="252" w:lineRule="auto"/>
            </w:pPr>
            <w:r>
              <w:rPr>
                <w:rFonts w:ascii="Calibri" w:hAnsi="Calibri" w:eastAsia="Microsoft YaHei"/>
                <w:color w:val="0B2545"/>
                <w:sz w:val="14"/>
              </w:rPr>
              <w:t>JET；MAST Upgrade；ITER/IMAS workflows；UKAEA facilities</w:t>
            </w:r>
          </w:p>
        </w:tc>
      </w:tr>
      <w:tr>
        <w:trPr>
          <w:cantSplit/>
        </w:trPr>
        <w:tc>
          <w:tcPr>
            <w:tcW w:type="dxa" w:w="1000"/>
            <w:tcMar>
              <w:top w:w="45" w:type="dxa"/>
              <w:bottom w:w="45" w:type="dxa"/>
              <w:start w:w="100" w:type="dxa"/>
              <w:end w:w="100" w:type="dxa"/>
            </w:tcMar>
          </w:tcPr>
          <w:p>
            <w:pPr>
              <w:keepLines/>
              <w:spacing w:after="0" w:line="252" w:lineRule="auto"/>
            </w:pPr>
            <w:r>
              <w:rPr>
                <w:rFonts w:ascii="Calibri" w:hAnsi="Calibri" w:eastAsia="Microsoft YaHei"/>
                <w:color w:val="0B2545"/>
                <w:sz w:val="14"/>
              </w:rPr>
              <w:t>DSI-004</w:t>
            </w:r>
          </w:p>
        </w:tc>
        <w:tc>
          <w:tcPr>
            <w:tcW w:type="dxa" w:w="900"/>
            <w:tcMar>
              <w:top w:w="45" w:type="dxa"/>
              <w:bottom w:w="45" w:type="dxa"/>
              <w:start w:w="100" w:type="dxa"/>
              <w:end w:w="100" w:type="dxa"/>
            </w:tcMar>
          </w:tcPr>
          <w:p>
            <w:pPr>
              <w:keepLines/>
              <w:spacing w:after="0" w:line="252" w:lineRule="auto"/>
            </w:pPr>
            <w:r>
              <w:rPr>
                <w:rFonts w:ascii="Calibri" w:hAnsi="Calibri" w:eastAsia="Microsoft YaHei"/>
                <w:color w:val="0B2545"/>
                <w:sz w:val="14"/>
              </w:rPr>
              <w:t>DG0</w:t>
            </w:r>
          </w:p>
        </w:tc>
        <w:tc>
          <w:tcPr>
            <w:tcW w:type="dxa" w:w="3760"/>
            <w:tcMar>
              <w:top w:w="45" w:type="dxa"/>
              <w:bottom w:w="45" w:type="dxa"/>
              <w:start w:w="100" w:type="dxa"/>
              <w:end w:w="100" w:type="dxa"/>
            </w:tcMar>
          </w:tcPr>
          <w:p>
            <w:pPr>
              <w:keepLines/>
              <w:spacing w:after="0" w:line="252" w:lineRule="auto"/>
            </w:pPr>
            <w:r>
              <w:rPr>
                <w:rFonts w:ascii="Calibri" w:hAnsi="Calibri" w:eastAsia="Microsoft YaHei"/>
                <w:color w:val="0B2545"/>
                <w:sz w:val="14"/>
              </w:rPr>
              <w:t>OMAS：轻量 IMAS 兼容数据对象与装置映射</w:t>
            </w:r>
          </w:p>
        </w:tc>
        <w:tc>
          <w:tcPr>
            <w:tcW w:type="dxa" w:w="800"/>
            <w:tcMar>
              <w:top w:w="45" w:type="dxa"/>
              <w:bottom w:w="45" w:type="dxa"/>
              <w:start w:w="100" w:type="dxa"/>
              <w:end w:w="100" w:type="dxa"/>
            </w:tcMar>
          </w:tcPr>
          <w:p>
            <w:pPr>
              <w:keepLines/>
              <w:spacing w:after="0" w:line="252" w:lineRule="auto"/>
            </w:pPr>
            <w:r>
              <w:rPr>
                <w:rFonts w:ascii="Calibri" w:hAnsi="Calibri" w:eastAsia="Microsoft YaHei"/>
                <w:color w:val="0B2545"/>
                <w:sz w:val="14"/>
              </w:rPr>
              <w:t>E2</w:t>
            </w:r>
          </w:p>
        </w:tc>
        <w:tc>
          <w:tcPr>
            <w:tcW w:type="dxa" w:w="2900"/>
            <w:tcMar>
              <w:top w:w="45" w:type="dxa"/>
              <w:bottom w:w="45" w:type="dxa"/>
              <w:start w:w="100" w:type="dxa"/>
              <w:end w:w="100" w:type="dxa"/>
            </w:tcMar>
          </w:tcPr>
          <w:p>
            <w:pPr>
              <w:keepLines/>
              <w:spacing w:after="0" w:line="252" w:lineRule="auto"/>
            </w:pPr>
            <w:r>
              <w:rPr>
                <w:rFonts w:ascii="Calibri" w:hAnsi="Calibri" w:eastAsia="Microsoft YaHei"/>
                <w:color w:val="0B2545"/>
                <w:sz w:val="14"/>
              </w:rPr>
              <w:t>DIII-D；NSTX-U；ITER scenario studies；GA workflows</w:t>
            </w:r>
          </w:p>
        </w:tc>
      </w:tr>
      <w:tr>
        <w:trPr>
          <w:cantSplit/>
        </w:trPr>
        <w:tc>
          <w:tcPr>
            <w:tcW w:type="dxa" w:w="1000"/>
            <w:tcMar>
              <w:top w:w="45" w:type="dxa"/>
              <w:bottom w:w="45" w:type="dxa"/>
              <w:start w:w="100" w:type="dxa"/>
              <w:end w:w="100" w:type="dxa"/>
            </w:tcMar>
          </w:tcPr>
          <w:p>
            <w:pPr>
              <w:keepLines/>
              <w:spacing w:after="0" w:line="252" w:lineRule="auto"/>
            </w:pPr>
            <w:r>
              <w:rPr>
                <w:rFonts w:ascii="Calibri" w:hAnsi="Calibri" w:eastAsia="Microsoft YaHei"/>
                <w:color w:val="0B2545"/>
                <w:sz w:val="14"/>
              </w:rPr>
              <w:t>DSI-005</w:t>
            </w:r>
          </w:p>
        </w:tc>
        <w:tc>
          <w:tcPr>
            <w:tcW w:type="dxa" w:w="900"/>
            <w:tcMar>
              <w:top w:w="45" w:type="dxa"/>
              <w:bottom w:w="45" w:type="dxa"/>
              <w:start w:w="100" w:type="dxa"/>
              <w:end w:w="100" w:type="dxa"/>
            </w:tcMar>
          </w:tcPr>
          <w:p>
            <w:pPr>
              <w:keepLines/>
              <w:spacing w:after="0" w:line="252" w:lineRule="auto"/>
            </w:pPr>
            <w:r>
              <w:rPr>
                <w:rFonts w:ascii="Calibri" w:hAnsi="Calibri" w:eastAsia="Microsoft YaHei"/>
                <w:color w:val="0B2545"/>
                <w:sz w:val="14"/>
              </w:rPr>
              <w:t>DG0</w:t>
            </w:r>
          </w:p>
        </w:tc>
        <w:tc>
          <w:tcPr>
            <w:tcW w:type="dxa" w:w="3760"/>
            <w:tcMar>
              <w:top w:w="45" w:type="dxa"/>
              <w:bottom w:w="45" w:type="dxa"/>
              <w:start w:w="100" w:type="dxa"/>
              <w:end w:w="100" w:type="dxa"/>
            </w:tcMar>
          </w:tcPr>
          <w:p>
            <w:pPr>
              <w:keepLines/>
              <w:spacing w:after="0" w:line="252" w:lineRule="auto"/>
            </w:pPr>
            <w:r>
              <w:rPr>
                <w:rFonts w:ascii="Calibri" w:hAnsi="Calibri" w:eastAsia="Microsoft YaHei"/>
                <w:color w:val="0B2545"/>
                <w:sz w:val="14"/>
              </w:rPr>
              <w:t>FAIR4Fusion 数据治理蓝图</w:t>
            </w:r>
          </w:p>
        </w:tc>
        <w:tc>
          <w:tcPr>
            <w:tcW w:type="dxa" w:w="800"/>
            <w:tcMar>
              <w:top w:w="45" w:type="dxa"/>
              <w:bottom w:w="45" w:type="dxa"/>
              <w:start w:w="100" w:type="dxa"/>
              <w:end w:w="100" w:type="dxa"/>
            </w:tcMar>
          </w:tcPr>
          <w:p>
            <w:pPr>
              <w:keepLines/>
              <w:spacing w:after="0" w:line="252" w:lineRule="auto"/>
            </w:pPr>
            <w:r>
              <w:rPr>
                <w:rFonts w:ascii="Calibri" w:hAnsi="Calibri" w:eastAsia="Microsoft YaHei"/>
                <w:color w:val="0B2545"/>
                <w:sz w:val="14"/>
              </w:rPr>
              <w:t>E1</w:t>
            </w:r>
          </w:p>
        </w:tc>
        <w:tc>
          <w:tcPr>
            <w:tcW w:type="dxa" w:w="2900"/>
            <w:tcMar>
              <w:top w:w="45" w:type="dxa"/>
              <w:bottom w:w="45" w:type="dxa"/>
              <w:start w:w="100" w:type="dxa"/>
              <w:end w:w="100" w:type="dxa"/>
            </w:tcMar>
          </w:tcPr>
          <w:p>
            <w:pPr>
              <w:keepLines/>
              <w:spacing w:after="0" w:line="252" w:lineRule="auto"/>
            </w:pPr>
            <w:r>
              <w:rPr>
                <w:rFonts w:ascii="Calibri" w:hAnsi="Calibri" w:eastAsia="Microsoft YaHei"/>
                <w:color w:val="0B2545"/>
                <w:sz w:val="14"/>
              </w:rPr>
              <w:t>EUROfusion facilities；ITER-adjacent research ecosystem</w:t>
            </w:r>
          </w:p>
        </w:tc>
      </w:tr>
      <w:tr>
        <w:trPr>
          <w:cantSplit/>
        </w:trPr>
        <w:tc>
          <w:tcPr>
            <w:tcW w:type="dxa" w:w="1000"/>
            <w:tcMar>
              <w:top w:w="45" w:type="dxa"/>
              <w:bottom w:w="45" w:type="dxa"/>
              <w:start w:w="100" w:type="dxa"/>
              <w:end w:w="100" w:type="dxa"/>
            </w:tcMar>
          </w:tcPr>
          <w:p>
            <w:pPr>
              <w:keepLines/>
              <w:spacing w:after="0" w:line="252" w:lineRule="auto"/>
            </w:pPr>
            <w:r>
              <w:rPr>
                <w:rFonts w:ascii="Calibri" w:hAnsi="Calibri" w:eastAsia="Microsoft YaHei"/>
                <w:color w:val="0B2545"/>
                <w:sz w:val="14"/>
              </w:rPr>
              <w:t>DG2-008</w:t>
            </w:r>
          </w:p>
        </w:tc>
        <w:tc>
          <w:tcPr>
            <w:tcW w:type="dxa" w:w="900"/>
            <w:tcMar>
              <w:top w:w="45" w:type="dxa"/>
              <w:bottom w:w="45" w:type="dxa"/>
              <w:start w:w="100" w:type="dxa"/>
              <w:end w:w="100" w:type="dxa"/>
            </w:tcMar>
          </w:tcPr>
          <w:p>
            <w:pPr>
              <w:keepLines/>
              <w:spacing w:after="0" w:line="252" w:lineRule="auto"/>
            </w:pPr>
            <w:r>
              <w:rPr>
                <w:rFonts w:ascii="Calibri" w:hAnsi="Calibri" w:eastAsia="Microsoft YaHei"/>
                <w:color w:val="0B2545"/>
                <w:sz w:val="14"/>
              </w:rPr>
              <w:t>DG2</w:t>
            </w:r>
          </w:p>
        </w:tc>
        <w:tc>
          <w:tcPr>
            <w:tcW w:type="dxa" w:w="3760"/>
            <w:tcMar>
              <w:top w:w="45" w:type="dxa"/>
              <w:bottom w:w="45" w:type="dxa"/>
              <w:start w:w="100" w:type="dxa"/>
              <w:end w:w="100" w:type="dxa"/>
            </w:tcMar>
          </w:tcPr>
          <w:p>
            <w:pPr>
              <w:keepLines/>
              <w:spacing w:after="0" w:line="252" w:lineRule="auto"/>
            </w:pPr>
            <w:r>
              <w:rPr>
                <w:rFonts w:ascii="Calibri" w:hAnsi="Calibri" w:eastAsia="Microsoft YaHei"/>
                <w:color w:val="0B2545"/>
                <w:sz w:val="14"/>
              </w:rPr>
              <w:t>多色干涉/偏振测量：ITER环向干涉偏振仪</w:t>
            </w:r>
          </w:p>
        </w:tc>
        <w:tc>
          <w:tcPr>
            <w:tcW w:type="dxa" w:w="800"/>
            <w:tcMar>
              <w:top w:w="45" w:type="dxa"/>
              <w:bottom w:w="45" w:type="dxa"/>
              <w:start w:w="100" w:type="dxa"/>
              <w:end w:w="100" w:type="dxa"/>
            </w:tcMar>
          </w:tcPr>
          <w:p>
            <w:pPr>
              <w:keepLines/>
              <w:spacing w:after="0" w:line="252" w:lineRule="auto"/>
            </w:pPr>
            <w:r>
              <w:rPr>
                <w:rFonts w:ascii="Calibri" w:hAnsi="Calibri" w:eastAsia="Microsoft YaHei"/>
                <w:color w:val="0B2545"/>
                <w:sz w:val="14"/>
              </w:rPr>
              <w:t>E3</w:t>
            </w:r>
          </w:p>
        </w:tc>
        <w:tc>
          <w:tcPr>
            <w:tcW w:type="dxa" w:w="2900"/>
            <w:tcMar>
              <w:top w:w="45" w:type="dxa"/>
              <w:bottom w:w="45" w:type="dxa"/>
              <w:start w:w="100" w:type="dxa"/>
              <w:end w:w="100" w:type="dxa"/>
            </w:tcMar>
          </w:tcPr>
          <w:p>
            <w:pPr>
              <w:keepLines/>
              <w:spacing w:after="0" w:line="252" w:lineRule="auto"/>
            </w:pPr>
            <w:r>
              <w:rPr>
                <w:rFonts w:ascii="Calibri" w:hAnsi="Calibri" w:eastAsia="Microsoft YaHei"/>
                <w:color w:val="0B2545"/>
                <w:sz w:val="14"/>
              </w:rPr>
              <w:t>ITER；DIII-D；EAST；KSTAR</w:t>
            </w:r>
          </w:p>
        </w:tc>
      </w:tr>
      <w:tr>
        <w:trPr>
          <w:cantSplit/>
        </w:trPr>
        <w:tc>
          <w:tcPr>
            <w:tcW w:type="dxa" w:w="1000"/>
            <w:tcMar>
              <w:top w:w="45" w:type="dxa"/>
              <w:bottom w:w="45" w:type="dxa"/>
              <w:start w:w="100" w:type="dxa"/>
              <w:end w:w="100" w:type="dxa"/>
            </w:tcMar>
          </w:tcPr>
          <w:p>
            <w:pPr>
              <w:keepLines/>
              <w:spacing w:after="0" w:line="252" w:lineRule="auto"/>
            </w:pPr>
            <w:r>
              <w:rPr>
                <w:rFonts w:ascii="Calibri" w:hAnsi="Calibri" w:eastAsia="Microsoft YaHei"/>
                <w:color w:val="0B2545"/>
                <w:sz w:val="14"/>
              </w:rPr>
              <w:t>DG6-029</w:t>
            </w:r>
          </w:p>
        </w:tc>
        <w:tc>
          <w:tcPr>
            <w:tcW w:type="dxa" w:w="900"/>
            <w:tcMar>
              <w:top w:w="45" w:type="dxa"/>
              <w:bottom w:w="45" w:type="dxa"/>
              <w:start w:w="100" w:type="dxa"/>
              <w:end w:w="100" w:type="dxa"/>
            </w:tcMar>
          </w:tcPr>
          <w:p>
            <w:pPr>
              <w:keepLines/>
              <w:spacing w:after="0" w:line="252" w:lineRule="auto"/>
            </w:pPr>
            <w:r>
              <w:rPr>
                <w:rFonts w:ascii="Calibri" w:hAnsi="Calibri" w:eastAsia="Microsoft YaHei"/>
                <w:color w:val="0B2545"/>
                <w:sz w:val="14"/>
              </w:rPr>
              <w:t>DG6</w:t>
            </w:r>
          </w:p>
        </w:tc>
        <w:tc>
          <w:tcPr>
            <w:tcW w:type="dxa" w:w="3760"/>
            <w:tcMar>
              <w:top w:w="45" w:type="dxa"/>
              <w:bottom w:w="45" w:type="dxa"/>
              <w:start w:w="100" w:type="dxa"/>
              <w:end w:w="100" w:type="dxa"/>
            </w:tcMar>
          </w:tcPr>
          <w:p>
            <w:pPr>
              <w:keepLines/>
              <w:spacing w:after="0" w:line="252" w:lineRule="auto"/>
            </w:pPr>
            <w:r>
              <w:rPr>
                <w:rFonts w:ascii="Calibri" w:hAnsi="Calibri" w:eastAsia="Microsoft YaHei"/>
                <w:color w:val="0B2545"/>
                <w:sz w:val="14"/>
              </w:rPr>
              <w:t>Mirnov线圈阵列：MHD模态与锁模</w:t>
            </w:r>
          </w:p>
        </w:tc>
        <w:tc>
          <w:tcPr>
            <w:tcW w:type="dxa" w:w="800"/>
            <w:tcMar>
              <w:top w:w="45" w:type="dxa"/>
              <w:bottom w:w="45" w:type="dxa"/>
              <w:start w:w="100" w:type="dxa"/>
              <w:end w:w="100" w:type="dxa"/>
            </w:tcMar>
          </w:tcPr>
          <w:p>
            <w:pPr>
              <w:keepLines/>
              <w:spacing w:after="0" w:line="252" w:lineRule="auto"/>
            </w:pPr>
            <w:r>
              <w:rPr>
                <w:rFonts w:ascii="Calibri" w:hAnsi="Calibri" w:eastAsia="Microsoft YaHei"/>
                <w:color w:val="0B2545"/>
                <w:sz w:val="14"/>
              </w:rPr>
              <w:t>E4</w:t>
            </w:r>
          </w:p>
        </w:tc>
        <w:tc>
          <w:tcPr>
            <w:tcW w:type="dxa" w:w="2900"/>
            <w:tcMar>
              <w:top w:w="45" w:type="dxa"/>
              <w:bottom w:w="45" w:type="dxa"/>
              <w:start w:w="100" w:type="dxa"/>
              <w:end w:w="100" w:type="dxa"/>
            </w:tcMar>
          </w:tcPr>
          <w:p>
            <w:pPr>
              <w:keepLines/>
              <w:spacing w:after="0" w:line="252" w:lineRule="auto"/>
            </w:pPr>
            <w:r>
              <w:rPr>
                <w:rFonts w:ascii="Calibri" w:hAnsi="Calibri" w:eastAsia="Microsoft YaHei"/>
                <w:color w:val="0B2545"/>
                <w:sz w:val="14"/>
              </w:rPr>
              <w:t>J-TEXT；MAST；DIII-D；EAST；KSTAR</w:t>
            </w:r>
          </w:p>
        </w:tc>
      </w:tr>
      <w:tr>
        <w:trPr>
          <w:cantSplit/>
        </w:trPr>
        <w:tc>
          <w:tcPr>
            <w:tcW w:type="dxa" w:w="1000"/>
            <w:tcMar>
              <w:top w:w="45" w:type="dxa"/>
              <w:bottom w:w="45" w:type="dxa"/>
              <w:start w:w="100" w:type="dxa"/>
              <w:end w:w="100" w:type="dxa"/>
            </w:tcMar>
          </w:tcPr>
          <w:p>
            <w:pPr>
              <w:keepLines/>
              <w:spacing w:after="0" w:line="252" w:lineRule="auto"/>
            </w:pPr>
            <w:r>
              <w:rPr>
                <w:rFonts w:ascii="Calibri" w:hAnsi="Calibri" w:eastAsia="Microsoft YaHei"/>
                <w:color w:val="0B2545"/>
                <w:sz w:val="14"/>
              </w:rPr>
              <w:t>PDT-009</w:t>
            </w:r>
          </w:p>
        </w:tc>
        <w:tc>
          <w:tcPr>
            <w:tcW w:type="dxa" w:w="900"/>
            <w:tcMar>
              <w:top w:w="45" w:type="dxa"/>
              <w:bottom w:w="45" w:type="dxa"/>
              <w:start w:w="100" w:type="dxa"/>
              <w:end w:w="100" w:type="dxa"/>
            </w:tcMar>
          </w:tcPr>
          <w:p>
            <w:pPr>
              <w:keepLines/>
              <w:spacing w:after="0" w:line="252" w:lineRule="auto"/>
            </w:pPr>
            <w:r>
              <w:rPr>
                <w:rFonts w:ascii="Calibri" w:hAnsi="Calibri" w:eastAsia="Microsoft YaHei"/>
                <w:color w:val="0B2545"/>
                <w:sz w:val="14"/>
              </w:rPr>
              <w:t>DG8</w:t>
            </w:r>
          </w:p>
        </w:tc>
        <w:tc>
          <w:tcPr>
            <w:tcW w:type="dxa" w:w="3760"/>
            <w:tcMar>
              <w:top w:w="45" w:type="dxa"/>
              <w:bottom w:w="45" w:type="dxa"/>
              <w:start w:w="100" w:type="dxa"/>
              <w:end w:w="100" w:type="dxa"/>
            </w:tcMar>
          </w:tcPr>
          <w:p>
            <w:pPr>
              <w:keepLines/>
              <w:spacing w:after="0" w:line="252" w:lineRule="auto"/>
            </w:pPr>
            <w:r>
              <w:rPr>
                <w:rFonts w:ascii="Calibri" w:hAnsi="Calibri" w:eastAsia="Microsoft YaHei"/>
                <w:color w:val="0B2545"/>
                <w:sz w:val="14"/>
              </w:rPr>
              <w:t>TEXTOR/T-10 运行中部件振动与位移测量</w:t>
            </w:r>
          </w:p>
        </w:tc>
        <w:tc>
          <w:tcPr>
            <w:tcW w:type="dxa" w:w="800"/>
            <w:tcMar>
              <w:top w:w="45" w:type="dxa"/>
              <w:bottom w:w="45" w:type="dxa"/>
              <w:start w:w="100" w:type="dxa"/>
              <w:end w:w="100" w:type="dxa"/>
            </w:tcMar>
          </w:tcPr>
          <w:p>
            <w:pPr>
              <w:keepLines/>
              <w:spacing w:after="0" w:line="252" w:lineRule="auto"/>
            </w:pPr>
            <w:r>
              <w:rPr>
                <w:rFonts w:ascii="Calibri" w:hAnsi="Calibri" w:eastAsia="Microsoft YaHei"/>
                <w:color w:val="0B2545"/>
                <w:sz w:val="14"/>
              </w:rPr>
              <w:t>E4</w:t>
            </w:r>
          </w:p>
        </w:tc>
        <w:tc>
          <w:tcPr>
            <w:tcW w:type="dxa" w:w="2900"/>
            <w:tcMar>
              <w:top w:w="45" w:type="dxa"/>
              <w:bottom w:w="45" w:type="dxa"/>
              <w:start w:w="100" w:type="dxa"/>
              <w:end w:w="100" w:type="dxa"/>
            </w:tcMar>
          </w:tcPr>
          <w:p>
            <w:pPr>
              <w:keepLines/>
              <w:spacing w:after="0" w:line="252" w:lineRule="auto"/>
            </w:pPr>
            <w:r>
              <w:rPr>
                <w:rFonts w:ascii="Calibri" w:hAnsi="Calibri" w:eastAsia="Microsoft YaHei"/>
                <w:color w:val="0B2545"/>
                <w:sz w:val="14"/>
              </w:rPr>
              <w:t>TEXTOR；T-10</w:t>
            </w:r>
          </w:p>
        </w:tc>
      </w:tr>
      <w:tr>
        <w:trPr>
          <w:cantSplit/>
        </w:trPr>
        <w:tc>
          <w:tcPr>
            <w:tcW w:type="dxa" w:w="1000"/>
            <w:tcMar>
              <w:top w:w="45" w:type="dxa"/>
              <w:bottom w:w="45" w:type="dxa"/>
              <w:start w:w="100" w:type="dxa"/>
              <w:end w:w="100" w:type="dxa"/>
            </w:tcMar>
          </w:tcPr>
          <w:p>
            <w:pPr>
              <w:keepLines/>
              <w:spacing w:after="0" w:line="252" w:lineRule="auto"/>
            </w:pPr>
            <w:r>
              <w:rPr>
                <w:rFonts w:ascii="Calibri" w:hAnsi="Calibri" w:eastAsia="Microsoft YaHei"/>
                <w:color w:val="0B2545"/>
                <w:sz w:val="14"/>
              </w:rPr>
              <w:t>DSI-023</w:t>
            </w:r>
          </w:p>
        </w:tc>
        <w:tc>
          <w:tcPr>
            <w:tcW w:type="dxa" w:w="900"/>
            <w:tcMar>
              <w:top w:w="45" w:type="dxa"/>
              <w:bottom w:w="45" w:type="dxa"/>
              <w:start w:w="100" w:type="dxa"/>
              <w:end w:w="100" w:type="dxa"/>
            </w:tcMar>
          </w:tcPr>
          <w:p>
            <w:pPr>
              <w:keepLines/>
              <w:spacing w:after="0" w:line="252" w:lineRule="auto"/>
            </w:pPr>
            <w:r>
              <w:rPr>
                <w:rFonts w:ascii="Calibri" w:hAnsi="Calibri" w:eastAsia="Microsoft YaHei"/>
                <w:color w:val="0B2545"/>
                <w:sz w:val="14"/>
              </w:rPr>
              <w:t>DG10</w:t>
            </w:r>
          </w:p>
        </w:tc>
        <w:tc>
          <w:tcPr>
            <w:tcW w:type="dxa" w:w="3760"/>
            <w:tcMar>
              <w:top w:w="45" w:type="dxa"/>
              <w:bottom w:w="45" w:type="dxa"/>
              <w:start w:w="100" w:type="dxa"/>
              <w:end w:w="100" w:type="dxa"/>
            </w:tcMar>
          </w:tcPr>
          <w:p>
            <w:pPr>
              <w:keepLines/>
              <w:spacing w:after="0" w:line="252" w:lineRule="auto"/>
            </w:pPr>
            <w:r>
              <w:rPr>
                <w:rFonts w:ascii="Calibri" w:hAnsi="Calibri" w:eastAsia="Microsoft YaHei"/>
                <w:color w:val="0B2545"/>
                <w:sz w:val="14"/>
              </w:rPr>
              <w:t>Minerva 贝叶斯诊断建模与模型数据融合框架</w:t>
            </w:r>
          </w:p>
        </w:tc>
        <w:tc>
          <w:tcPr>
            <w:tcW w:type="dxa" w:w="800"/>
            <w:tcMar>
              <w:top w:w="45" w:type="dxa"/>
              <w:bottom w:w="45" w:type="dxa"/>
              <w:start w:w="100" w:type="dxa"/>
              <w:end w:w="100" w:type="dxa"/>
            </w:tcMar>
          </w:tcPr>
          <w:p>
            <w:pPr>
              <w:keepLines/>
              <w:spacing w:after="0" w:line="252" w:lineRule="auto"/>
            </w:pPr>
            <w:r>
              <w:rPr>
                <w:rFonts w:ascii="Calibri" w:hAnsi="Calibri" w:eastAsia="Microsoft YaHei"/>
                <w:color w:val="0B2545"/>
                <w:sz w:val="14"/>
              </w:rPr>
              <w:t>E3</w:t>
            </w:r>
          </w:p>
        </w:tc>
        <w:tc>
          <w:tcPr>
            <w:tcW w:type="dxa" w:w="2900"/>
            <w:tcMar>
              <w:top w:w="45" w:type="dxa"/>
              <w:bottom w:w="45" w:type="dxa"/>
              <w:start w:w="100" w:type="dxa"/>
              <w:end w:w="100" w:type="dxa"/>
            </w:tcMar>
          </w:tcPr>
          <w:p>
            <w:pPr>
              <w:keepLines/>
              <w:spacing w:after="0" w:line="252" w:lineRule="auto"/>
            </w:pPr>
            <w:r>
              <w:rPr>
                <w:rFonts w:ascii="Calibri" w:hAnsi="Calibri" w:eastAsia="Microsoft YaHei"/>
                <w:color w:val="0B2545"/>
                <w:sz w:val="14"/>
              </w:rPr>
              <w:t>JET；W7-X；MAST and framework applications</w:t>
            </w:r>
          </w:p>
        </w:tc>
      </w:tr>
      <w:tr>
        <w:trPr>
          <w:cantSplit/>
        </w:trPr>
        <w:tc>
          <w:tcPr>
            <w:tcW w:type="dxa" w:w="1000"/>
            <w:tcMar>
              <w:top w:w="45" w:type="dxa"/>
              <w:bottom w:w="45" w:type="dxa"/>
              <w:start w:w="100" w:type="dxa"/>
              <w:end w:w="100" w:type="dxa"/>
            </w:tcMar>
          </w:tcPr>
          <w:p>
            <w:pPr>
              <w:keepLines/>
              <w:spacing w:after="0" w:line="252" w:lineRule="auto"/>
            </w:pPr>
            <w:r>
              <w:rPr>
                <w:rFonts w:ascii="Calibri" w:hAnsi="Calibri" w:eastAsia="Microsoft YaHei"/>
                <w:color w:val="0B2545"/>
                <w:sz w:val="14"/>
              </w:rPr>
              <w:t>DSI-029</w:t>
            </w:r>
          </w:p>
        </w:tc>
        <w:tc>
          <w:tcPr>
            <w:tcW w:type="dxa" w:w="900"/>
            <w:tcMar>
              <w:top w:w="45" w:type="dxa"/>
              <w:bottom w:w="45" w:type="dxa"/>
              <w:start w:w="100" w:type="dxa"/>
              <w:end w:w="100" w:type="dxa"/>
            </w:tcMar>
          </w:tcPr>
          <w:p>
            <w:pPr>
              <w:keepLines/>
              <w:spacing w:after="0" w:line="252" w:lineRule="auto"/>
            </w:pPr>
            <w:r>
              <w:rPr>
                <w:rFonts w:ascii="Calibri" w:hAnsi="Calibri" w:eastAsia="Microsoft YaHei"/>
                <w:color w:val="0B2545"/>
                <w:sz w:val="14"/>
              </w:rPr>
              <w:t>DG10</w:t>
            </w:r>
          </w:p>
        </w:tc>
        <w:tc>
          <w:tcPr>
            <w:tcW w:type="dxa" w:w="3760"/>
            <w:tcMar>
              <w:top w:w="45" w:type="dxa"/>
              <w:bottom w:w="45" w:type="dxa"/>
              <w:start w:w="100" w:type="dxa"/>
              <w:end w:w="100" w:type="dxa"/>
            </w:tcMar>
          </w:tcPr>
          <w:p>
            <w:pPr>
              <w:keepLines/>
              <w:spacing w:after="0" w:line="252" w:lineRule="auto"/>
            </w:pPr>
            <w:r>
              <w:rPr>
                <w:rFonts w:ascii="Calibri" w:hAnsi="Calibri" w:eastAsia="Microsoft YaHei"/>
                <w:color w:val="0B2545"/>
                <w:sz w:val="14"/>
              </w:rPr>
              <w:t>InDiCA 集成诊断分析框架</w:t>
            </w:r>
          </w:p>
        </w:tc>
        <w:tc>
          <w:tcPr>
            <w:tcW w:type="dxa" w:w="800"/>
            <w:tcMar>
              <w:top w:w="45" w:type="dxa"/>
              <w:bottom w:w="45" w:type="dxa"/>
              <w:start w:w="100" w:type="dxa"/>
              <w:end w:w="100" w:type="dxa"/>
            </w:tcMar>
          </w:tcPr>
          <w:p>
            <w:pPr>
              <w:keepLines/>
              <w:spacing w:after="0" w:line="252" w:lineRule="auto"/>
            </w:pPr>
            <w:r>
              <w:rPr>
                <w:rFonts w:ascii="Calibri" w:hAnsi="Calibri" w:eastAsia="Microsoft YaHei"/>
                <w:color w:val="0B2545"/>
                <w:sz w:val="14"/>
              </w:rPr>
              <w:t>E2</w:t>
            </w:r>
          </w:p>
        </w:tc>
        <w:tc>
          <w:tcPr>
            <w:tcW w:type="dxa" w:w="2900"/>
            <w:tcMar>
              <w:top w:w="45" w:type="dxa"/>
              <w:bottom w:w="45" w:type="dxa"/>
              <w:start w:w="100" w:type="dxa"/>
              <w:end w:w="100" w:type="dxa"/>
            </w:tcMar>
          </w:tcPr>
          <w:p>
            <w:pPr>
              <w:keepLines/>
              <w:spacing w:after="0" w:line="252" w:lineRule="auto"/>
            </w:pPr>
            <w:r>
              <w:rPr>
                <w:rFonts w:ascii="Calibri" w:hAnsi="Calibri" w:eastAsia="Microsoft YaHei"/>
                <w:color w:val="0B2545"/>
                <w:sz w:val="14"/>
              </w:rPr>
              <w:t>MAST Upgrade/UKAEA-oriented development；generic magnetic-confinement devices</w:t>
            </w:r>
          </w:p>
        </w:tc>
      </w:tr>
      <w:tr>
        <w:trPr>
          <w:cantSplit/>
        </w:trPr>
        <w:tc>
          <w:tcPr>
            <w:tcW w:type="dxa" w:w="1000"/>
            <w:tcMar>
              <w:top w:w="45" w:type="dxa"/>
              <w:bottom w:w="45" w:type="dxa"/>
              <w:start w:w="100" w:type="dxa"/>
              <w:end w:w="100" w:type="dxa"/>
            </w:tcMar>
          </w:tcPr>
          <w:p>
            <w:pPr>
              <w:keepLines/>
              <w:spacing w:after="0" w:line="252" w:lineRule="auto"/>
            </w:pPr>
            <w:r>
              <w:rPr>
                <w:rFonts w:ascii="Calibri" w:hAnsi="Calibri" w:eastAsia="Microsoft YaHei"/>
                <w:color w:val="0B2545"/>
                <w:sz w:val="14"/>
              </w:rPr>
              <w:t>DSI-030</w:t>
            </w:r>
          </w:p>
        </w:tc>
        <w:tc>
          <w:tcPr>
            <w:tcW w:type="dxa" w:w="900"/>
            <w:tcMar>
              <w:top w:w="45" w:type="dxa"/>
              <w:bottom w:w="45" w:type="dxa"/>
              <w:start w:w="100" w:type="dxa"/>
              <w:end w:w="100" w:type="dxa"/>
            </w:tcMar>
          </w:tcPr>
          <w:p>
            <w:pPr>
              <w:keepLines/>
              <w:spacing w:after="0" w:line="252" w:lineRule="auto"/>
            </w:pPr>
            <w:r>
              <w:rPr>
                <w:rFonts w:ascii="Calibri" w:hAnsi="Calibri" w:eastAsia="Microsoft YaHei"/>
                <w:color w:val="0B2545"/>
                <w:sz w:val="14"/>
              </w:rPr>
              <w:t>DG10</w:t>
            </w:r>
          </w:p>
        </w:tc>
        <w:tc>
          <w:tcPr>
            <w:tcW w:type="dxa" w:w="3760"/>
            <w:tcMar>
              <w:top w:w="45" w:type="dxa"/>
              <w:bottom w:w="45" w:type="dxa"/>
              <w:start w:w="100" w:type="dxa"/>
              <w:end w:w="100" w:type="dxa"/>
            </w:tcMar>
          </w:tcPr>
          <w:p>
            <w:pPr>
              <w:keepLines/>
              <w:spacing w:after="0" w:line="252" w:lineRule="auto"/>
            </w:pPr>
            <w:r>
              <w:rPr>
                <w:rFonts w:ascii="Calibri" w:hAnsi="Calibri" w:eastAsia="Microsoft YaHei"/>
                <w:color w:val="0B2545"/>
                <w:sz w:val="14"/>
              </w:rPr>
              <w:t>BEAST/MAST 贝叶斯平衡推断与证据交叉验证</w:t>
            </w:r>
          </w:p>
        </w:tc>
        <w:tc>
          <w:tcPr>
            <w:tcW w:type="dxa" w:w="800"/>
            <w:tcMar>
              <w:top w:w="45" w:type="dxa"/>
              <w:bottom w:w="45" w:type="dxa"/>
              <w:start w:w="100" w:type="dxa"/>
              <w:end w:w="100" w:type="dxa"/>
            </w:tcMar>
          </w:tcPr>
          <w:p>
            <w:pPr>
              <w:keepLines/>
              <w:spacing w:after="0" w:line="252" w:lineRule="auto"/>
            </w:pPr>
            <w:r>
              <w:rPr>
                <w:rFonts w:ascii="Calibri" w:hAnsi="Calibri" w:eastAsia="Microsoft YaHei"/>
                <w:color w:val="0B2545"/>
                <w:sz w:val="14"/>
              </w:rPr>
              <w:t>E3</w:t>
            </w:r>
          </w:p>
        </w:tc>
        <w:tc>
          <w:tcPr>
            <w:tcW w:type="dxa" w:w="2900"/>
            <w:tcMar>
              <w:top w:w="45" w:type="dxa"/>
              <w:bottom w:w="45" w:type="dxa"/>
              <w:start w:w="100" w:type="dxa"/>
              <w:end w:w="100" w:type="dxa"/>
            </w:tcMar>
          </w:tcPr>
          <w:p>
            <w:pPr>
              <w:keepLines/>
              <w:spacing w:after="0" w:line="252" w:lineRule="auto"/>
            </w:pPr>
            <w:r>
              <w:rPr>
                <w:rFonts w:ascii="Calibri" w:hAnsi="Calibri" w:eastAsia="Microsoft YaHei"/>
                <w:color w:val="0B2545"/>
                <w:sz w:val="14"/>
              </w:rPr>
              <w:t>MAST</w:t>
            </w:r>
          </w:p>
        </w:tc>
      </w:tr>
      <w:tr>
        <w:trPr>
          <w:cantSplit/>
        </w:trPr>
        <w:tc>
          <w:tcPr>
            <w:tcW w:type="dxa" w:w="1000"/>
            <w:tcMar>
              <w:top w:w="45" w:type="dxa"/>
              <w:bottom w:w="45" w:type="dxa"/>
              <w:start w:w="100" w:type="dxa"/>
              <w:end w:w="100" w:type="dxa"/>
            </w:tcMar>
          </w:tcPr>
          <w:p>
            <w:pPr>
              <w:keepLines/>
              <w:spacing w:after="0" w:line="252" w:lineRule="auto"/>
            </w:pPr>
            <w:r>
              <w:rPr>
                <w:rFonts w:ascii="Calibri" w:hAnsi="Calibri" w:eastAsia="Microsoft YaHei"/>
                <w:color w:val="0B2545"/>
                <w:sz w:val="14"/>
              </w:rPr>
              <w:t>DSI-031</w:t>
            </w:r>
          </w:p>
        </w:tc>
        <w:tc>
          <w:tcPr>
            <w:tcW w:type="dxa" w:w="900"/>
            <w:tcMar>
              <w:top w:w="45" w:type="dxa"/>
              <w:bottom w:w="45" w:type="dxa"/>
              <w:start w:w="100" w:type="dxa"/>
              <w:end w:w="100" w:type="dxa"/>
            </w:tcMar>
          </w:tcPr>
          <w:p>
            <w:pPr>
              <w:keepLines/>
              <w:spacing w:after="0" w:line="252" w:lineRule="auto"/>
            </w:pPr>
            <w:r>
              <w:rPr>
                <w:rFonts w:ascii="Calibri" w:hAnsi="Calibri" w:eastAsia="Microsoft YaHei"/>
                <w:color w:val="0B2545"/>
                <w:sz w:val="14"/>
              </w:rPr>
              <w:t>DG11</w:t>
            </w:r>
          </w:p>
        </w:tc>
        <w:tc>
          <w:tcPr>
            <w:tcW w:type="dxa" w:w="3760"/>
            <w:tcMar>
              <w:top w:w="45" w:type="dxa"/>
              <w:bottom w:w="45" w:type="dxa"/>
              <w:start w:w="100" w:type="dxa"/>
              <w:end w:w="100" w:type="dxa"/>
            </w:tcMar>
          </w:tcPr>
          <w:p>
            <w:pPr>
              <w:keepLines/>
              <w:spacing w:after="0" w:line="252" w:lineRule="auto"/>
            </w:pPr>
            <w:r>
              <w:rPr>
                <w:rFonts w:ascii="Calibri" w:hAnsi="Calibri" w:eastAsia="Microsoft YaHei"/>
                <w:color w:val="0B2545"/>
                <w:sz w:val="14"/>
              </w:rPr>
              <w:t>RAPTOR 实时剖面状态观测器</w:t>
            </w:r>
          </w:p>
        </w:tc>
        <w:tc>
          <w:tcPr>
            <w:tcW w:type="dxa" w:w="800"/>
            <w:tcMar>
              <w:top w:w="45" w:type="dxa"/>
              <w:bottom w:w="45" w:type="dxa"/>
              <w:start w:w="100" w:type="dxa"/>
              <w:end w:w="100" w:type="dxa"/>
            </w:tcMar>
          </w:tcPr>
          <w:p>
            <w:pPr>
              <w:keepLines/>
              <w:spacing w:after="0" w:line="252" w:lineRule="auto"/>
            </w:pPr>
            <w:r>
              <w:rPr>
                <w:rFonts w:ascii="Calibri" w:hAnsi="Calibri" w:eastAsia="Microsoft YaHei"/>
                <w:color w:val="0B2545"/>
                <w:sz w:val="14"/>
              </w:rPr>
              <w:t>E3</w:t>
            </w:r>
          </w:p>
        </w:tc>
        <w:tc>
          <w:tcPr>
            <w:tcW w:type="dxa" w:w="2900"/>
            <w:tcMar>
              <w:top w:w="45" w:type="dxa"/>
              <w:bottom w:w="45" w:type="dxa"/>
              <w:start w:w="100" w:type="dxa"/>
              <w:end w:w="100" w:type="dxa"/>
            </w:tcMar>
          </w:tcPr>
          <w:p>
            <w:pPr>
              <w:keepLines/>
              <w:spacing w:after="0" w:line="252" w:lineRule="auto"/>
            </w:pPr>
            <w:r>
              <w:rPr>
                <w:rFonts w:ascii="Calibri" w:hAnsi="Calibri" w:eastAsia="Microsoft YaHei"/>
                <w:color w:val="0B2545"/>
                <w:sz w:val="14"/>
              </w:rPr>
              <w:t>RFX-mod；TCV；DIII-D-oriented control studies</w:t>
            </w:r>
          </w:p>
        </w:tc>
      </w:tr>
      <w:tr>
        <w:trPr>
          <w:cantSplit/>
        </w:trPr>
        <w:tc>
          <w:tcPr>
            <w:tcW w:type="dxa" w:w="1000"/>
            <w:tcMar>
              <w:top w:w="45" w:type="dxa"/>
              <w:bottom w:w="45" w:type="dxa"/>
              <w:start w:w="100" w:type="dxa"/>
              <w:end w:w="100" w:type="dxa"/>
            </w:tcMar>
          </w:tcPr>
          <w:p>
            <w:pPr>
              <w:keepLines/>
              <w:spacing w:after="0" w:line="252" w:lineRule="auto"/>
            </w:pPr>
            <w:r>
              <w:rPr>
                <w:rFonts w:ascii="Calibri" w:hAnsi="Calibri" w:eastAsia="Microsoft YaHei"/>
                <w:color w:val="0B2545"/>
                <w:sz w:val="14"/>
              </w:rPr>
              <w:t>DSI-032</w:t>
            </w:r>
          </w:p>
        </w:tc>
        <w:tc>
          <w:tcPr>
            <w:tcW w:type="dxa" w:w="900"/>
            <w:tcMar>
              <w:top w:w="45" w:type="dxa"/>
              <w:bottom w:w="45" w:type="dxa"/>
              <w:start w:w="100" w:type="dxa"/>
              <w:end w:w="100" w:type="dxa"/>
            </w:tcMar>
          </w:tcPr>
          <w:p>
            <w:pPr>
              <w:keepLines/>
              <w:spacing w:after="0" w:line="252" w:lineRule="auto"/>
            </w:pPr>
            <w:r>
              <w:rPr>
                <w:rFonts w:ascii="Calibri" w:hAnsi="Calibri" w:eastAsia="Microsoft YaHei"/>
                <w:color w:val="0B2545"/>
                <w:sz w:val="14"/>
              </w:rPr>
              <w:t>DG11</w:t>
            </w:r>
          </w:p>
        </w:tc>
        <w:tc>
          <w:tcPr>
            <w:tcW w:type="dxa" w:w="3760"/>
            <w:tcMar>
              <w:top w:w="45" w:type="dxa"/>
              <w:bottom w:w="45" w:type="dxa"/>
              <w:start w:w="100" w:type="dxa"/>
              <w:end w:w="100" w:type="dxa"/>
            </w:tcMar>
          </w:tcPr>
          <w:p>
            <w:pPr>
              <w:keepLines/>
              <w:spacing w:after="0" w:line="252" w:lineRule="auto"/>
            </w:pPr>
            <w:r>
              <w:rPr>
                <w:rFonts w:ascii="Calibri" w:hAnsi="Calibri" w:eastAsia="Microsoft YaHei"/>
                <w:color w:val="0B2545"/>
                <w:sz w:val="14"/>
              </w:rPr>
              <w:t>FRNN 跨装置破裂风险预测</w:t>
            </w:r>
          </w:p>
        </w:tc>
        <w:tc>
          <w:tcPr>
            <w:tcW w:type="dxa" w:w="800"/>
            <w:tcMar>
              <w:top w:w="45" w:type="dxa"/>
              <w:bottom w:w="45" w:type="dxa"/>
              <w:start w:w="100" w:type="dxa"/>
              <w:end w:w="100" w:type="dxa"/>
            </w:tcMar>
          </w:tcPr>
          <w:p>
            <w:pPr>
              <w:keepLines/>
              <w:spacing w:after="0" w:line="252" w:lineRule="auto"/>
            </w:pPr>
            <w:r>
              <w:rPr>
                <w:rFonts w:ascii="Calibri" w:hAnsi="Calibri" w:eastAsia="Microsoft YaHei"/>
                <w:color w:val="0B2545"/>
                <w:sz w:val="14"/>
              </w:rPr>
              <w:t>E3</w:t>
            </w:r>
          </w:p>
        </w:tc>
        <w:tc>
          <w:tcPr>
            <w:tcW w:type="dxa" w:w="2900"/>
            <w:tcMar>
              <w:top w:w="45" w:type="dxa"/>
              <w:bottom w:w="45" w:type="dxa"/>
              <w:start w:w="100" w:type="dxa"/>
              <w:end w:w="100" w:type="dxa"/>
            </w:tcMar>
          </w:tcPr>
          <w:p>
            <w:pPr>
              <w:keepLines/>
              <w:spacing w:after="0" w:line="252" w:lineRule="auto"/>
            </w:pPr>
            <w:r>
              <w:rPr>
                <w:rFonts w:ascii="Calibri" w:hAnsi="Calibri" w:eastAsia="Microsoft YaHei"/>
                <w:color w:val="0B2545"/>
                <w:sz w:val="14"/>
              </w:rPr>
              <w:t>DIII-D；JET</w:t>
            </w:r>
          </w:p>
        </w:tc>
      </w:tr>
      <w:tr>
        <w:trPr>
          <w:cantSplit/>
        </w:trPr>
        <w:tc>
          <w:tcPr>
            <w:tcW w:type="dxa" w:w="1000"/>
            <w:tcMar>
              <w:top w:w="45" w:type="dxa"/>
              <w:bottom w:w="45" w:type="dxa"/>
              <w:start w:w="100" w:type="dxa"/>
              <w:end w:w="100" w:type="dxa"/>
            </w:tcMar>
          </w:tcPr>
          <w:p>
            <w:pPr>
              <w:keepLines/>
              <w:spacing w:after="0" w:line="252" w:lineRule="auto"/>
            </w:pPr>
            <w:r>
              <w:rPr>
                <w:rFonts w:ascii="Calibri" w:hAnsi="Calibri" w:eastAsia="Microsoft YaHei"/>
                <w:color w:val="0B2545"/>
                <w:sz w:val="14"/>
              </w:rPr>
              <w:t>DSI-033</w:t>
            </w:r>
          </w:p>
        </w:tc>
        <w:tc>
          <w:tcPr>
            <w:tcW w:type="dxa" w:w="900"/>
            <w:tcMar>
              <w:top w:w="45" w:type="dxa"/>
              <w:bottom w:w="45" w:type="dxa"/>
              <w:start w:w="100" w:type="dxa"/>
              <w:end w:w="100" w:type="dxa"/>
            </w:tcMar>
          </w:tcPr>
          <w:p>
            <w:pPr>
              <w:keepLines/>
              <w:spacing w:after="0" w:line="252" w:lineRule="auto"/>
            </w:pPr>
            <w:r>
              <w:rPr>
                <w:rFonts w:ascii="Calibri" w:hAnsi="Calibri" w:eastAsia="Microsoft YaHei"/>
                <w:color w:val="0B2545"/>
                <w:sz w:val="14"/>
              </w:rPr>
              <w:t>DG11</w:t>
            </w:r>
          </w:p>
        </w:tc>
        <w:tc>
          <w:tcPr>
            <w:tcW w:type="dxa" w:w="3760"/>
            <w:tcMar>
              <w:top w:w="45" w:type="dxa"/>
              <w:bottom w:w="45" w:type="dxa"/>
              <w:start w:w="100" w:type="dxa"/>
              <w:end w:w="100" w:type="dxa"/>
            </w:tcMar>
          </w:tcPr>
          <w:p>
            <w:pPr>
              <w:keepLines/>
              <w:spacing w:after="0" w:line="252" w:lineRule="auto"/>
            </w:pPr>
            <w:r>
              <w:rPr>
                <w:rFonts w:ascii="Calibri" w:hAnsi="Calibri" w:eastAsia="Microsoft YaHei"/>
                <w:color w:val="0B2545"/>
                <w:sz w:val="14"/>
              </w:rPr>
              <w:t>DisruptionPy 多装置破裂特征提取与基准数据流水线</w:t>
            </w:r>
          </w:p>
        </w:tc>
        <w:tc>
          <w:tcPr>
            <w:tcW w:type="dxa" w:w="800"/>
            <w:tcMar>
              <w:top w:w="45" w:type="dxa"/>
              <w:bottom w:w="45" w:type="dxa"/>
              <w:start w:w="100" w:type="dxa"/>
              <w:end w:w="100" w:type="dxa"/>
            </w:tcMar>
          </w:tcPr>
          <w:p>
            <w:pPr>
              <w:keepLines/>
              <w:spacing w:after="0" w:line="252" w:lineRule="auto"/>
            </w:pPr>
            <w:r>
              <w:rPr>
                <w:rFonts w:ascii="Calibri" w:hAnsi="Calibri" w:eastAsia="Microsoft YaHei"/>
                <w:color w:val="0B2545"/>
                <w:sz w:val="14"/>
              </w:rPr>
              <w:t>E3</w:t>
            </w:r>
          </w:p>
        </w:tc>
        <w:tc>
          <w:tcPr>
            <w:tcW w:type="dxa" w:w="2900"/>
            <w:tcMar>
              <w:top w:w="45" w:type="dxa"/>
              <w:bottom w:w="45" w:type="dxa"/>
              <w:start w:w="100" w:type="dxa"/>
              <w:end w:w="100" w:type="dxa"/>
            </w:tcMar>
          </w:tcPr>
          <w:p>
            <w:pPr>
              <w:keepLines/>
              <w:spacing w:after="0" w:line="252" w:lineRule="auto"/>
            </w:pPr>
            <w:r>
              <w:rPr>
                <w:rFonts w:ascii="Calibri" w:hAnsi="Calibri" w:eastAsia="Microsoft YaHei"/>
                <w:color w:val="0B2545"/>
                <w:sz w:val="14"/>
              </w:rPr>
              <w:t>Alcator C-Mod；DIII-D；EAST；HBT-EP；MAST</w:t>
            </w:r>
          </w:p>
        </w:tc>
      </w:tr>
    </w:tbl>
    <w:p>
      <w:pPr>
        <w:keepNext/>
        <w:pageBreakBefore/>
        <w:spacing w:before="0" w:after="100"/>
      </w:pPr>
      <w:r>
        <w:rPr>
          <w:rFonts w:ascii="Calibri" w:hAnsi="Calibri" w:eastAsia="Microsoft YaHei"/>
          <w:b/>
          <w:caps/>
          <w:color w:val="008C95"/>
          <w:sz w:val="17"/>
        </w:rPr>
        <w:t>07 / DG2 / ELECTRON DENSITY &amp; TEMPERATURE</w:t>
      </w:r>
    </w:p>
    <w:p>
      <w:pPr>
        <w:pStyle w:val="Heading1"/>
      </w:pPr>
      <w:r>
        <w:t>电子密度与电子温度</w:t>
      </w:r>
    </w:p>
    <w:tbl>
      <w:tblPr>
        <w:tblStyle w:val="TableGrid"/>
        <w:tblW w:type="dxa" w:w="9360"/>
        <w:jc w:val="left"/>
        <w:tblLayout w:type="fixed"/>
        <w:tblLook w:firstColumn="1" w:firstRow="1" w:lastColumn="0" w:lastRow="0" w:noHBand="0" w:noVBand="1" w:val="04A0"/>
        <w:tblInd w:w="120" w:type="dxa"/>
      </w:tblPr>
      <w:tblGrid>
        <w:gridCol w:w="9360"/>
      </w:tblGrid>
      <w:tr>
        <w:trPr>
          <w:cantSplit/>
        </w:trPr>
        <w:tc>
          <w:tcPr>
            <w:tcW w:type="dxa" w:w="9360"/>
            <w:tcMar>
              <w:top w:w="80" w:type="dxa"/>
              <w:bottom w:w="80" w:type="dxa"/>
              <w:start w:w="120" w:type="dxa"/>
              <w:end w:w="120" w:type="dxa"/>
            </w:tcMar>
            <w:vAlign w:val="center"/>
            <w:shd w:fill="F2F4F7"/>
          </w:tcPr>
          <w:p>
            <w:pPr>
              <w:keepNext/>
              <w:keepLines/>
              <w:spacing w:after="40"/>
            </w:pPr>
            <w:r>
              <w:rPr>
                <w:rFonts w:ascii="Calibri" w:hAnsi="Calibri" w:eastAsia="Microsoft YaHei"/>
                <w:b/>
                <w:color w:val="008C95"/>
                <w:sz w:val="17"/>
              </w:rPr>
              <w:t>CHAPTER SCOPE</w:t>
            </w:r>
          </w:p>
          <w:p>
            <w:pPr>
              <w:spacing w:after="0"/>
            </w:pPr>
            <w:r>
              <w:rPr>
                <w:rFonts w:ascii="Calibri" w:hAnsi="Calibri" w:eastAsia="Microsoft YaHei"/>
                <w:color w:val="0B2545"/>
                <w:sz w:val="20"/>
              </w:rPr>
              <w:t>本章全文展开 5 项主工作，并列出 23 项跨域关联工作。关联工作只在其主任务章节全文展开，避免重复计数。</w:t>
            </w:r>
          </w:p>
        </w:tc>
      </w:tr>
    </w:tbl>
    <w:p>
      <w:pPr>
        <w:spacing w:after="40"/>
      </w:pPr>
    </w:p>
    <w:p>
      <w:pPr>
        <w:pStyle w:val="Heading3"/>
        <w:keepNext/>
      </w:pPr>
      <w:r>
        <w:t>DG2.01  多点汤姆逊散射：核心与边缘电子剖面</w:t>
      </w:r>
    </w:p>
    <w:p>
      <w:pPr>
        <w:keepNext/>
        <w:spacing w:after="80"/>
      </w:pPr>
      <w:r>
        <w:rPr>
          <w:rFonts w:ascii="Calibri" w:hAnsi="Calibri" w:eastAsia="Microsoft YaHei"/>
          <w:i/>
          <w:color w:val="566573"/>
          <w:sz w:val="18"/>
        </w:rPr>
        <w:t>Multipoint Thomson scattering for core and edge electron profiles</w:t>
      </w:r>
    </w:p>
    <w:tbl>
      <w:tblPr>
        <w:tblStyle w:val="TableGrid"/>
        <w:tblW w:type="dxa" w:w="9360"/>
        <w:jc w:val="left"/>
        <w:tblLayout w:type="fixed"/>
        <w:tblLook w:firstColumn="1" w:firstRow="1" w:lastColumn="0" w:lastRow="0" w:noHBand="0" w:noVBand="1" w:val="04A0"/>
        <w:tblInd w:w="120" w:type="dxa"/>
      </w:tblPr>
      <w:tblGrid>
        <w:gridCol w:w="1200"/>
        <w:gridCol w:w="750"/>
        <w:gridCol w:w="750"/>
        <w:gridCol w:w="2100"/>
        <w:gridCol w:w="4560"/>
      </w:tblGrid>
      <w:tr>
        <w:trPr>
          <w:tblHeader w:val="true"/>
        </w:trPr>
        <w:tc>
          <w:tcPr>
            <w:tcW w:type="dxa" w:w="12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工作 ID</w:t>
            </w:r>
          </w:p>
        </w:tc>
        <w:tc>
          <w:tcPr>
            <w:tcW w:type="dxa" w:w="7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证据</w:t>
            </w:r>
          </w:p>
        </w:tc>
        <w:tc>
          <w:tcPr>
            <w:tcW w:type="dxa" w:w="7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部署</w:t>
            </w:r>
          </w:p>
        </w:tc>
        <w:tc>
          <w:tcPr>
            <w:tcW w:type="dxa" w:w="21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技术族</w:t>
            </w:r>
          </w:p>
        </w:tc>
        <w:tc>
          <w:tcPr>
            <w:tcW w:type="dxa" w:w="456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装置</w:t>
            </w:r>
          </w:p>
        </w:tc>
      </w:tr>
      <w:tr>
        <w:trPr>
          <w:cantSplit/>
        </w:trPr>
        <w:tc>
          <w:tcPr>
            <w:tcW w:type="dxa" w:w="1200"/>
          </w:tcPr>
          <w:p>
            <w:pPr>
              <w:keepLines/>
              <w:spacing w:after="0" w:line="276" w:lineRule="auto"/>
            </w:pPr>
            <w:r>
              <w:rPr>
                <w:rFonts w:ascii="Calibri" w:hAnsi="Calibri" w:eastAsia="Microsoft YaHei"/>
                <w:color w:val="0B2545"/>
                <w:sz w:val="15"/>
              </w:rPr>
              <w:t>DG2-006</w:t>
            </w:r>
          </w:p>
        </w:tc>
        <w:tc>
          <w:tcPr>
            <w:tcW w:type="dxa" w:w="750"/>
          </w:tcPr>
          <w:p>
            <w:pPr>
              <w:keepLines/>
              <w:spacing w:after="0" w:line="276" w:lineRule="auto"/>
            </w:pPr>
            <w:r>
              <w:rPr>
                <w:rFonts w:ascii="Calibri" w:hAnsi="Calibri" w:eastAsia="Microsoft YaHei"/>
                <w:color w:val="0B2545"/>
                <w:sz w:val="15"/>
              </w:rPr>
              <w:t>E3</w:t>
            </w:r>
          </w:p>
        </w:tc>
        <w:tc>
          <w:tcPr>
            <w:tcW w:type="dxa" w:w="750"/>
          </w:tcPr>
          <w:p>
            <w:pPr>
              <w:keepLines/>
              <w:spacing w:after="0" w:line="276" w:lineRule="auto"/>
            </w:pPr>
            <w:r>
              <w:rPr>
                <w:rFonts w:ascii="Calibri" w:hAnsi="Calibri" w:eastAsia="Microsoft YaHei"/>
                <w:color w:val="0B2545"/>
                <w:sz w:val="15"/>
              </w:rPr>
              <w:t>D3</w:t>
            </w:r>
          </w:p>
        </w:tc>
        <w:tc>
          <w:tcPr>
            <w:tcW w:type="dxa" w:w="2100"/>
          </w:tcPr>
          <w:p>
            <w:pPr>
              <w:keepLines/>
              <w:spacing w:after="0" w:line="276" w:lineRule="auto"/>
            </w:pPr>
            <w:r>
              <w:rPr>
                <w:rFonts w:ascii="Calibri" w:hAnsi="Calibri" w:eastAsia="Microsoft YaHei"/>
                <w:color w:val="0B2545"/>
                <w:sz w:val="15"/>
              </w:rPr>
              <w:t>LASER</w:t>
            </w:r>
          </w:p>
        </w:tc>
        <w:tc>
          <w:tcPr>
            <w:tcW w:type="dxa" w:w="4560"/>
          </w:tcPr>
          <w:p>
            <w:pPr>
              <w:keepLines/>
              <w:spacing w:after="0" w:line="276" w:lineRule="auto"/>
            </w:pPr>
            <w:r>
              <w:rPr>
                <w:rFonts w:ascii="Calibri" w:hAnsi="Calibri" w:eastAsia="Microsoft YaHei"/>
                <w:color w:val="0B2545"/>
                <w:sz w:val="15"/>
              </w:rPr>
              <w:t>DIII-D；EAST；Globus-M2；ITER</w:t>
            </w:r>
          </w:p>
        </w:tc>
      </w:tr>
    </w:tbl>
    <w:p>
      <w:pPr>
        <w:spacing w:before="0" w:after="60"/>
      </w:pPr>
    </w:p>
    <w:p>
      <w:pPr>
        <w:widowControl/>
      </w:pPr>
      <w:r>
        <w:rPr>
          <w:rFonts w:ascii="Calibri" w:hAnsi="Calibri" w:eastAsia="Microsoft YaHei"/>
          <w:b/>
          <w:color w:val="1F4D78"/>
        </w:rPr>
        <w:t>解决问题：</w:t>
      </w:r>
      <w:r>
        <w:rPr>
          <w:rFonts w:ascii="Calibri" w:hAnsi="Calibri" w:eastAsia="Microsoft YaHei"/>
        </w:rPr>
        <w:t>单激光脉冲获得局部电子温度/密度剖面，作为输运和跨诊断标尺。</w:t>
      </w:r>
    </w:p>
    <w:p>
      <w:pPr>
        <w:widowControl/>
      </w:pPr>
      <w:r>
        <w:rPr>
          <w:rFonts w:ascii="Calibri" w:hAnsi="Calibri" w:eastAsia="Microsoft YaHei"/>
          <w:b/>
          <w:color w:val="1F4D78"/>
        </w:rPr>
        <w:t>测量原理：</w:t>
      </w:r>
      <w:r>
        <w:rPr>
          <w:rFonts w:ascii="Calibri" w:hAnsi="Calibri" w:eastAsia="Microsoft YaHei"/>
        </w:rPr>
        <w:t>自由电子散射谱的形状/展宽决定Te，绝对光子数结合几何与激光能量给ne。</w:t>
      </w:r>
    </w:p>
    <w:p>
      <w:pPr>
        <w:widowControl/>
      </w:pPr>
      <w:r>
        <w:rPr>
          <w:rFonts w:ascii="Calibri" w:hAnsi="Calibri" w:eastAsia="Microsoft YaHei"/>
          <w:b/>
          <w:color w:val="1F4D78"/>
        </w:rPr>
        <w:t>测量产品：</w:t>
      </w:r>
      <w:r>
        <w:rPr>
          <w:rFonts w:ascii="Calibri" w:hAnsi="Calibri" w:eastAsia="Microsoft YaHei"/>
        </w:rPr>
        <w:t>electron temperature；electron density；profile gradient</w:t>
      </w:r>
    </w:p>
    <w:p>
      <w:pPr>
        <w:widowControl/>
      </w:pPr>
      <w:r>
        <w:rPr>
          <w:rFonts w:ascii="Calibri" w:hAnsi="Calibri" w:eastAsia="Microsoft YaHei"/>
          <w:b/>
          <w:color w:val="1F4D78"/>
        </w:rPr>
        <w:t>时空分辨与覆盖：</w:t>
      </w:r>
      <w:r>
        <w:rPr>
          <w:rFonts w:ascii="Calibri" w:hAnsi="Calibri" w:eastAsia="Microsoft YaHei"/>
        </w:rPr>
        <w:t>时间：因装置、采集和分析链而异；原始来源未给出统一数值。；空间：由视线、几何和反演设定；原始来源未给出统一数值。</w:t>
      </w:r>
    </w:p>
    <w:p>
      <w:pPr>
        <w:widowControl/>
      </w:pPr>
      <w:r>
        <w:rPr>
          <w:rFonts w:ascii="Calibri" w:hAnsi="Calibri" w:eastAsia="Microsoft YaHei"/>
          <w:b/>
          <w:color w:val="1F4D78"/>
        </w:rPr>
        <w:t>仪器与传感器：</w:t>
      </w:r>
      <w:r>
        <w:rPr>
          <w:rFonts w:ascii="Calibri" w:hAnsi="Calibri" w:eastAsia="Microsoft YaHei"/>
        </w:rPr>
        <w:t>pulsed Nd:YAG laser；collection optics；polychromators；APD/CCD；laser-energy monitor</w:t>
      </w:r>
    </w:p>
    <w:p>
      <w:pPr>
        <w:widowControl/>
      </w:pPr>
      <w:r>
        <w:rPr>
          <w:rFonts w:ascii="Calibri" w:hAnsi="Calibri" w:eastAsia="Microsoft YaHei"/>
          <w:b/>
          <w:color w:val="1F4D78"/>
        </w:rPr>
        <w:t>标定与质量：</w:t>
      </w:r>
      <w:r>
        <w:rPr>
          <w:rFonts w:ascii="Calibri" w:hAnsi="Calibri" w:eastAsia="Microsoft YaHei"/>
        </w:rPr>
        <w:t>拉曼/瑞利散射或标定灯求响应；逐通道测光谱响应、几何和激光能量，密度与干涉仪交叉。</w:t>
      </w:r>
    </w:p>
    <w:p>
      <w:pPr>
        <w:widowControl/>
      </w:pPr>
      <w:r>
        <w:rPr>
          <w:rFonts w:ascii="Calibri" w:hAnsi="Calibri" w:eastAsia="Microsoft YaHei"/>
          <w:b/>
          <w:color w:val="1F4D78"/>
        </w:rPr>
        <w:t>反演与分析：</w:t>
      </w:r>
      <w:r>
        <w:rPr>
          <w:rFonts w:ascii="Calibri" w:hAnsi="Calibri" w:eastAsia="Microsoft YaHei"/>
        </w:rPr>
        <w:t>背景扣除后拟合相对论散射谱；映射到磁坐标并传播统计、标定和几何不确定度。</w:t>
      </w:r>
    </w:p>
    <w:p>
      <w:pPr>
        <w:widowControl/>
      </w:pPr>
      <w:r>
        <w:rPr>
          <w:rFonts w:ascii="Calibri" w:hAnsi="Calibri" w:eastAsia="Microsoft YaHei"/>
          <w:b/>
          <w:color w:val="1F4D78"/>
        </w:rPr>
        <w:t>验证与应用：</w:t>
      </w:r>
      <w:r>
        <w:rPr>
          <w:rFonts w:ascii="Calibri" w:hAnsi="Calibri" w:eastAsia="Microsoft YaHei"/>
        </w:rPr>
        <w:t>Globus-M2 论文报告已安装系统的装置测量与性能，ITER 来源覆盖核心 TS 的设计推进；本记录未证明跨装置例行在线服务。</w:t>
      </w:r>
    </w:p>
    <w:p>
      <w:pPr>
        <w:widowControl/>
      </w:pPr>
      <w:r>
        <w:rPr>
          <w:rFonts w:ascii="Calibri" w:hAnsi="Calibri" w:eastAsia="Microsoft YaHei"/>
          <w:b/>
          <w:color w:val="1F4D78"/>
        </w:rPr>
        <w:t>局限与边界：</w:t>
      </w:r>
      <w:r>
        <w:rPr>
          <w:rFonts w:ascii="Calibri" w:hAnsi="Calibri" w:eastAsia="Microsoft YaHei"/>
        </w:rPr>
        <w:t>采样受激光频率限制；低密度统计、杂散光和视线/激光偏移影响精度。</w:t>
      </w:r>
    </w:p>
    <w:tbl>
      <w:tblPr>
        <w:tblStyle w:val="TableGrid"/>
        <w:tblW w:type="dxa" w:w="9360"/>
        <w:jc w:val="left"/>
        <w:tblLayout w:type="fixed"/>
        <w:tblLook w:firstColumn="1" w:firstRow="1" w:lastColumn="0" w:lastRow="0" w:noHBand="0" w:noVBand="1" w:val="04A0"/>
        <w:tblInd w:w="120" w:type="dxa"/>
      </w:tblPr>
      <w:tblGrid>
        <w:gridCol w:w="9360"/>
      </w:tblGrid>
      <w:tr>
        <w:trPr>
          <w:cantSplit/>
        </w:trPr>
        <w:tc>
          <w:tcPr>
            <w:tcW w:type="dxa" w:w="9360"/>
            <w:tcMar>
              <w:top w:w="80" w:type="dxa"/>
              <w:bottom w:w="80" w:type="dxa"/>
              <w:start w:w="120" w:type="dxa"/>
              <w:end w:w="120" w:type="dxa"/>
            </w:tcMar>
            <w:vAlign w:val="center"/>
            <w:shd w:fill="EEF7F7"/>
          </w:tcPr>
          <w:p>
            <w:pPr>
              <w:keepNext/>
              <w:keepLines/>
              <w:spacing w:after="40"/>
            </w:pPr>
            <w:r>
              <w:rPr>
                <w:rFonts w:ascii="Calibri" w:hAnsi="Calibri" w:eastAsia="Microsoft YaHei"/>
                <w:b/>
                <w:color w:val="008C95"/>
                <w:sz w:val="17"/>
              </w:rPr>
              <w:t>DIGITAL-TWIN RELEVANCE</w:t>
            </w:r>
          </w:p>
          <w:p>
            <w:pPr>
              <w:spacing w:after="0"/>
            </w:pPr>
            <w:r>
              <w:rPr>
                <w:rFonts w:ascii="Calibri" w:hAnsi="Calibri" w:eastAsia="Microsoft YaHei"/>
                <w:color w:val="0B2545"/>
                <w:sz w:val="20"/>
              </w:rPr>
              <w:t>提供Te/ne锚点；原始谱和标定脉冲必须与反演剖面共同保存。</w:t>
            </w:r>
          </w:p>
        </w:tc>
      </w:tr>
    </w:tbl>
    <w:p>
      <w:pPr>
        <w:spacing w:after="40"/>
      </w:pPr>
    </w:p>
    <w:tbl>
      <w:tblPr>
        <w:tblStyle w:val="TableGrid"/>
        <w:tblW w:type="dxa" w:w="9360"/>
        <w:jc w:val="left"/>
        <w:tblLayout w:type="fixed"/>
        <w:tblLook w:firstColumn="1" w:firstRow="1" w:lastColumn="0" w:lastRow="0" w:noHBand="0" w:noVBand="1" w:val="04A0"/>
        <w:tblInd w:w="120" w:type="dxa"/>
      </w:tblPr>
      <w:tblGrid>
        <w:gridCol w:w="850"/>
        <w:gridCol w:w="2500"/>
        <w:gridCol w:w="1600"/>
        <w:gridCol w:w="2300"/>
        <w:gridCol w:w="2110"/>
      </w:tblGrid>
      <w:tr>
        <w:trPr>
          <w:tblHeader w:val="true"/>
        </w:trPr>
        <w:tc>
          <w:tcPr>
            <w:tcW w:type="dxa" w:w="8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年份/类型</w:t>
            </w:r>
          </w:p>
        </w:tc>
        <w:tc>
          <w:tcPr>
            <w:tcW w:type="dxa" w:w="25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论文或软件</w:t>
            </w:r>
          </w:p>
        </w:tc>
        <w:tc>
          <w:tcPr>
            <w:tcW w:type="dxa" w:w="16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期刊/开放性</w:t>
            </w:r>
          </w:p>
        </w:tc>
        <w:tc>
          <w:tcPr>
            <w:tcW w:type="dxa" w:w="23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来源类型/关系</w:t>
            </w:r>
          </w:p>
        </w:tc>
        <w:tc>
          <w:tcPr>
            <w:tcW w:type="dxa" w:w="211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链接</w:t>
            </w:r>
          </w:p>
        </w:tc>
      </w:tr>
      <w:tr>
        <w:trPr>
          <w:cantSplit/>
        </w:trPr>
        <w:tc>
          <w:tcPr>
            <w:tcW w:type="dxa" w:w="850"/>
          </w:tcPr>
          <w:p>
            <w:pPr>
              <w:keepLines/>
              <w:spacing w:after="0" w:line="276" w:lineRule="auto"/>
            </w:pPr>
            <w:r>
              <w:rPr>
                <w:rFonts w:ascii="Calibri" w:hAnsi="Calibri" w:eastAsia="Microsoft YaHei"/>
                <w:color w:val="0B2545"/>
                <w:sz w:val="14"/>
              </w:rPr>
              <w:t>2025</w:t>
            </w:r>
          </w:p>
        </w:tc>
        <w:tc>
          <w:tcPr>
            <w:tcW w:type="dxa" w:w="2500"/>
          </w:tcPr>
          <w:p>
            <w:pPr>
              <w:keepLines/>
              <w:spacing w:after="0" w:line="276" w:lineRule="auto"/>
            </w:pPr>
            <w:r>
              <w:rPr>
                <w:rFonts w:ascii="Calibri" w:hAnsi="Calibri" w:eastAsia="Microsoft YaHei"/>
                <w:color w:val="0B2545"/>
                <w:sz w:val="14"/>
              </w:rPr>
              <w:t>Thomson scattering diagnostics at the Globus-M2 tokamak</w:t>
            </w:r>
          </w:p>
        </w:tc>
        <w:tc>
          <w:tcPr>
            <w:tcW w:type="dxa" w:w="1600"/>
          </w:tcPr>
          <w:p>
            <w:pPr>
              <w:keepLines/>
              <w:spacing w:after="0" w:line="276" w:lineRule="auto"/>
            </w:pPr>
            <w:r>
              <w:rPr>
                <w:rFonts w:ascii="Calibri" w:hAnsi="Calibri" w:eastAsia="Microsoft YaHei"/>
                <w:color w:val="0B2545"/>
                <w:sz w:val="14"/>
              </w:rPr>
              <w:t>Fusion Engineering and Design</w:t>
            </w:r>
          </w:p>
        </w:tc>
        <w:tc>
          <w:tcPr>
            <w:tcW w:type="dxa" w:w="2300"/>
          </w:tcPr>
          <w:p>
            <w:pPr>
              <w:keepLines/>
              <w:spacing w:after="0" w:line="276" w:lineRule="auto"/>
            </w:pPr>
            <w:r>
              <w:rPr>
                <w:rFonts w:ascii="Calibri" w:hAnsi="Calibri" w:eastAsia="Microsoft YaHei"/>
                <w:color w:val="0B2545"/>
                <w:sz w:val="14"/>
              </w:rPr>
              <w:t>peer-reviewed-journal</w:t>
            </w:r>
          </w:p>
        </w:tc>
        <w:tc>
          <w:tcPr>
            <w:tcW w:type="dxa" w:w="2110"/>
          </w:tcPr>
          <w:p>
            <w:pPr>
              <w:keepLines/>
              <w:spacing w:after="0" w:line="276" w:lineRule="auto"/>
            </w:pPr>
            <w:hyperlink r:id="rId49">
              <w:r>
                <w:rPr>
                  <w:rFonts w:ascii="Calibri" w:hAnsi="Calibri" w:eastAsia="Microsoft YaHei"/>
                  <w:color w:val="008C95"/>
                  <w:u w:val="single"/>
                </w:rPr>
                <w:t>打开原始来源 ↗</w:t>
              </w:r>
            </w:hyperlink>
          </w:p>
        </w:tc>
      </w:tr>
      <w:tr>
        <w:trPr>
          <w:cantSplit/>
        </w:trPr>
        <w:tc>
          <w:tcPr>
            <w:tcW w:type="dxa" w:w="850"/>
          </w:tcPr>
          <w:p>
            <w:pPr>
              <w:keepLines/>
              <w:spacing w:after="0" w:line="276" w:lineRule="auto"/>
            </w:pPr>
            <w:r>
              <w:rPr>
                <w:rFonts w:ascii="Calibri" w:hAnsi="Calibri" w:eastAsia="Microsoft YaHei"/>
                <w:color w:val="0B2545"/>
                <w:sz w:val="14"/>
              </w:rPr>
              <w:t>2017</w:t>
            </w:r>
          </w:p>
        </w:tc>
        <w:tc>
          <w:tcPr>
            <w:tcW w:type="dxa" w:w="2500"/>
          </w:tcPr>
          <w:p>
            <w:pPr>
              <w:keepLines/>
              <w:spacing w:after="0" w:line="276" w:lineRule="auto"/>
            </w:pPr>
            <w:r>
              <w:rPr>
                <w:rFonts w:ascii="Calibri" w:hAnsi="Calibri" w:eastAsia="Microsoft YaHei"/>
                <w:color w:val="0B2545"/>
                <w:sz w:val="14"/>
              </w:rPr>
              <w:t>Design advances of the Core Plasma Thomson Scattering diagnostic for ITER</w:t>
            </w:r>
          </w:p>
        </w:tc>
        <w:tc>
          <w:tcPr>
            <w:tcW w:type="dxa" w:w="1600"/>
          </w:tcPr>
          <w:p>
            <w:pPr>
              <w:keepLines/>
              <w:spacing w:after="0" w:line="276" w:lineRule="auto"/>
            </w:pPr>
            <w:r>
              <w:rPr>
                <w:rFonts w:ascii="Calibri" w:hAnsi="Calibri" w:eastAsia="Microsoft YaHei"/>
                <w:color w:val="0B2545"/>
                <w:sz w:val="14"/>
              </w:rPr>
              <w:t>Journal of Instrumentation</w:t>
            </w:r>
          </w:p>
        </w:tc>
        <w:tc>
          <w:tcPr>
            <w:tcW w:type="dxa" w:w="2300"/>
          </w:tcPr>
          <w:p>
            <w:pPr>
              <w:keepLines/>
              <w:spacing w:after="0" w:line="276" w:lineRule="auto"/>
            </w:pPr>
            <w:r>
              <w:rPr>
                <w:rFonts w:ascii="Calibri" w:hAnsi="Calibri" w:eastAsia="Microsoft YaHei"/>
                <w:color w:val="0B2545"/>
                <w:sz w:val="14"/>
              </w:rPr>
              <w:t>peer-reviewed-journal</w:t>
            </w:r>
          </w:p>
        </w:tc>
        <w:tc>
          <w:tcPr>
            <w:tcW w:type="dxa" w:w="2110"/>
          </w:tcPr>
          <w:p>
            <w:pPr>
              <w:keepLines/>
              <w:spacing w:after="0" w:line="276" w:lineRule="auto"/>
            </w:pPr>
            <w:hyperlink r:id="rId50">
              <w:r>
                <w:rPr>
                  <w:rFonts w:ascii="Calibri" w:hAnsi="Calibri" w:eastAsia="Microsoft YaHei"/>
                  <w:color w:val="008C95"/>
                  <w:u w:val="single"/>
                </w:rPr>
                <w:t>打开原始来源 ↗</w:t>
              </w:r>
            </w:hyperlink>
          </w:p>
        </w:tc>
      </w:tr>
      <w:tr>
        <w:trPr>
          <w:cantSplit/>
        </w:trPr>
        <w:tc>
          <w:tcPr>
            <w:tcW w:type="dxa" w:w="850"/>
          </w:tcPr>
          <w:p>
            <w:pPr>
              <w:keepLines/>
              <w:spacing w:after="0" w:line="276" w:lineRule="auto"/>
            </w:pPr>
            <w:r>
              <w:rPr>
                <w:rFonts w:ascii="Calibri" w:hAnsi="Calibri" w:eastAsia="Microsoft YaHei"/>
                <w:color w:val="0B2545"/>
                <w:sz w:val="14"/>
              </w:rPr>
              <w:t>软件</w:t>
            </w:r>
          </w:p>
        </w:tc>
        <w:tc>
          <w:tcPr>
            <w:tcW w:type="dxa" w:w="2500"/>
          </w:tcPr>
          <w:p>
            <w:pPr>
              <w:keepLines/>
              <w:spacing w:after="0" w:line="276" w:lineRule="auto"/>
            </w:pPr>
            <w:r>
              <w:rPr>
                <w:rFonts w:ascii="Calibri" w:hAnsi="Calibri" w:eastAsia="Microsoft YaHei"/>
                <w:color w:val="0B2545"/>
                <w:sz w:val="14"/>
              </w:rPr>
              <w:t>装置专有分析/标定软件</w:t>
            </w:r>
          </w:p>
        </w:tc>
        <w:tc>
          <w:tcPr>
            <w:tcW w:type="dxa" w:w="1600"/>
          </w:tcPr>
          <w:p>
            <w:pPr>
              <w:keepLines/>
              <w:spacing w:after="0" w:line="276" w:lineRule="auto"/>
            </w:pPr>
            <w:r>
              <w:rPr>
                <w:rFonts w:ascii="Calibri" w:hAnsi="Calibri" w:eastAsia="Microsoft YaHei"/>
                <w:color w:val="0B2545"/>
                <w:sz w:val="14"/>
              </w:rPr>
              <w:t>not-public</w:t>
            </w:r>
          </w:p>
        </w:tc>
        <w:tc>
          <w:tcPr>
            <w:tcW w:type="dxa" w:w="2300"/>
          </w:tcPr>
          <w:p>
            <w:pPr>
              <w:keepLines/>
              <w:spacing w:after="0" w:line="276" w:lineRule="auto"/>
            </w:pPr>
            <w:r>
              <w:rPr>
                <w:rFonts w:ascii="Calibri" w:hAnsi="Calibri" w:eastAsia="Microsoft YaHei"/>
                <w:color w:val="0B2545"/>
                <w:sz w:val="14"/>
              </w:rPr>
              <w:t>装置TS拟合、自动质量控制和实时发布代码未公开。</w:t>
            </w:r>
          </w:p>
        </w:tc>
        <w:tc>
          <w:tcPr>
            <w:tcW w:type="dxa" w:w="2110"/>
          </w:tcPr>
          <w:p>
            <w:pPr>
              <w:keepLines/>
              <w:spacing w:after="0" w:line="276" w:lineRule="auto"/>
            </w:pPr>
            <w:r>
              <w:rPr>
                <w:rFonts w:ascii="Calibri" w:hAnsi="Calibri" w:eastAsia="Microsoft YaHei"/>
                <w:color w:val="0B2545"/>
                <w:sz w:val="14"/>
              </w:rPr>
              <w:t>未公开</w:t>
            </w:r>
          </w:p>
        </w:tc>
      </w:tr>
    </w:tbl>
    <w:p>
      <w:pPr>
        <w:spacing w:before="0" w:after="60"/>
      </w:pPr>
    </w:p>
    <w:p>
      <w:pPr>
        <w:pStyle w:val="Heading3"/>
        <w:keepNext/>
      </w:pPr>
      <w:r>
        <w:t>DG2.02  LIDAR汤姆逊散射：JET长光程电子剖面</w:t>
      </w:r>
    </w:p>
    <w:p>
      <w:pPr>
        <w:keepNext/>
        <w:spacing w:after="80"/>
      </w:pPr>
      <w:r>
        <w:rPr>
          <w:rFonts w:ascii="Calibri" w:hAnsi="Calibri" w:eastAsia="Microsoft YaHei"/>
          <w:i/>
          <w:color w:val="566573"/>
          <w:sz w:val="18"/>
        </w:rPr>
        <w:t>LIDAR Thomson scattering on JET</w:t>
      </w:r>
    </w:p>
    <w:tbl>
      <w:tblPr>
        <w:tblStyle w:val="TableGrid"/>
        <w:tblW w:type="dxa" w:w="9360"/>
        <w:jc w:val="left"/>
        <w:tblLayout w:type="fixed"/>
        <w:tblLook w:firstColumn="1" w:firstRow="1" w:lastColumn="0" w:lastRow="0" w:noHBand="0" w:noVBand="1" w:val="04A0"/>
        <w:tblInd w:w="120" w:type="dxa"/>
      </w:tblPr>
      <w:tblGrid>
        <w:gridCol w:w="1200"/>
        <w:gridCol w:w="750"/>
        <w:gridCol w:w="750"/>
        <w:gridCol w:w="2100"/>
        <w:gridCol w:w="4560"/>
      </w:tblGrid>
      <w:tr>
        <w:trPr>
          <w:tblHeader w:val="true"/>
        </w:trPr>
        <w:tc>
          <w:tcPr>
            <w:tcW w:type="dxa" w:w="12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工作 ID</w:t>
            </w:r>
          </w:p>
        </w:tc>
        <w:tc>
          <w:tcPr>
            <w:tcW w:type="dxa" w:w="7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证据</w:t>
            </w:r>
          </w:p>
        </w:tc>
        <w:tc>
          <w:tcPr>
            <w:tcW w:type="dxa" w:w="7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部署</w:t>
            </w:r>
          </w:p>
        </w:tc>
        <w:tc>
          <w:tcPr>
            <w:tcW w:type="dxa" w:w="21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技术族</w:t>
            </w:r>
          </w:p>
        </w:tc>
        <w:tc>
          <w:tcPr>
            <w:tcW w:type="dxa" w:w="456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装置</w:t>
            </w:r>
          </w:p>
        </w:tc>
      </w:tr>
      <w:tr>
        <w:trPr>
          <w:cantSplit/>
        </w:trPr>
        <w:tc>
          <w:tcPr>
            <w:tcW w:type="dxa" w:w="1200"/>
          </w:tcPr>
          <w:p>
            <w:pPr>
              <w:keepLines/>
              <w:spacing w:after="0" w:line="276" w:lineRule="auto"/>
            </w:pPr>
            <w:r>
              <w:rPr>
                <w:rFonts w:ascii="Calibri" w:hAnsi="Calibri" w:eastAsia="Microsoft YaHei"/>
                <w:color w:val="0B2545"/>
                <w:sz w:val="15"/>
              </w:rPr>
              <w:t>DG2-007</w:t>
            </w:r>
          </w:p>
        </w:tc>
        <w:tc>
          <w:tcPr>
            <w:tcW w:type="dxa" w:w="750"/>
          </w:tcPr>
          <w:p>
            <w:pPr>
              <w:keepLines/>
              <w:spacing w:after="0" w:line="276" w:lineRule="auto"/>
            </w:pPr>
            <w:r>
              <w:rPr>
                <w:rFonts w:ascii="Calibri" w:hAnsi="Calibri" w:eastAsia="Microsoft YaHei"/>
                <w:color w:val="0B2545"/>
                <w:sz w:val="15"/>
              </w:rPr>
              <w:t>E4</w:t>
            </w:r>
          </w:p>
        </w:tc>
        <w:tc>
          <w:tcPr>
            <w:tcW w:type="dxa" w:w="750"/>
          </w:tcPr>
          <w:p>
            <w:pPr>
              <w:keepLines/>
              <w:spacing w:after="0" w:line="276" w:lineRule="auto"/>
            </w:pPr>
            <w:r>
              <w:rPr>
                <w:rFonts w:ascii="Calibri" w:hAnsi="Calibri" w:eastAsia="Microsoft YaHei"/>
                <w:color w:val="0B2545"/>
                <w:sz w:val="15"/>
              </w:rPr>
              <w:t>D4</w:t>
            </w:r>
          </w:p>
        </w:tc>
        <w:tc>
          <w:tcPr>
            <w:tcW w:type="dxa" w:w="2100"/>
          </w:tcPr>
          <w:p>
            <w:pPr>
              <w:keepLines/>
              <w:spacing w:after="0" w:line="276" w:lineRule="auto"/>
            </w:pPr>
            <w:r>
              <w:rPr>
                <w:rFonts w:ascii="Calibri" w:hAnsi="Calibri" w:eastAsia="Microsoft YaHei"/>
                <w:color w:val="0B2545"/>
                <w:sz w:val="15"/>
              </w:rPr>
              <w:t>LASER</w:t>
            </w:r>
          </w:p>
        </w:tc>
        <w:tc>
          <w:tcPr>
            <w:tcW w:type="dxa" w:w="4560"/>
          </w:tcPr>
          <w:p>
            <w:pPr>
              <w:keepLines/>
              <w:spacing w:after="0" w:line="276" w:lineRule="auto"/>
            </w:pPr>
            <w:r>
              <w:rPr>
                <w:rFonts w:ascii="Calibri" w:hAnsi="Calibri" w:eastAsia="Microsoft YaHei"/>
                <w:color w:val="0B2545"/>
                <w:sz w:val="15"/>
              </w:rPr>
              <w:t>JET</w:t>
            </w:r>
          </w:p>
        </w:tc>
      </w:tr>
    </w:tbl>
    <w:p>
      <w:pPr>
        <w:spacing w:before="0" w:after="60"/>
      </w:pPr>
    </w:p>
    <w:p>
      <w:pPr>
        <w:widowControl/>
      </w:pPr>
      <w:r>
        <w:rPr>
          <w:rFonts w:ascii="Calibri" w:hAnsi="Calibri" w:eastAsia="Microsoft YaHei"/>
          <w:b/>
          <w:color w:val="1F4D78"/>
        </w:rPr>
        <w:t>解决问题：</w:t>
      </w:r>
      <w:r>
        <w:rPr>
          <w:rFonts w:ascii="Calibri" w:hAnsi="Calibri" w:eastAsia="Microsoft YaHei"/>
        </w:rPr>
        <w:t>在大尺寸装置用飞行时间区分径向位置，减少分布式真空内接收光学。</w:t>
      </w:r>
    </w:p>
    <w:p>
      <w:pPr>
        <w:widowControl/>
      </w:pPr>
      <w:r>
        <w:rPr>
          <w:rFonts w:ascii="Calibri" w:hAnsi="Calibri" w:eastAsia="Microsoft YaHei"/>
          <w:b/>
          <w:color w:val="1F4D78"/>
        </w:rPr>
        <w:t>测量原理：</w:t>
      </w:r>
      <w:r>
        <w:rPr>
          <w:rFonts w:ascii="Calibri" w:hAnsi="Calibri" w:eastAsia="Microsoft YaHei"/>
        </w:rPr>
        <w:t>短激光脉冲的散射光返回时间编码位置，谱形/强度反演Te/ne。</w:t>
      </w:r>
    </w:p>
    <w:p>
      <w:pPr>
        <w:widowControl/>
      </w:pPr>
      <w:r>
        <w:rPr>
          <w:rFonts w:ascii="Calibri" w:hAnsi="Calibri" w:eastAsia="Microsoft YaHei"/>
          <w:b/>
          <w:color w:val="1F4D78"/>
        </w:rPr>
        <w:t>测量产品：</w:t>
      </w:r>
      <w:r>
        <w:rPr>
          <w:rFonts w:ascii="Calibri" w:hAnsi="Calibri" w:eastAsia="Microsoft YaHei"/>
        </w:rPr>
        <w:t>electron temperature；electron density；radial profile</w:t>
      </w:r>
    </w:p>
    <w:p>
      <w:pPr>
        <w:widowControl/>
      </w:pPr>
      <w:r>
        <w:rPr>
          <w:rFonts w:ascii="Calibri" w:hAnsi="Calibri" w:eastAsia="Microsoft YaHei"/>
          <w:b/>
          <w:color w:val="1F4D78"/>
        </w:rPr>
        <w:t>时空分辨与覆盖：</w:t>
      </w:r>
      <w:r>
        <w:rPr>
          <w:rFonts w:ascii="Calibri" w:hAnsi="Calibri" w:eastAsia="Microsoft YaHei"/>
        </w:rPr>
        <w:t>时间：因装置、采集和分析链而异；原始来源未给出统一数值。；空间：由视线、几何和反演设定；原始来源未给出统一数值。</w:t>
      </w:r>
    </w:p>
    <w:p>
      <w:pPr>
        <w:widowControl/>
      </w:pPr>
      <w:r>
        <w:rPr>
          <w:rFonts w:ascii="Calibri" w:hAnsi="Calibri" w:eastAsia="Microsoft YaHei"/>
          <w:b/>
          <w:color w:val="1F4D78"/>
        </w:rPr>
        <w:t>仪器与传感器：</w:t>
      </w:r>
      <w:r>
        <w:rPr>
          <w:rFonts w:ascii="Calibri" w:hAnsi="Calibri" w:eastAsia="Microsoft YaHei"/>
        </w:rPr>
        <w:t>short-pulse laser；large collection mirror；fast spectral channels；fast digitizers</w:t>
      </w:r>
    </w:p>
    <w:p>
      <w:pPr>
        <w:widowControl/>
      </w:pPr>
      <w:r>
        <w:rPr>
          <w:rFonts w:ascii="Calibri" w:hAnsi="Calibri" w:eastAsia="Microsoft YaHei"/>
          <w:b/>
          <w:color w:val="1F4D78"/>
        </w:rPr>
        <w:t>标定与质量：</w:t>
      </w:r>
      <w:r>
        <w:rPr>
          <w:rFonts w:ascii="Calibri" w:hAnsi="Calibri" w:eastAsia="Microsoft YaHei"/>
        </w:rPr>
        <w:t>以光学延迟、靶点和谱响应标定时间—空间映射；密度与独立线积分交叉。</w:t>
      </w:r>
    </w:p>
    <w:p>
      <w:pPr>
        <w:widowControl/>
      </w:pPr>
      <w:r>
        <w:rPr>
          <w:rFonts w:ascii="Calibri" w:hAnsi="Calibri" w:eastAsia="Microsoft YaHei"/>
          <w:b/>
          <w:color w:val="1F4D78"/>
        </w:rPr>
        <w:t>反演与分析：</w:t>
      </w:r>
      <w:r>
        <w:rPr>
          <w:rFonts w:ascii="Calibri" w:hAnsi="Calibri" w:eastAsia="Microsoft YaHei"/>
        </w:rPr>
        <w:t>分时间窗反卷积探测器/激光响应，再拟合相对论汤姆逊谱。</w:t>
      </w:r>
    </w:p>
    <w:p>
      <w:pPr>
        <w:widowControl/>
      </w:pPr>
      <w:r>
        <w:rPr>
          <w:rFonts w:ascii="Calibri" w:hAnsi="Calibri" w:eastAsia="Microsoft YaHei"/>
          <w:b/>
          <w:color w:val="1F4D78"/>
        </w:rPr>
        <w:t>验证与应用：</w:t>
      </w:r>
      <w:r>
        <w:rPr>
          <w:rFonts w:ascii="Calibri" w:hAnsi="Calibri" w:eastAsia="Microsoft YaHei"/>
        </w:rPr>
        <w:t>多年装置运行、硬件升级前后对比及与高分辨TS/ECE/干涉仪一致性评估。</w:t>
      </w:r>
    </w:p>
    <w:p>
      <w:pPr>
        <w:widowControl/>
      </w:pPr>
      <w:r>
        <w:rPr>
          <w:rFonts w:ascii="Calibri" w:hAnsi="Calibri" w:eastAsia="Microsoft YaHei"/>
          <w:b/>
          <w:color w:val="1F4D78"/>
        </w:rPr>
        <w:t>局限与边界：</w:t>
      </w:r>
      <w:r>
        <w:rPr>
          <w:rFonts w:ascii="Calibri" w:hAnsi="Calibri" w:eastAsia="Microsoft YaHei"/>
        </w:rPr>
        <w:t>空间分辨受脉宽和探测响应限制；接收光学大，边缘细结构较弱。</w:t>
      </w:r>
    </w:p>
    <w:tbl>
      <w:tblPr>
        <w:tblStyle w:val="TableGrid"/>
        <w:tblW w:type="dxa" w:w="9360"/>
        <w:jc w:val="left"/>
        <w:tblLayout w:type="fixed"/>
        <w:tblLook w:firstColumn="1" w:firstRow="1" w:lastColumn="0" w:lastRow="0" w:noHBand="0" w:noVBand="1" w:val="04A0"/>
        <w:tblInd w:w="120" w:type="dxa"/>
      </w:tblPr>
      <w:tblGrid>
        <w:gridCol w:w="9360"/>
      </w:tblGrid>
      <w:tr>
        <w:trPr>
          <w:cantSplit/>
        </w:trPr>
        <w:tc>
          <w:tcPr>
            <w:tcW w:type="dxa" w:w="9360"/>
            <w:tcMar>
              <w:top w:w="80" w:type="dxa"/>
              <w:bottom w:w="80" w:type="dxa"/>
              <w:start w:w="120" w:type="dxa"/>
              <w:end w:w="120" w:type="dxa"/>
            </w:tcMar>
            <w:vAlign w:val="center"/>
            <w:shd w:fill="EEF7F7"/>
          </w:tcPr>
          <w:p>
            <w:pPr>
              <w:keepNext/>
              <w:keepLines/>
              <w:spacing w:after="40"/>
            </w:pPr>
            <w:r>
              <w:rPr>
                <w:rFonts w:ascii="Calibri" w:hAnsi="Calibri" w:eastAsia="Microsoft YaHei"/>
                <w:b/>
                <w:color w:val="008C95"/>
                <w:sz w:val="17"/>
              </w:rPr>
              <w:t>DIGITAL-TWIN RELEVANCE</w:t>
            </w:r>
          </w:p>
          <w:p>
            <w:pPr>
              <w:spacing w:after="0"/>
            </w:pPr>
            <w:r>
              <w:rPr>
                <w:rFonts w:ascii="Calibri" w:hAnsi="Calibri" w:eastAsia="Microsoft YaHei"/>
                <w:color w:val="0B2545"/>
                <w:sz w:val="20"/>
              </w:rPr>
              <w:t>必须在孪生中保留点扩散函数，不能把反卷积值当独立局部点。</w:t>
            </w:r>
          </w:p>
        </w:tc>
      </w:tr>
    </w:tbl>
    <w:p>
      <w:pPr>
        <w:spacing w:after="40"/>
      </w:pPr>
    </w:p>
    <w:tbl>
      <w:tblPr>
        <w:tblStyle w:val="TableGrid"/>
        <w:tblW w:type="dxa" w:w="9360"/>
        <w:jc w:val="left"/>
        <w:tblLayout w:type="fixed"/>
        <w:tblLook w:firstColumn="1" w:firstRow="1" w:lastColumn="0" w:lastRow="0" w:noHBand="0" w:noVBand="1" w:val="04A0"/>
        <w:tblInd w:w="120" w:type="dxa"/>
      </w:tblPr>
      <w:tblGrid>
        <w:gridCol w:w="850"/>
        <w:gridCol w:w="2500"/>
        <w:gridCol w:w="1600"/>
        <w:gridCol w:w="2300"/>
        <w:gridCol w:w="2110"/>
      </w:tblGrid>
      <w:tr>
        <w:trPr>
          <w:tblHeader w:val="true"/>
        </w:trPr>
        <w:tc>
          <w:tcPr>
            <w:tcW w:type="dxa" w:w="8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年份/类型</w:t>
            </w:r>
          </w:p>
        </w:tc>
        <w:tc>
          <w:tcPr>
            <w:tcW w:type="dxa" w:w="25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论文或软件</w:t>
            </w:r>
          </w:p>
        </w:tc>
        <w:tc>
          <w:tcPr>
            <w:tcW w:type="dxa" w:w="16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期刊/开放性</w:t>
            </w:r>
          </w:p>
        </w:tc>
        <w:tc>
          <w:tcPr>
            <w:tcW w:type="dxa" w:w="23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来源类型/关系</w:t>
            </w:r>
          </w:p>
        </w:tc>
        <w:tc>
          <w:tcPr>
            <w:tcW w:type="dxa" w:w="211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链接</w:t>
            </w:r>
          </w:p>
        </w:tc>
      </w:tr>
      <w:tr>
        <w:trPr>
          <w:cantSplit/>
        </w:trPr>
        <w:tc>
          <w:tcPr>
            <w:tcW w:type="dxa" w:w="850"/>
          </w:tcPr>
          <w:p>
            <w:pPr>
              <w:keepLines/>
              <w:spacing w:after="0" w:line="276" w:lineRule="auto"/>
            </w:pPr>
            <w:r>
              <w:rPr>
                <w:rFonts w:ascii="Calibri" w:hAnsi="Calibri" w:eastAsia="Microsoft YaHei"/>
                <w:color w:val="0B2545"/>
                <w:sz w:val="14"/>
              </w:rPr>
              <w:t>2013</w:t>
            </w:r>
          </w:p>
        </w:tc>
        <w:tc>
          <w:tcPr>
            <w:tcW w:type="dxa" w:w="2500"/>
          </w:tcPr>
          <w:p>
            <w:pPr>
              <w:keepLines/>
              <w:spacing w:after="0" w:line="276" w:lineRule="auto"/>
            </w:pPr>
            <w:r>
              <w:rPr>
                <w:rFonts w:ascii="Calibri" w:hAnsi="Calibri" w:eastAsia="Microsoft YaHei"/>
                <w:color w:val="0B2545"/>
                <w:sz w:val="14"/>
              </w:rPr>
              <w:t>The JET LIDAR Thomson scattering diagnostic</w:t>
            </w:r>
          </w:p>
        </w:tc>
        <w:tc>
          <w:tcPr>
            <w:tcW w:type="dxa" w:w="1600"/>
          </w:tcPr>
          <w:p>
            <w:pPr>
              <w:keepLines/>
              <w:spacing w:after="0" w:line="276" w:lineRule="auto"/>
            </w:pPr>
            <w:r>
              <w:rPr>
                <w:rFonts w:ascii="Calibri" w:hAnsi="Calibri" w:eastAsia="Microsoft YaHei"/>
                <w:color w:val="0B2545"/>
                <w:sz w:val="14"/>
              </w:rPr>
              <w:t>arXiv</w:t>
            </w:r>
          </w:p>
        </w:tc>
        <w:tc>
          <w:tcPr>
            <w:tcW w:type="dxa" w:w="2300"/>
          </w:tcPr>
          <w:p>
            <w:pPr>
              <w:keepLines/>
              <w:spacing w:after="0" w:line="276" w:lineRule="auto"/>
            </w:pPr>
            <w:r>
              <w:rPr>
                <w:rFonts w:ascii="Calibri" w:hAnsi="Calibri" w:eastAsia="Microsoft YaHei"/>
                <w:color w:val="0B2545"/>
                <w:sz w:val="14"/>
              </w:rPr>
              <w:t>preprint</w:t>
            </w:r>
          </w:p>
        </w:tc>
        <w:tc>
          <w:tcPr>
            <w:tcW w:type="dxa" w:w="2110"/>
          </w:tcPr>
          <w:p>
            <w:pPr>
              <w:keepLines/>
              <w:spacing w:after="0" w:line="276" w:lineRule="auto"/>
            </w:pPr>
            <w:hyperlink r:id="rId51">
              <w:r>
                <w:rPr>
                  <w:rFonts w:ascii="Calibri" w:hAnsi="Calibri" w:eastAsia="Microsoft YaHei"/>
                  <w:color w:val="008C95"/>
                  <w:u w:val="single"/>
                </w:rPr>
                <w:t>打开原始来源 ↗</w:t>
              </w:r>
            </w:hyperlink>
          </w:p>
        </w:tc>
      </w:tr>
      <w:tr>
        <w:trPr>
          <w:cantSplit/>
        </w:trPr>
        <w:tc>
          <w:tcPr>
            <w:tcW w:type="dxa" w:w="850"/>
          </w:tcPr>
          <w:p>
            <w:pPr>
              <w:keepLines/>
              <w:spacing w:after="0" w:line="276" w:lineRule="auto"/>
            </w:pPr>
            <w:r>
              <w:rPr>
                <w:rFonts w:ascii="Calibri" w:hAnsi="Calibri" w:eastAsia="Microsoft YaHei"/>
                <w:color w:val="0B2545"/>
                <w:sz w:val="14"/>
              </w:rPr>
              <w:t>软件</w:t>
            </w:r>
          </w:p>
        </w:tc>
        <w:tc>
          <w:tcPr>
            <w:tcW w:type="dxa" w:w="2500"/>
          </w:tcPr>
          <w:p>
            <w:pPr>
              <w:keepLines/>
              <w:spacing w:after="0" w:line="276" w:lineRule="auto"/>
            </w:pPr>
            <w:r>
              <w:rPr>
                <w:rFonts w:ascii="Calibri" w:hAnsi="Calibri" w:eastAsia="Microsoft YaHei"/>
                <w:color w:val="0B2545"/>
                <w:sz w:val="14"/>
              </w:rPr>
              <w:t>装置专有分析/标定软件</w:t>
            </w:r>
          </w:p>
        </w:tc>
        <w:tc>
          <w:tcPr>
            <w:tcW w:type="dxa" w:w="1600"/>
          </w:tcPr>
          <w:p>
            <w:pPr>
              <w:keepLines/>
              <w:spacing w:after="0" w:line="276" w:lineRule="auto"/>
            </w:pPr>
            <w:r>
              <w:rPr>
                <w:rFonts w:ascii="Calibri" w:hAnsi="Calibri" w:eastAsia="Microsoft YaHei"/>
                <w:color w:val="0B2545"/>
                <w:sz w:val="14"/>
              </w:rPr>
              <w:t>not-public</w:t>
            </w:r>
          </w:p>
        </w:tc>
        <w:tc>
          <w:tcPr>
            <w:tcW w:type="dxa" w:w="2300"/>
          </w:tcPr>
          <w:p>
            <w:pPr>
              <w:keepLines/>
              <w:spacing w:after="0" w:line="276" w:lineRule="auto"/>
            </w:pPr>
            <w:r>
              <w:rPr>
                <w:rFonts w:ascii="Calibri" w:hAnsi="Calibri" w:eastAsia="Microsoft YaHei"/>
                <w:color w:val="0B2545"/>
                <w:sz w:val="14"/>
              </w:rPr>
              <w:t>JET LIDAR反卷积和运行分析代码未公开。</w:t>
            </w:r>
          </w:p>
        </w:tc>
        <w:tc>
          <w:tcPr>
            <w:tcW w:type="dxa" w:w="2110"/>
          </w:tcPr>
          <w:p>
            <w:pPr>
              <w:keepLines/>
              <w:spacing w:after="0" w:line="276" w:lineRule="auto"/>
            </w:pPr>
            <w:r>
              <w:rPr>
                <w:rFonts w:ascii="Calibri" w:hAnsi="Calibri" w:eastAsia="Microsoft YaHei"/>
                <w:color w:val="0B2545"/>
                <w:sz w:val="14"/>
              </w:rPr>
              <w:t>未公开</w:t>
            </w:r>
          </w:p>
        </w:tc>
      </w:tr>
    </w:tbl>
    <w:p>
      <w:pPr>
        <w:spacing w:before="0" w:after="60"/>
      </w:pPr>
    </w:p>
    <w:p>
      <w:pPr>
        <w:pStyle w:val="Heading3"/>
        <w:keepNext/>
      </w:pPr>
      <w:r>
        <w:t>DG2.03  多色干涉/偏振测量：ITER环向干涉偏振仪</w:t>
      </w:r>
    </w:p>
    <w:p>
      <w:pPr>
        <w:keepNext/>
        <w:spacing w:after="80"/>
      </w:pPr>
      <w:r>
        <w:rPr>
          <w:rFonts w:ascii="Calibri" w:hAnsi="Calibri" w:eastAsia="Microsoft YaHei"/>
          <w:i/>
          <w:color w:val="566573"/>
          <w:sz w:val="18"/>
        </w:rPr>
        <w:t>Multicolor interferometry and polarimetry: ITER TIP</w:t>
      </w:r>
    </w:p>
    <w:tbl>
      <w:tblPr>
        <w:tblStyle w:val="TableGrid"/>
        <w:tblW w:type="dxa" w:w="9360"/>
        <w:jc w:val="left"/>
        <w:tblLayout w:type="fixed"/>
        <w:tblLook w:firstColumn="1" w:firstRow="1" w:lastColumn="0" w:lastRow="0" w:noHBand="0" w:noVBand="1" w:val="04A0"/>
        <w:tblInd w:w="120" w:type="dxa"/>
      </w:tblPr>
      <w:tblGrid>
        <w:gridCol w:w="1200"/>
        <w:gridCol w:w="750"/>
        <w:gridCol w:w="750"/>
        <w:gridCol w:w="2100"/>
        <w:gridCol w:w="4560"/>
      </w:tblGrid>
      <w:tr>
        <w:trPr>
          <w:tblHeader w:val="true"/>
        </w:trPr>
        <w:tc>
          <w:tcPr>
            <w:tcW w:type="dxa" w:w="12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工作 ID</w:t>
            </w:r>
          </w:p>
        </w:tc>
        <w:tc>
          <w:tcPr>
            <w:tcW w:type="dxa" w:w="7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证据</w:t>
            </w:r>
          </w:p>
        </w:tc>
        <w:tc>
          <w:tcPr>
            <w:tcW w:type="dxa" w:w="7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部署</w:t>
            </w:r>
          </w:p>
        </w:tc>
        <w:tc>
          <w:tcPr>
            <w:tcW w:type="dxa" w:w="21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技术族</w:t>
            </w:r>
          </w:p>
        </w:tc>
        <w:tc>
          <w:tcPr>
            <w:tcW w:type="dxa" w:w="456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装置</w:t>
            </w:r>
          </w:p>
        </w:tc>
      </w:tr>
      <w:tr>
        <w:trPr>
          <w:cantSplit/>
        </w:trPr>
        <w:tc>
          <w:tcPr>
            <w:tcW w:type="dxa" w:w="1200"/>
          </w:tcPr>
          <w:p>
            <w:pPr>
              <w:keepLines/>
              <w:spacing w:after="0" w:line="276" w:lineRule="auto"/>
            </w:pPr>
            <w:r>
              <w:rPr>
                <w:rFonts w:ascii="Calibri" w:hAnsi="Calibri" w:eastAsia="Microsoft YaHei"/>
                <w:color w:val="0B2545"/>
                <w:sz w:val="15"/>
              </w:rPr>
              <w:t>DG2-008</w:t>
            </w:r>
          </w:p>
        </w:tc>
        <w:tc>
          <w:tcPr>
            <w:tcW w:type="dxa" w:w="750"/>
          </w:tcPr>
          <w:p>
            <w:pPr>
              <w:keepLines/>
              <w:spacing w:after="0" w:line="276" w:lineRule="auto"/>
            </w:pPr>
            <w:r>
              <w:rPr>
                <w:rFonts w:ascii="Calibri" w:hAnsi="Calibri" w:eastAsia="Microsoft YaHei"/>
                <w:color w:val="0B2545"/>
                <w:sz w:val="15"/>
              </w:rPr>
              <w:t>E3</w:t>
            </w:r>
          </w:p>
        </w:tc>
        <w:tc>
          <w:tcPr>
            <w:tcW w:type="dxa" w:w="750"/>
          </w:tcPr>
          <w:p>
            <w:pPr>
              <w:keepLines/>
              <w:spacing w:after="0" w:line="276" w:lineRule="auto"/>
            </w:pPr>
            <w:r>
              <w:rPr>
                <w:rFonts w:ascii="Calibri" w:hAnsi="Calibri" w:eastAsia="Microsoft YaHei"/>
                <w:color w:val="0B2545"/>
                <w:sz w:val="15"/>
              </w:rPr>
              <w:t>D3</w:t>
            </w:r>
          </w:p>
        </w:tc>
        <w:tc>
          <w:tcPr>
            <w:tcW w:type="dxa" w:w="2100"/>
          </w:tcPr>
          <w:p>
            <w:pPr>
              <w:keepLines/>
              <w:spacing w:after="0" w:line="276" w:lineRule="auto"/>
            </w:pPr>
            <w:r>
              <w:rPr>
                <w:rFonts w:ascii="Calibri" w:hAnsi="Calibri" w:eastAsia="Microsoft YaHei"/>
                <w:color w:val="0B2545"/>
                <w:sz w:val="15"/>
              </w:rPr>
              <w:t>LASER</w:t>
            </w:r>
          </w:p>
        </w:tc>
        <w:tc>
          <w:tcPr>
            <w:tcW w:type="dxa" w:w="4560"/>
          </w:tcPr>
          <w:p>
            <w:pPr>
              <w:keepLines/>
              <w:spacing w:after="0" w:line="276" w:lineRule="auto"/>
            </w:pPr>
            <w:r>
              <w:rPr>
                <w:rFonts w:ascii="Calibri" w:hAnsi="Calibri" w:eastAsia="Microsoft YaHei"/>
                <w:color w:val="0B2545"/>
                <w:sz w:val="15"/>
              </w:rPr>
              <w:t>ITER；DIII-D；EAST；KSTAR</w:t>
            </w:r>
          </w:p>
        </w:tc>
      </w:tr>
    </w:tbl>
    <w:p>
      <w:pPr>
        <w:spacing w:before="0" w:after="60"/>
      </w:pPr>
    </w:p>
    <w:p>
      <w:pPr>
        <w:widowControl/>
      </w:pPr>
      <w:r>
        <w:rPr>
          <w:rFonts w:ascii="Calibri" w:hAnsi="Calibri" w:eastAsia="Microsoft YaHei"/>
          <w:b/>
          <w:color w:val="1F4D78"/>
        </w:rPr>
        <w:t>解决问题：</w:t>
      </w:r>
      <w:r>
        <w:rPr>
          <w:rFonts w:ascii="Calibri" w:hAnsi="Calibri" w:eastAsia="Microsoft YaHei"/>
        </w:rPr>
        <w:t>提供高带宽线积分密度，并用法拉第旋转约束密度加权磁场。</w:t>
      </w:r>
    </w:p>
    <w:p>
      <w:pPr>
        <w:widowControl/>
      </w:pPr>
      <w:r>
        <w:rPr>
          <w:rFonts w:ascii="Calibri" w:hAnsi="Calibri" w:eastAsia="Microsoft YaHei"/>
          <w:b/>
          <w:color w:val="1F4D78"/>
        </w:rPr>
        <w:t>测量原理：</w:t>
      </w:r>
      <w:r>
        <w:rPr>
          <w:rFonts w:ascii="Calibri" w:hAnsi="Calibri" w:eastAsia="Microsoft YaHei"/>
        </w:rPr>
        <w:t>相位延迟给∫ne dl；法拉第旋转给∫ne B_parallel dl；多波长分离机械振动。</w:t>
      </w:r>
    </w:p>
    <w:p>
      <w:pPr>
        <w:widowControl/>
      </w:pPr>
      <w:r>
        <w:rPr>
          <w:rFonts w:ascii="Calibri" w:hAnsi="Calibri" w:eastAsia="Microsoft YaHei"/>
          <w:b/>
          <w:color w:val="1F4D78"/>
        </w:rPr>
        <w:t>测量产品：</w:t>
      </w:r>
      <w:r>
        <w:rPr>
          <w:rFonts w:ascii="Calibri" w:hAnsi="Calibri" w:eastAsia="Microsoft YaHei"/>
        </w:rPr>
        <w:t>line-integrated electron density；Faraday rotation</w:t>
      </w:r>
    </w:p>
    <w:p>
      <w:pPr>
        <w:widowControl/>
      </w:pPr>
      <w:r>
        <w:rPr>
          <w:rFonts w:ascii="Calibri" w:hAnsi="Calibri" w:eastAsia="Microsoft YaHei"/>
          <w:b/>
          <w:color w:val="1F4D78"/>
        </w:rPr>
        <w:t>时空分辨与覆盖：</w:t>
      </w:r>
      <w:r>
        <w:rPr>
          <w:rFonts w:ascii="Calibri" w:hAnsi="Calibri" w:eastAsia="Microsoft YaHei"/>
        </w:rPr>
        <w:t>时间：因装置、采集和分析链而异；原始来源未给出统一数值。；空间：由视线、几何和反演设定；原始来源未给出统一数值。</w:t>
      </w:r>
    </w:p>
    <w:p>
      <w:pPr>
        <w:widowControl/>
      </w:pPr>
      <w:r>
        <w:rPr>
          <w:rFonts w:ascii="Calibri" w:hAnsi="Calibri" w:eastAsia="Microsoft YaHei"/>
          <w:b/>
          <w:color w:val="1F4D78"/>
        </w:rPr>
        <w:t>仪器与传感器：</w:t>
      </w:r>
      <w:r>
        <w:rPr>
          <w:rFonts w:ascii="Calibri" w:hAnsi="Calibri" w:eastAsia="Microsoft YaHei"/>
        </w:rPr>
        <w:t>FIR/CO2 lasers；multiwavelength interferometer；polarimeter；retroreflectors；phase detectors</w:t>
      </w:r>
    </w:p>
    <w:p>
      <w:pPr>
        <w:widowControl/>
      </w:pPr>
      <w:r>
        <w:rPr>
          <w:rFonts w:ascii="Calibri" w:hAnsi="Calibri" w:eastAsia="Microsoft YaHei"/>
          <w:b/>
          <w:color w:val="1F4D78"/>
        </w:rPr>
        <w:t>标定与质量：</w:t>
      </w:r>
      <w:r>
        <w:rPr>
          <w:rFonts w:ascii="Calibri" w:hAnsi="Calibri" w:eastAsia="Microsoft YaHei"/>
        </w:rPr>
        <w:t>标定真空相位、振动通道与偏振零点；用已知光程/旋转元件验证并与TS密度积分比对。</w:t>
      </w:r>
    </w:p>
    <w:p>
      <w:pPr>
        <w:widowControl/>
      </w:pPr>
      <w:r>
        <w:rPr>
          <w:rFonts w:ascii="Calibri" w:hAnsi="Calibri" w:eastAsia="Microsoft YaHei"/>
          <w:b/>
          <w:color w:val="1F4D78"/>
        </w:rPr>
        <w:t>反演与分析：</w:t>
      </w:r>
      <w:r>
        <w:rPr>
          <w:rFonts w:ascii="Calibri" w:hAnsi="Calibri" w:eastAsia="Microsoft YaHei"/>
        </w:rPr>
        <w:t>多色相位组合、解缠和振动补偿；必要时进入联合层析/平衡反演。</w:t>
      </w:r>
    </w:p>
    <w:p>
      <w:pPr>
        <w:widowControl/>
      </w:pPr>
      <w:r>
        <w:rPr>
          <w:rFonts w:ascii="Calibri" w:hAnsi="Calibri" w:eastAsia="Microsoft YaHei"/>
          <w:b/>
          <w:color w:val="1F4D78"/>
        </w:rPr>
        <w:t>验证与应用：</w:t>
      </w:r>
      <w:r>
        <w:rPr>
          <w:rFonts w:ascii="Calibri" w:hAnsi="Calibri" w:eastAsia="Microsoft YaHei"/>
        </w:rPr>
        <w:t>ITER 来源给出环向干涉/偏振系统设计，另一来源展示 Faraday 约束进入 EFIT 的装置数据方法；本记录不把方法验证外推为例行在线部署。</w:t>
      </w:r>
    </w:p>
    <w:p>
      <w:pPr>
        <w:widowControl/>
      </w:pPr>
      <w:r>
        <w:rPr>
          <w:rFonts w:ascii="Calibri" w:hAnsi="Calibri" w:eastAsia="Microsoft YaHei"/>
          <w:b/>
          <w:color w:val="1F4D78"/>
        </w:rPr>
        <w:t>局限与边界：</w:t>
      </w:r>
      <w:r>
        <w:rPr>
          <w:rFonts w:ascii="Calibri" w:hAnsi="Calibri" w:eastAsia="Microsoft YaHei"/>
        </w:rPr>
        <w:t>线积分不可唯一给剖面；相位跳变、折射、窗双折射和视线偏移是主要风险。</w:t>
      </w:r>
    </w:p>
    <w:tbl>
      <w:tblPr>
        <w:tblStyle w:val="TableGrid"/>
        <w:tblW w:type="dxa" w:w="9360"/>
        <w:jc w:val="left"/>
        <w:tblLayout w:type="fixed"/>
        <w:tblLook w:firstColumn="1" w:firstRow="1" w:lastColumn="0" w:lastRow="0" w:noHBand="0" w:noVBand="1" w:val="04A0"/>
        <w:tblInd w:w="120" w:type="dxa"/>
      </w:tblPr>
      <w:tblGrid>
        <w:gridCol w:w="9360"/>
      </w:tblGrid>
      <w:tr>
        <w:trPr>
          <w:cantSplit/>
        </w:trPr>
        <w:tc>
          <w:tcPr>
            <w:tcW w:type="dxa" w:w="9360"/>
            <w:tcMar>
              <w:top w:w="80" w:type="dxa"/>
              <w:bottom w:w="80" w:type="dxa"/>
              <w:start w:w="120" w:type="dxa"/>
              <w:end w:w="120" w:type="dxa"/>
            </w:tcMar>
            <w:vAlign w:val="center"/>
            <w:shd w:fill="EEF7F7"/>
          </w:tcPr>
          <w:p>
            <w:pPr>
              <w:keepNext/>
              <w:keepLines/>
              <w:spacing w:after="40"/>
            </w:pPr>
            <w:r>
              <w:rPr>
                <w:rFonts w:ascii="Calibri" w:hAnsi="Calibri" w:eastAsia="Microsoft YaHei"/>
                <w:b/>
                <w:color w:val="008C95"/>
                <w:sz w:val="17"/>
              </w:rPr>
              <w:t>DIGITAL-TWIN RELEVANCE</w:t>
            </w:r>
          </w:p>
          <w:p>
            <w:pPr>
              <w:spacing w:after="0"/>
            </w:pPr>
            <w:r>
              <w:rPr>
                <w:rFonts w:ascii="Calibri" w:hAnsi="Calibri" w:eastAsia="Microsoft YaHei"/>
                <w:color w:val="0B2545"/>
                <w:sz w:val="20"/>
              </w:rPr>
              <w:t>密度控制高带宽观测；孪生需输出原始相位、解缠状态和几何。</w:t>
            </w:r>
          </w:p>
        </w:tc>
      </w:tr>
    </w:tbl>
    <w:p>
      <w:pPr>
        <w:spacing w:after="40"/>
      </w:pPr>
    </w:p>
    <w:tbl>
      <w:tblPr>
        <w:tblStyle w:val="TableGrid"/>
        <w:tblW w:type="dxa" w:w="9360"/>
        <w:jc w:val="left"/>
        <w:tblLayout w:type="fixed"/>
        <w:tblLook w:firstColumn="1" w:firstRow="1" w:lastColumn="0" w:lastRow="0" w:noHBand="0" w:noVBand="1" w:val="04A0"/>
        <w:tblInd w:w="120" w:type="dxa"/>
      </w:tblPr>
      <w:tblGrid>
        <w:gridCol w:w="850"/>
        <w:gridCol w:w="2500"/>
        <w:gridCol w:w="1600"/>
        <w:gridCol w:w="2300"/>
        <w:gridCol w:w="2110"/>
      </w:tblGrid>
      <w:tr>
        <w:trPr>
          <w:tblHeader w:val="true"/>
        </w:trPr>
        <w:tc>
          <w:tcPr>
            <w:tcW w:type="dxa" w:w="8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年份/类型</w:t>
            </w:r>
          </w:p>
        </w:tc>
        <w:tc>
          <w:tcPr>
            <w:tcW w:type="dxa" w:w="25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论文或软件</w:t>
            </w:r>
          </w:p>
        </w:tc>
        <w:tc>
          <w:tcPr>
            <w:tcW w:type="dxa" w:w="16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期刊/开放性</w:t>
            </w:r>
          </w:p>
        </w:tc>
        <w:tc>
          <w:tcPr>
            <w:tcW w:type="dxa" w:w="23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来源类型/关系</w:t>
            </w:r>
          </w:p>
        </w:tc>
        <w:tc>
          <w:tcPr>
            <w:tcW w:type="dxa" w:w="211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链接</w:t>
            </w:r>
          </w:p>
        </w:tc>
      </w:tr>
      <w:tr>
        <w:trPr>
          <w:cantSplit/>
        </w:trPr>
        <w:tc>
          <w:tcPr>
            <w:tcW w:type="dxa" w:w="850"/>
          </w:tcPr>
          <w:p>
            <w:pPr>
              <w:keepLines/>
              <w:spacing w:after="0" w:line="276" w:lineRule="auto"/>
            </w:pPr>
            <w:r>
              <w:rPr>
                <w:rFonts w:ascii="Calibri" w:hAnsi="Calibri" w:eastAsia="Microsoft YaHei"/>
                <w:color w:val="0B2545"/>
                <w:sz w:val="14"/>
              </w:rPr>
              <w:t>2004</w:t>
            </w:r>
          </w:p>
        </w:tc>
        <w:tc>
          <w:tcPr>
            <w:tcW w:type="dxa" w:w="2500"/>
          </w:tcPr>
          <w:p>
            <w:pPr>
              <w:keepLines/>
              <w:spacing w:after="0" w:line="276" w:lineRule="auto"/>
            </w:pPr>
            <w:r>
              <w:rPr>
                <w:rFonts w:ascii="Calibri" w:hAnsi="Calibri" w:eastAsia="Microsoft YaHei"/>
                <w:color w:val="0B2545"/>
                <w:sz w:val="14"/>
              </w:rPr>
              <w:t>Toroidal interferometer/polarimeter density measurement system on ITER</w:t>
            </w:r>
          </w:p>
        </w:tc>
        <w:tc>
          <w:tcPr>
            <w:tcW w:type="dxa" w:w="1600"/>
          </w:tcPr>
          <w:p>
            <w:pPr>
              <w:keepLines/>
              <w:spacing w:after="0" w:line="276" w:lineRule="auto"/>
            </w:pPr>
            <w:r>
              <w:rPr>
                <w:rFonts w:ascii="Calibri" w:hAnsi="Calibri" w:eastAsia="Microsoft YaHei"/>
                <w:color w:val="0B2545"/>
                <w:sz w:val="14"/>
              </w:rPr>
              <w:t>Review of Scientific Instruments</w:t>
            </w:r>
          </w:p>
        </w:tc>
        <w:tc>
          <w:tcPr>
            <w:tcW w:type="dxa" w:w="2300"/>
          </w:tcPr>
          <w:p>
            <w:pPr>
              <w:keepLines/>
              <w:spacing w:after="0" w:line="276" w:lineRule="auto"/>
            </w:pPr>
            <w:r>
              <w:rPr>
                <w:rFonts w:ascii="Calibri" w:hAnsi="Calibri" w:eastAsia="Microsoft YaHei"/>
                <w:color w:val="0B2545"/>
                <w:sz w:val="14"/>
              </w:rPr>
              <w:t>peer-reviewed-journal</w:t>
            </w:r>
          </w:p>
        </w:tc>
        <w:tc>
          <w:tcPr>
            <w:tcW w:type="dxa" w:w="2110"/>
          </w:tcPr>
          <w:p>
            <w:pPr>
              <w:keepLines/>
              <w:spacing w:after="0" w:line="276" w:lineRule="auto"/>
            </w:pPr>
            <w:hyperlink r:id="rId52">
              <w:r>
                <w:rPr>
                  <w:rFonts w:ascii="Calibri" w:hAnsi="Calibri" w:eastAsia="Microsoft YaHei"/>
                  <w:color w:val="008C95"/>
                  <w:u w:val="single"/>
                </w:rPr>
                <w:t>打开原始来源 ↗</w:t>
              </w:r>
            </w:hyperlink>
          </w:p>
        </w:tc>
      </w:tr>
      <w:tr>
        <w:trPr>
          <w:cantSplit/>
        </w:trPr>
        <w:tc>
          <w:tcPr>
            <w:tcW w:type="dxa" w:w="850"/>
          </w:tcPr>
          <w:p>
            <w:pPr>
              <w:keepLines/>
              <w:spacing w:after="0" w:line="276" w:lineRule="auto"/>
            </w:pPr>
            <w:r>
              <w:rPr>
                <w:rFonts w:ascii="Calibri" w:hAnsi="Calibri" w:eastAsia="Microsoft YaHei"/>
                <w:color w:val="0B2545"/>
                <w:sz w:val="14"/>
              </w:rPr>
              <w:t>2023</w:t>
            </w:r>
          </w:p>
        </w:tc>
        <w:tc>
          <w:tcPr>
            <w:tcW w:type="dxa" w:w="2500"/>
          </w:tcPr>
          <w:p>
            <w:pPr>
              <w:keepLines/>
              <w:spacing w:after="0" w:line="276" w:lineRule="auto"/>
            </w:pPr>
            <w:r>
              <w:rPr>
                <w:rFonts w:ascii="Calibri" w:hAnsi="Calibri" w:eastAsia="Microsoft YaHei"/>
                <w:color w:val="0B2545"/>
                <w:sz w:val="14"/>
              </w:rPr>
              <w:t>Implementing Faraday effect measurement constraints into the Grad–Shafranov equilibrium fitting code EFIT</w:t>
            </w:r>
          </w:p>
        </w:tc>
        <w:tc>
          <w:tcPr>
            <w:tcW w:type="dxa" w:w="1600"/>
          </w:tcPr>
          <w:p>
            <w:pPr>
              <w:keepLines/>
              <w:spacing w:after="0" w:line="276" w:lineRule="auto"/>
            </w:pPr>
            <w:r>
              <w:rPr>
                <w:rFonts w:ascii="Calibri" w:hAnsi="Calibri" w:eastAsia="Microsoft YaHei"/>
                <w:color w:val="0B2545"/>
                <w:sz w:val="14"/>
              </w:rPr>
              <w:t>Review of Scientific Instruments</w:t>
            </w:r>
          </w:p>
        </w:tc>
        <w:tc>
          <w:tcPr>
            <w:tcW w:type="dxa" w:w="2300"/>
          </w:tcPr>
          <w:p>
            <w:pPr>
              <w:keepLines/>
              <w:spacing w:after="0" w:line="276" w:lineRule="auto"/>
            </w:pPr>
            <w:r>
              <w:rPr>
                <w:rFonts w:ascii="Calibri" w:hAnsi="Calibri" w:eastAsia="Microsoft YaHei"/>
                <w:color w:val="0B2545"/>
                <w:sz w:val="14"/>
              </w:rPr>
              <w:t>peer-reviewed-journal</w:t>
            </w:r>
          </w:p>
        </w:tc>
        <w:tc>
          <w:tcPr>
            <w:tcW w:type="dxa" w:w="2110"/>
          </w:tcPr>
          <w:p>
            <w:pPr>
              <w:keepLines/>
              <w:spacing w:after="0" w:line="276" w:lineRule="auto"/>
            </w:pPr>
            <w:hyperlink r:id="rId53">
              <w:r>
                <w:rPr>
                  <w:rFonts w:ascii="Calibri" w:hAnsi="Calibri" w:eastAsia="Microsoft YaHei"/>
                  <w:color w:val="008C95"/>
                  <w:u w:val="single"/>
                </w:rPr>
                <w:t>打开原始来源 ↗</w:t>
              </w:r>
            </w:hyperlink>
          </w:p>
        </w:tc>
      </w:tr>
      <w:tr>
        <w:trPr>
          <w:cantSplit/>
        </w:trPr>
        <w:tc>
          <w:tcPr>
            <w:tcW w:type="dxa" w:w="850"/>
          </w:tcPr>
          <w:p>
            <w:pPr>
              <w:keepLines/>
              <w:spacing w:after="0" w:line="276" w:lineRule="auto"/>
            </w:pPr>
            <w:r>
              <w:rPr>
                <w:rFonts w:ascii="Calibri" w:hAnsi="Calibri" w:eastAsia="Microsoft YaHei"/>
                <w:color w:val="0B2545"/>
                <w:sz w:val="14"/>
              </w:rPr>
              <w:t>软件</w:t>
            </w:r>
          </w:p>
        </w:tc>
        <w:tc>
          <w:tcPr>
            <w:tcW w:type="dxa" w:w="2500"/>
          </w:tcPr>
          <w:p>
            <w:pPr>
              <w:keepLines/>
              <w:spacing w:after="0" w:line="276" w:lineRule="auto"/>
            </w:pPr>
            <w:r>
              <w:rPr>
                <w:rFonts w:ascii="Calibri" w:hAnsi="Calibri" w:eastAsia="Microsoft YaHei"/>
                <w:color w:val="0B2545"/>
                <w:sz w:val="14"/>
              </w:rPr>
              <w:t>装置专有分析/标定软件</w:t>
            </w:r>
          </w:p>
        </w:tc>
        <w:tc>
          <w:tcPr>
            <w:tcW w:type="dxa" w:w="1600"/>
          </w:tcPr>
          <w:p>
            <w:pPr>
              <w:keepLines/>
              <w:spacing w:after="0" w:line="276" w:lineRule="auto"/>
            </w:pPr>
            <w:r>
              <w:rPr>
                <w:rFonts w:ascii="Calibri" w:hAnsi="Calibri" w:eastAsia="Microsoft YaHei"/>
                <w:color w:val="0B2545"/>
                <w:sz w:val="14"/>
              </w:rPr>
              <w:t>not-public</w:t>
            </w:r>
          </w:p>
        </w:tc>
        <w:tc>
          <w:tcPr>
            <w:tcW w:type="dxa" w:w="2300"/>
          </w:tcPr>
          <w:p>
            <w:pPr>
              <w:keepLines/>
              <w:spacing w:after="0" w:line="276" w:lineRule="auto"/>
            </w:pPr>
            <w:r>
              <w:rPr>
                <w:rFonts w:ascii="Calibri" w:hAnsi="Calibri" w:eastAsia="Microsoft YaHei"/>
                <w:color w:val="0B2545"/>
                <w:sz w:val="14"/>
              </w:rPr>
              <w:t>实时解缠、振动补偿和PCS接口受控。</w:t>
            </w:r>
          </w:p>
        </w:tc>
        <w:tc>
          <w:tcPr>
            <w:tcW w:type="dxa" w:w="2110"/>
          </w:tcPr>
          <w:p>
            <w:pPr>
              <w:keepLines/>
              <w:spacing w:after="0" w:line="276" w:lineRule="auto"/>
            </w:pPr>
            <w:r>
              <w:rPr>
                <w:rFonts w:ascii="Calibri" w:hAnsi="Calibri" w:eastAsia="Microsoft YaHei"/>
                <w:color w:val="0B2545"/>
                <w:sz w:val="14"/>
              </w:rPr>
              <w:t>未公开</w:t>
            </w:r>
          </w:p>
        </w:tc>
      </w:tr>
    </w:tbl>
    <w:p>
      <w:pPr>
        <w:spacing w:before="0" w:after="60"/>
      </w:pPr>
    </w:p>
    <w:p>
      <w:pPr>
        <w:pStyle w:val="Heading3"/>
        <w:keepNext/>
      </w:pPr>
      <w:r>
        <w:t>DG2.04  电子回旋辐射：ECE温度剖面与事件监测</w:t>
      </w:r>
    </w:p>
    <w:p>
      <w:pPr>
        <w:keepNext/>
        <w:spacing w:after="80"/>
      </w:pPr>
      <w:r>
        <w:rPr>
          <w:rFonts w:ascii="Calibri" w:hAnsi="Calibri" w:eastAsia="Microsoft YaHei"/>
          <w:i/>
          <w:color w:val="566573"/>
          <w:sz w:val="18"/>
        </w:rPr>
        <w:t>Electron-cyclotron emission radiometry for temperature profiles and events</w:t>
      </w:r>
    </w:p>
    <w:tbl>
      <w:tblPr>
        <w:tblStyle w:val="TableGrid"/>
        <w:tblW w:type="dxa" w:w="9360"/>
        <w:jc w:val="left"/>
        <w:tblLayout w:type="fixed"/>
        <w:tblLook w:firstColumn="1" w:firstRow="1" w:lastColumn="0" w:lastRow="0" w:noHBand="0" w:noVBand="1" w:val="04A0"/>
        <w:tblInd w:w="120" w:type="dxa"/>
      </w:tblPr>
      <w:tblGrid>
        <w:gridCol w:w="1200"/>
        <w:gridCol w:w="750"/>
        <w:gridCol w:w="750"/>
        <w:gridCol w:w="2100"/>
        <w:gridCol w:w="4560"/>
      </w:tblGrid>
      <w:tr>
        <w:trPr>
          <w:tblHeader w:val="true"/>
        </w:trPr>
        <w:tc>
          <w:tcPr>
            <w:tcW w:type="dxa" w:w="12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工作 ID</w:t>
            </w:r>
          </w:p>
        </w:tc>
        <w:tc>
          <w:tcPr>
            <w:tcW w:type="dxa" w:w="7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证据</w:t>
            </w:r>
          </w:p>
        </w:tc>
        <w:tc>
          <w:tcPr>
            <w:tcW w:type="dxa" w:w="7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部署</w:t>
            </w:r>
          </w:p>
        </w:tc>
        <w:tc>
          <w:tcPr>
            <w:tcW w:type="dxa" w:w="21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技术族</w:t>
            </w:r>
          </w:p>
        </w:tc>
        <w:tc>
          <w:tcPr>
            <w:tcW w:type="dxa" w:w="456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装置</w:t>
            </w:r>
          </w:p>
        </w:tc>
      </w:tr>
      <w:tr>
        <w:trPr>
          <w:cantSplit/>
        </w:trPr>
        <w:tc>
          <w:tcPr>
            <w:tcW w:type="dxa" w:w="1200"/>
          </w:tcPr>
          <w:p>
            <w:pPr>
              <w:keepLines/>
              <w:spacing w:after="0" w:line="276" w:lineRule="auto"/>
            </w:pPr>
            <w:r>
              <w:rPr>
                <w:rFonts w:ascii="Calibri" w:hAnsi="Calibri" w:eastAsia="Microsoft YaHei"/>
                <w:color w:val="0B2545"/>
                <w:sz w:val="15"/>
              </w:rPr>
              <w:t>DG2-009</w:t>
            </w:r>
          </w:p>
        </w:tc>
        <w:tc>
          <w:tcPr>
            <w:tcW w:type="dxa" w:w="750"/>
          </w:tcPr>
          <w:p>
            <w:pPr>
              <w:keepLines/>
              <w:spacing w:after="0" w:line="276" w:lineRule="auto"/>
            </w:pPr>
            <w:r>
              <w:rPr>
                <w:rFonts w:ascii="Calibri" w:hAnsi="Calibri" w:eastAsia="Microsoft YaHei"/>
                <w:color w:val="0B2545"/>
                <w:sz w:val="15"/>
              </w:rPr>
              <w:t>E1</w:t>
            </w:r>
          </w:p>
        </w:tc>
        <w:tc>
          <w:tcPr>
            <w:tcW w:type="dxa" w:w="750"/>
          </w:tcPr>
          <w:p>
            <w:pPr>
              <w:keepLines/>
              <w:spacing w:after="0" w:line="276" w:lineRule="auto"/>
            </w:pPr>
            <w:r>
              <w:rPr>
                <w:rFonts w:ascii="Calibri" w:hAnsi="Calibri" w:eastAsia="Microsoft YaHei"/>
                <w:color w:val="0B2545"/>
                <w:sz w:val="15"/>
              </w:rPr>
              <w:t>D2</w:t>
            </w:r>
          </w:p>
        </w:tc>
        <w:tc>
          <w:tcPr>
            <w:tcW w:type="dxa" w:w="2100"/>
          </w:tcPr>
          <w:p>
            <w:pPr>
              <w:keepLines/>
              <w:spacing w:after="0" w:line="276" w:lineRule="auto"/>
            </w:pPr>
            <w:r>
              <w:rPr>
                <w:rFonts w:ascii="Calibri" w:hAnsi="Calibri" w:eastAsia="Microsoft YaHei"/>
                <w:color w:val="0B2545"/>
                <w:sz w:val="15"/>
              </w:rPr>
              <w:t>MICROWAVE</w:t>
            </w:r>
          </w:p>
        </w:tc>
        <w:tc>
          <w:tcPr>
            <w:tcW w:type="dxa" w:w="4560"/>
          </w:tcPr>
          <w:p>
            <w:pPr>
              <w:keepLines/>
              <w:spacing w:after="0" w:line="276" w:lineRule="auto"/>
            </w:pPr>
            <w:r>
              <w:rPr>
                <w:rFonts w:ascii="Calibri" w:hAnsi="Calibri" w:eastAsia="Microsoft YaHei"/>
                <w:color w:val="0B2545"/>
                <w:sz w:val="15"/>
              </w:rPr>
              <w:t>ITER；DIII-D；EAST；KSTAR</w:t>
            </w:r>
          </w:p>
        </w:tc>
      </w:tr>
    </w:tbl>
    <w:p>
      <w:pPr>
        <w:spacing w:before="0" w:after="60"/>
      </w:pPr>
    </w:p>
    <w:p>
      <w:pPr>
        <w:widowControl/>
      </w:pPr>
      <w:r>
        <w:rPr>
          <w:rFonts w:ascii="Calibri" w:hAnsi="Calibri" w:eastAsia="Microsoft YaHei"/>
          <w:b/>
          <w:color w:val="1F4D78"/>
        </w:rPr>
        <w:t>解决问题：</w:t>
      </w:r>
      <w:r>
        <w:rPr>
          <w:rFonts w:ascii="Calibri" w:hAnsi="Calibri" w:eastAsia="Microsoft YaHei"/>
        </w:rPr>
        <w:t>连续快速测量电子温度剖面并识别锯齿、磁岛和热扰动。</w:t>
      </w:r>
    </w:p>
    <w:p>
      <w:pPr>
        <w:widowControl/>
      </w:pPr>
      <w:r>
        <w:rPr>
          <w:rFonts w:ascii="Calibri" w:hAnsi="Calibri" w:eastAsia="Microsoft YaHei"/>
          <w:b/>
          <w:color w:val="1F4D78"/>
        </w:rPr>
        <w:t>测量原理：</w:t>
      </w:r>
      <w:r>
        <w:rPr>
          <w:rFonts w:ascii="Calibri" w:hAnsi="Calibri" w:eastAsia="Microsoft YaHei"/>
        </w:rPr>
        <w:t>光学厚近热平衡条件下ECE亮温近似局部Te；频率由回旋共振与磁场映射到位置。</w:t>
      </w:r>
    </w:p>
    <w:p>
      <w:pPr>
        <w:widowControl/>
      </w:pPr>
      <w:r>
        <w:rPr>
          <w:rFonts w:ascii="Calibri" w:hAnsi="Calibri" w:eastAsia="Microsoft YaHei"/>
          <w:b/>
          <w:color w:val="1F4D78"/>
        </w:rPr>
        <w:t>测量产品：</w:t>
      </w:r>
      <w:r>
        <w:rPr>
          <w:rFonts w:ascii="Calibri" w:hAnsi="Calibri" w:eastAsia="Microsoft YaHei"/>
        </w:rPr>
        <w:t>electron temperature；temperature fluctuations；sawtooth/island signatures</w:t>
      </w:r>
    </w:p>
    <w:p>
      <w:pPr>
        <w:widowControl/>
      </w:pPr>
      <w:r>
        <w:rPr>
          <w:rFonts w:ascii="Calibri" w:hAnsi="Calibri" w:eastAsia="Microsoft YaHei"/>
          <w:b/>
          <w:color w:val="1F4D78"/>
        </w:rPr>
        <w:t>时空分辨与覆盖：</w:t>
      </w:r>
      <w:r>
        <w:rPr>
          <w:rFonts w:ascii="Calibri" w:hAnsi="Calibri" w:eastAsia="Microsoft YaHei"/>
        </w:rPr>
        <w:t>时间：因装置、采集和分析链而异；原始来源未给出统一数值。；空间：由视线、几何和反演设定；原始来源未给出统一数值。</w:t>
      </w:r>
    </w:p>
    <w:p>
      <w:pPr>
        <w:widowControl/>
      </w:pPr>
      <w:r>
        <w:rPr>
          <w:rFonts w:ascii="Calibri" w:hAnsi="Calibri" w:eastAsia="Microsoft YaHei"/>
          <w:b/>
          <w:color w:val="1F4D78"/>
        </w:rPr>
        <w:t>仪器与传感器：</w:t>
      </w:r>
      <w:r>
        <w:rPr>
          <w:rFonts w:ascii="Calibri" w:hAnsi="Calibri" w:eastAsia="Microsoft YaHei"/>
        </w:rPr>
        <w:t>heterodyne radiometer；waveguide；blackbody calibration loads；fast digitizers</w:t>
      </w:r>
    </w:p>
    <w:p>
      <w:pPr>
        <w:widowControl/>
      </w:pPr>
      <w:r>
        <w:rPr>
          <w:rFonts w:ascii="Calibri" w:hAnsi="Calibri" w:eastAsia="Microsoft YaHei"/>
          <w:b/>
          <w:color w:val="1F4D78"/>
        </w:rPr>
        <w:t>标定与质量：</w:t>
      </w:r>
      <w:r>
        <w:rPr>
          <w:rFonts w:ascii="Calibri" w:hAnsi="Calibri" w:eastAsia="Microsoft YaHei"/>
        </w:rPr>
        <w:t>冷热负载/黑体绝对标定；测波导和中频响应，用平衡确定频率—半径映射。</w:t>
      </w:r>
    </w:p>
    <w:p>
      <w:pPr>
        <w:widowControl/>
      </w:pPr>
      <w:r>
        <w:rPr>
          <w:rFonts w:ascii="Calibri" w:hAnsi="Calibri" w:eastAsia="Microsoft YaHei"/>
          <w:b/>
          <w:color w:val="1F4D78"/>
        </w:rPr>
        <w:t>反演与分析：</w:t>
      </w:r>
      <w:r>
        <w:rPr>
          <w:rFonts w:ascii="Calibri" w:hAnsi="Calibri" w:eastAsia="Microsoft YaHei"/>
        </w:rPr>
        <w:t>功率解调后修正相对论展宽、光学厚度和视线卷积，并给非热/无效标志。</w:t>
      </w:r>
    </w:p>
    <w:p>
      <w:pPr>
        <w:widowControl/>
      </w:pPr>
      <w:r>
        <w:rPr>
          <w:rFonts w:ascii="Calibri" w:hAnsi="Calibri" w:eastAsia="Microsoft YaHei"/>
          <w:b/>
          <w:color w:val="1F4D78"/>
        </w:rPr>
        <w:t>验证与应用：</w:t>
      </w:r>
      <w:r>
        <w:rPr>
          <w:rFonts w:ascii="Calibri" w:hAnsi="Calibri" w:eastAsia="Microsoft YaHei"/>
        </w:rPr>
        <w:t>本条直接来源是 ITER ECE 诊断设计与预期性能，覆盖合成谱、射线追踪和组件评估；未提供现役装置例行运行的独立来源。</w:t>
      </w:r>
    </w:p>
    <w:p>
      <w:pPr>
        <w:widowControl/>
      </w:pPr>
      <w:r>
        <w:rPr>
          <w:rFonts w:ascii="Calibri" w:hAnsi="Calibri" w:eastAsia="Microsoft YaHei"/>
          <w:b/>
          <w:color w:val="1F4D78"/>
        </w:rPr>
        <w:t>局限与边界：</w:t>
      </w:r>
      <w:r>
        <w:rPr>
          <w:rFonts w:ascii="Calibri" w:hAnsi="Calibri" w:eastAsia="Microsoft YaHei"/>
        </w:rPr>
        <w:t>光学薄、非热电子、截止、相对论展宽和磁映射误差使亮温偏离Te。</w:t>
      </w:r>
    </w:p>
    <w:tbl>
      <w:tblPr>
        <w:tblStyle w:val="TableGrid"/>
        <w:tblW w:type="dxa" w:w="9360"/>
        <w:jc w:val="left"/>
        <w:tblLayout w:type="fixed"/>
        <w:tblLook w:firstColumn="1" w:firstRow="1" w:lastColumn="0" w:lastRow="0" w:noHBand="0" w:noVBand="1" w:val="04A0"/>
        <w:tblInd w:w="120" w:type="dxa"/>
      </w:tblPr>
      <w:tblGrid>
        <w:gridCol w:w="9360"/>
      </w:tblGrid>
      <w:tr>
        <w:trPr>
          <w:cantSplit/>
        </w:trPr>
        <w:tc>
          <w:tcPr>
            <w:tcW w:type="dxa" w:w="9360"/>
            <w:tcMar>
              <w:top w:w="80" w:type="dxa"/>
              <w:bottom w:w="80" w:type="dxa"/>
              <w:start w:w="120" w:type="dxa"/>
              <w:end w:w="120" w:type="dxa"/>
            </w:tcMar>
            <w:vAlign w:val="center"/>
            <w:shd w:fill="EEF7F7"/>
          </w:tcPr>
          <w:p>
            <w:pPr>
              <w:keepNext/>
              <w:keepLines/>
              <w:spacing w:after="40"/>
            </w:pPr>
            <w:r>
              <w:rPr>
                <w:rFonts w:ascii="Calibri" w:hAnsi="Calibri" w:eastAsia="Microsoft YaHei"/>
                <w:b/>
                <w:color w:val="008C95"/>
                <w:sz w:val="17"/>
              </w:rPr>
              <w:t>DIGITAL-TWIN RELEVANCE</w:t>
            </w:r>
          </w:p>
          <w:p>
            <w:pPr>
              <w:spacing w:after="0"/>
            </w:pPr>
            <w:r>
              <w:rPr>
                <w:rFonts w:ascii="Calibri" w:hAnsi="Calibri" w:eastAsia="Microsoft YaHei"/>
                <w:color w:val="0B2545"/>
                <w:sz w:val="20"/>
              </w:rPr>
              <w:t>提供高带宽热状态；适用性和频率—空间映射不确定度必须显式输出。</w:t>
            </w:r>
          </w:p>
        </w:tc>
      </w:tr>
    </w:tbl>
    <w:p>
      <w:pPr>
        <w:spacing w:after="40"/>
      </w:pPr>
    </w:p>
    <w:tbl>
      <w:tblPr>
        <w:tblStyle w:val="TableGrid"/>
        <w:tblW w:type="dxa" w:w="9360"/>
        <w:jc w:val="left"/>
        <w:tblLayout w:type="fixed"/>
        <w:tblLook w:firstColumn="1" w:firstRow="1" w:lastColumn="0" w:lastRow="0" w:noHBand="0" w:noVBand="1" w:val="04A0"/>
        <w:tblInd w:w="120" w:type="dxa"/>
      </w:tblPr>
      <w:tblGrid>
        <w:gridCol w:w="850"/>
        <w:gridCol w:w="2500"/>
        <w:gridCol w:w="1600"/>
        <w:gridCol w:w="2300"/>
        <w:gridCol w:w="2110"/>
      </w:tblGrid>
      <w:tr>
        <w:trPr>
          <w:tblHeader w:val="true"/>
        </w:trPr>
        <w:tc>
          <w:tcPr>
            <w:tcW w:type="dxa" w:w="8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年份/类型</w:t>
            </w:r>
          </w:p>
        </w:tc>
        <w:tc>
          <w:tcPr>
            <w:tcW w:type="dxa" w:w="25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论文或软件</w:t>
            </w:r>
          </w:p>
        </w:tc>
        <w:tc>
          <w:tcPr>
            <w:tcW w:type="dxa" w:w="16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期刊/开放性</w:t>
            </w:r>
          </w:p>
        </w:tc>
        <w:tc>
          <w:tcPr>
            <w:tcW w:type="dxa" w:w="23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来源类型/关系</w:t>
            </w:r>
          </w:p>
        </w:tc>
        <w:tc>
          <w:tcPr>
            <w:tcW w:type="dxa" w:w="211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链接</w:t>
            </w:r>
          </w:p>
        </w:tc>
      </w:tr>
      <w:tr>
        <w:trPr>
          <w:cantSplit/>
        </w:trPr>
        <w:tc>
          <w:tcPr>
            <w:tcW w:type="dxa" w:w="850"/>
          </w:tcPr>
          <w:p>
            <w:pPr>
              <w:keepLines/>
              <w:spacing w:after="0" w:line="276" w:lineRule="auto"/>
            </w:pPr>
            <w:r>
              <w:rPr>
                <w:rFonts w:ascii="Calibri" w:hAnsi="Calibri" w:eastAsia="Microsoft YaHei"/>
                <w:color w:val="0B2545"/>
                <w:sz w:val="14"/>
              </w:rPr>
              <w:t>2010</w:t>
            </w:r>
          </w:p>
        </w:tc>
        <w:tc>
          <w:tcPr>
            <w:tcW w:type="dxa" w:w="2500"/>
          </w:tcPr>
          <w:p>
            <w:pPr>
              <w:keepLines/>
              <w:spacing w:after="0" w:line="276" w:lineRule="auto"/>
            </w:pPr>
            <w:r>
              <w:rPr>
                <w:rFonts w:ascii="Calibri" w:hAnsi="Calibri" w:eastAsia="Microsoft YaHei"/>
                <w:color w:val="0B2545"/>
                <w:sz w:val="14"/>
              </w:rPr>
              <w:t>Electron cyclotron emission diagnostic for ITER</w:t>
            </w:r>
          </w:p>
        </w:tc>
        <w:tc>
          <w:tcPr>
            <w:tcW w:type="dxa" w:w="1600"/>
          </w:tcPr>
          <w:p>
            <w:pPr>
              <w:keepLines/>
              <w:spacing w:after="0" w:line="276" w:lineRule="auto"/>
            </w:pPr>
            <w:r>
              <w:rPr>
                <w:rFonts w:ascii="Calibri" w:hAnsi="Calibri" w:eastAsia="Microsoft YaHei"/>
                <w:color w:val="0B2545"/>
                <w:sz w:val="14"/>
              </w:rPr>
              <w:t>Review of Scientific Instruments</w:t>
            </w:r>
          </w:p>
        </w:tc>
        <w:tc>
          <w:tcPr>
            <w:tcW w:type="dxa" w:w="2300"/>
          </w:tcPr>
          <w:p>
            <w:pPr>
              <w:keepLines/>
              <w:spacing w:after="0" w:line="276" w:lineRule="auto"/>
            </w:pPr>
            <w:r>
              <w:rPr>
                <w:rFonts w:ascii="Calibri" w:hAnsi="Calibri" w:eastAsia="Microsoft YaHei"/>
                <w:color w:val="0B2545"/>
                <w:sz w:val="14"/>
              </w:rPr>
              <w:t>peer-reviewed-journal</w:t>
            </w:r>
          </w:p>
        </w:tc>
        <w:tc>
          <w:tcPr>
            <w:tcW w:type="dxa" w:w="2110"/>
          </w:tcPr>
          <w:p>
            <w:pPr>
              <w:keepLines/>
              <w:spacing w:after="0" w:line="276" w:lineRule="auto"/>
            </w:pPr>
            <w:hyperlink r:id="rId54">
              <w:r>
                <w:rPr>
                  <w:rFonts w:ascii="Calibri" w:hAnsi="Calibri" w:eastAsia="Microsoft YaHei"/>
                  <w:color w:val="008C95"/>
                  <w:u w:val="single"/>
                </w:rPr>
                <w:t>打开原始来源 ↗</w:t>
              </w:r>
            </w:hyperlink>
          </w:p>
        </w:tc>
      </w:tr>
      <w:tr>
        <w:trPr>
          <w:cantSplit/>
        </w:trPr>
        <w:tc>
          <w:tcPr>
            <w:tcW w:type="dxa" w:w="850"/>
          </w:tcPr>
          <w:p>
            <w:pPr>
              <w:keepLines/>
              <w:spacing w:after="0" w:line="276" w:lineRule="auto"/>
            </w:pPr>
            <w:r>
              <w:rPr>
                <w:rFonts w:ascii="Calibri" w:hAnsi="Calibri" w:eastAsia="Microsoft YaHei"/>
                <w:color w:val="0B2545"/>
                <w:sz w:val="14"/>
              </w:rPr>
              <w:t>软件</w:t>
            </w:r>
          </w:p>
        </w:tc>
        <w:tc>
          <w:tcPr>
            <w:tcW w:type="dxa" w:w="2500"/>
          </w:tcPr>
          <w:p>
            <w:pPr>
              <w:keepLines/>
              <w:spacing w:after="0" w:line="276" w:lineRule="auto"/>
            </w:pPr>
            <w:r>
              <w:rPr>
                <w:rFonts w:ascii="Calibri" w:hAnsi="Calibri" w:eastAsia="Microsoft YaHei"/>
                <w:color w:val="0B2545"/>
                <w:sz w:val="14"/>
              </w:rPr>
              <w:t>装置专有分析/标定软件</w:t>
            </w:r>
          </w:p>
        </w:tc>
        <w:tc>
          <w:tcPr>
            <w:tcW w:type="dxa" w:w="1600"/>
          </w:tcPr>
          <w:p>
            <w:pPr>
              <w:keepLines/>
              <w:spacing w:after="0" w:line="276" w:lineRule="auto"/>
            </w:pPr>
            <w:r>
              <w:rPr>
                <w:rFonts w:ascii="Calibri" w:hAnsi="Calibri" w:eastAsia="Microsoft YaHei"/>
                <w:color w:val="0B2545"/>
                <w:sz w:val="14"/>
              </w:rPr>
              <w:t>not-public</w:t>
            </w:r>
          </w:p>
        </w:tc>
        <w:tc>
          <w:tcPr>
            <w:tcW w:type="dxa" w:w="2300"/>
          </w:tcPr>
          <w:p>
            <w:pPr>
              <w:keepLines/>
              <w:spacing w:after="0" w:line="276" w:lineRule="auto"/>
            </w:pPr>
            <w:r>
              <w:rPr>
                <w:rFonts w:ascii="Calibri" w:hAnsi="Calibri" w:eastAsia="Microsoft YaHei"/>
                <w:color w:val="0B2545"/>
                <w:sz w:val="14"/>
              </w:rPr>
              <w:t>装置绝对标定库、射线追踪和实时事件算法未完整公开。</w:t>
            </w:r>
          </w:p>
        </w:tc>
        <w:tc>
          <w:tcPr>
            <w:tcW w:type="dxa" w:w="2110"/>
          </w:tcPr>
          <w:p>
            <w:pPr>
              <w:keepLines/>
              <w:spacing w:after="0" w:line="276" w:lineRule="auto"/>
            </w:pPr>
            <w:r>
              <w:rPr>
                <w:rFonts w:ascii="Calibri" w:hAnsi="Calibri" w:eastAsia="Microsoft YaHei"/>
                <w:color w:val="0B2545"/>
                <w:sz w:val="14"/>
              </w:rPr>
              <w:t>未公开</w:t>
            </w:r>
          </w:p>
        </w:tc>
      </w:tr>
    </w:tbl>
    <w:p>
      <w:pPr>
        <w:spacing w:before="0" w:after="60"/>
      </w:pPr>
    </w:p>
    <w:p>
      <w:pPr>
        <w:pStyle w:val="Heading3"/>
        <w:keepNext/>
      </w:pPr>
      <w:r>
        <w:t>DG2.05  扫频/脉冲反射计：密度剖面和实时映射</w:t>
      </w:r>
    </w:p>
    <w:p>
      <w:pPr>
        <w:keepNext/>
        <w:spacing w:after="80"/>
      </w:pPr>
      <w:r>
        <w:rPr>
          <w:rFonts w:ascii="Calibri" w:hAnsi="Calibri" w:eastAsia="Microsoft YaHei"/>
          <w:i/>
          <w:color w:val="566573"/>
          <w:sz w:val="18"/>
        </w:rPr>
        <w:t>Swept-frequency and pulsed reflectometry for density profiles</w:t>
      </w:r>
    </w:p>
    <w:tbl>
      <w:tblPr>
        <w:tblStyle w:val="TableGrid"/>
        <w:tblW w:type="dxa" w:w="9360"/>
        <w:jc w:val="left"/>
        <w:tblLayout w:type="fixed"/>
        <w:tblLook w:firstColumn="1" w:firstRow="1" w:lastColumn="0" w:lastRow="0" w:noHBand="0" w:noVBand="1" w:val="04A0"/>
        <w:tblInd w:w="120" w:type="dxa"/>
      </w:tblPr>
      <w:tblGrid>
        <w:gridCol w:w="1200"/>
        <w:gridCol w:w="750"/>
        <w:gridCol w:w="750"/>
        <w:gridCol w:w="2100"/>
        <w:gridCol w:w="4560"/>
      </w:tblGrid>
      <w:tr>
        <w:trPr>
          <w:tblHeader w:val="true"/>
        </w:trPr>
        <w:tc>
          <w:tcPr>
            <w:tcW w:type="dxa" w:w="12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工作 ID</w:t>
            </w:r>
          </w:p>
        </w:tc>
        <w:tc>
          <w:tcPr>
            <w:tcW w:type="dxa" w:w="7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证据</w:t>
            </w:r>
          </w:p>
        </w:tc>
        <w:tc>
          <w:tcPr>
            <w:tcW w:type="dxa" w:w="7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部署</w:t>
            </w:r>
          </w:p>
        </w:tc>
        <w:tc>
          <w:tcPr>
            <w:tcW w:type="dxa" w:w="21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技术族</w:t>
            </w:r>
          </w:p>
        </w:tc>
        <w:tc>
          <w:tcPr>
            <w:tcW w:type="dxa" w:w="456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装置</w:t>
            </w:r>
          </w:p>
        </w:tc>
      </w:tr>
      <w:tr>
        <w:trPr>
          <w:cantSplit/>
        </w:trPr>
        <w:tc>
          <w:tcPr>
            <w:tcW w:type="dxa" w:w="1200"/>
          </w:tcPr>
          <w:p>
            <w:pPr>
              <w:keepLines/>
              <w:spacing w:after="0" w:line="276" w:lineRule="auto"/>
            </w:pPr>
            <w:r>
              <w:rPr>
                <w:rFonts w:ascii="Calibri" w:hAnsi="Calibri" w:eastAsia="Microsoft YaHei"/>
                <w:color w:val="0B2545"/>
                <w:sz w:val="15"/>
              </w:rPr>
              <w:t>DG2-010</w:t>
            </w:r>
          </w:p>
        </w:tc>
        <w:tc>
          <w:tcPr>
            <w:tcW w:type="dxa" w:w="750"/>
          </w:tcPr>
          <w:p>
            <w:pPr>
              <w:keepLines/>
              <w:spacing w:after="0" w:line="276" w:lineRule="auto"/>
            </w:pPr>
            <w:r>
              <w:rPr>
                <w:rFonts w:ascii="Calibri" w:hAnsi="Calibri" w:eastAsia="Microsoft YaHei"/>
                <w:color w:val="0B2545"/>
                <w:sz w:val="15"/>
              </w:rPr>
              <w:t>E3</w:t>
            </w:r>
          </w:p>
        </w:tc>
        <w:tc>
          <w:tcPr>
            <w:tcW w:type="dxa" w:w="750"/>
          </w:tcPr>
          <w:p>
            <w:pPr>
              <w:keepLines/>
              <w:spacing w:after="0" w:line="276" w:lineRule="auto"/>
            </w:pPr>
            <w:r>
              <w:rPr>
                <w:rFonts w:ascii="Calibri" w:hAnsi="Calibri" w:eastAsia="Microsoft YaHei"/>
                <w:color w:val="0B2545"/>
                <w:sz w:val="15"/>
              </w:rPr>
              <w:t>D3</w:t>
            </w:r>
          </w:p>
        </w:tc>
        <w:tc>
          <w:tcPr>
            <w:tcW w:type="dxa" w:w="2100"/>
          </w:tcPr>
          <w:p>
            <w:pPr>
              <w:keepLines/>
              <w:spacing w:after="0" w:line="276" w:lineRule="auto"/>
            </w:pPr>
            <w:r>
              <w:rPr>
                <w:rFonts w:ascii="Calibri" w:hAnsi="Calibri" w:eastAsia="Microsoft YaHei"/>
                <w:color w:val="0B2545"/>
                <w:sz w:val="15"/>
              </w:rPr>
              <w:t>MICROWAVE</w:t>
            </w:r>
          </w:p>
        </w:tc>
        <w:tc>
          <w:tcPr>
            <w:tcW w:type="dxa" w:w="4560"/>
          </w:tcPr>
          <w:p>
            <w:pPr>
              <w:keepLines/>
              <w:spacing w:after="0" w:line="276" w:lineRule="auto"/>
            </w:pPr>
            <w:r>
              <w:rPr>
                <w:rFonts w:ascii="Calibri" w:hAnsi="Calibri" w:eastAsia="Microsoft YaHei"/>
                <w:color w:val="0B2545"/>
                <w:sz w:val="15"/>
              </w:rPr>
              <w:t>SPARC；MAST Upgrade；WEST；EAST</w:t>
            </w:r>
          </w:p>
        </w:tc>
      </w:tr>
    </w:tbl>
    <w:p>
      <w:pPr>
        <w:spacing w:before="0" w:after="60"/>
      </w:pPr>
    </w:p>
    <w:p>
      <w:pPr>
        <w:widowControl/>
      </w:pPr>
      <w:r>
        <w:rPr>
          <w:rFonts w:ascii="Calibri" w:hAnsi="Calibri" w:eastAsia="Microsoft YaHei"/>
          <w:b/>
          <w:color w:val="1F4D78"/>
        </w:rPr>
        <w:t>解决问题：</w:t>
      </w:r>
      <w:r>
        <w:rPr>
          <w:rFonts w:ascii="Calibri" w:hAnsi="Calibri" w:eastAsia="Microsoft YaHei"/>
        </w:rPr>
        <w:t>非侵入重建边缘至核心密度剖面，并连续监测长脉冲边界变化。</w:t>
      </w:r>
    </w:p>
    <w:p>
      <w:pPr>
        <w:widowControl/>
      </w:pPr>
      <w:r>
        <w:rPr>
          <w:rFonts w:ascii="Calibri" w:hAnsi="Calibri" w:eastAsia="Microsoft YaHei"/>
          <w:b/>
          <w:color w:val="1F4D78"/>
        </w:rPr>
        <w:t>测量原理：</w:t>
      </w:r>
      <w:r>
        <w:rPr>
          <w:rFonts w:ascii="Calibri" w:hAnsi="Calibri" w:eastAsia="Microsoft YaHei"/>
        </w:rPr>
        <w:t>微波在等离子体截止层反射；相位或群时延随频率变化编码截止层位置。</w:t>
      </w:r>
    </w:p>
    <w:p>
      <w:pPr>
        <w:widowControl/>
      </w:pPr>
      <w:r>
        <w:rPr>
          <w:rFonts w:ascii="Calibri" w:hAnsi="Calibri" w:eastAsia="Microsoft YaHei"/>
          <w:b/>
          <w:color w:val="1F4D78"/>
        </w:rPr>
        <w:t>测量产品：</w:t>
      </w:r>
      <w:r>
        <w:rPr>
          <w:rFonts w:ascii="Calibri" w:hAnsi="Calibri" w:eastAsia="Microsoft YaHei"/>
        </w:rPr>
        <w:t>electron-density profile；cutoff position；edge gradient</w:t>
      </w:r>
    </w:p>
    <w:p>
      <w:pPr>
        <w:widowControl/>
      </w:pPr>
      <w:r>
        <w:rPr>
          <w:rFonts w:ascii="Calibri" w:hAnsi="Calibri" w:eastAsia="Microsoft YaHei"/>
          <w:b/>
          <w:color w:val="1F4D78"/>
        </w:rPr>
        <w:t>时空分辨与覆盖：</w:t>
      </w:r>
      <w:r>
        <w:rPr>
          <w:rFonts w:ascii="Calibri" w:hAnsi="Calibri" w:eastAsia="Microsoft YaHei"/>
        </w:rPr>
        <w:t>时间：因装置、采集和分析链而异；原始来源未给出统一数值。；空间：由视线、几何和反演设定；原始来源未给出统一数值。</w:t>
      </w:r>
    </w:p>
    <w:p>
      <w:pPr>
        <w:widowControl/>
      </w:pPr>
      <w:r>
        <w:rPr>
          <w:rFonts w:ascii="Calibri" w:hAnsi="Calibri" w:eastAsia="Microsoft YaHei"/>
          <w:b/>
          <w:color w:val="1F4D78"/>
        </w:rPr>
        <w:t>仪器与传感器：</w:t>
      </w:r>
      <w:r>
        <w:rPr>
          <w:rFonts w:ascii="Calibri" w:hAnsi="Calibri" w:eastAsia="Microsoft YaHei"/>
        </w:rPr>
        <w:t>swept-frequency source；O/X antennas；heterodyne receiver；fast digitizer</w:t>
      </w:r>
    </w:p>
    <w:p>
      <w:pPr>
        <w:widowControl/>
      </w:pPr>
      <w:r>
        <w:rPr>
          <w:rFonts w:ascii="Calibri" w:hAnsi="Calibri" w:eastAsia="Microsoft YaHei"/>
          <w:b/>
          <w:color w:val="1F4D78"/>
        </w:rPr>
        <w:t>标定与质量：</w:t>
      </w:r>
      <w:r>
        <w:rPr>
          <w:rFonts w:ascii="Calibri" w:hAnsi="Calibri" w:eastAsia="Microsoft YaHei"/>
        </w:rPr>
        <w:t>标定真空延迟、波导色散和系统相位；用已知反射面并与TS/干涉仪比较。</w:t>
      </w:r>
    </w:p>
    <w:p>
      <w:pPr>
        <w:widowControl/>
      </w:pPr>
      <w:r>
        <w:rPr>
          <w:rFonts w:ascii="Calibri" w:hAnsi="Calibri" w:eastAsia="Microsoft YaHei"/>
          <w:b/>
          <w:color w:val="1F4D78"/>
        </w:rPr>
        <w:t>反演与分析：</w:t>
      </w:r>
      <w:r>
        <w:rPr>
          <w:rFonts w:ascii="Calibri" w:hAnsi="Calibri" w:eastAsia="Microsoft YaHei"/>
        </w:rPr>
        <w:t>相位解缠、群时延积分或全波反演；实时采用预计算表或受约束剖面拟合。</w:t>
      </w:r>
    </w:p>
    <w:p>
      <w:pPr>
        <w:widowControl/>
      </w:pPr>
      <w:r>
        <w:rPr>
          <w:rFonts w:ascii="Calibri" w:hAnsi="Calibri" w:eastAsia="Microsoft YaHei"/>
          <w:b/>
          <w:color w:val="1F4D78"/>
        </w:rPr>
        <w:t>验证与应用：</w:t>
      </w:r>
      <w:r>
        <w:rPr>
          <w:rFonts w:ascii="Calibri" w:hAnsi="Calibri" w:eastAsia="Microsoft YaHei"/>
        </w:rPr>
        <w:t>SPARC/MAST-U用合成诊断和硬件设计；WEST报告实时装置数据与其他密度诊断比对。</w:t>
      </w:r>
    </w:p>
    <w:p>
      <w:pPr>
        <w:widowControl/>
      </w:pPr>
      <w:r>
        <w:rPr>
          <w:rFonts w:ascii="Calibri" w:hAnsi="Calibri" w:eastAsia="Microsoft YaHei"/>
          <w:b/>
          <w:color w:val="1F4D78"/>
        </w:rPr>
        <w:t>局限与边界：</w:t>
      </w:r>
      <w:r>
        <w:rPr>
          <w:rFonts w:ascii="Calibri" w:hAnsi="Calibri" w:eastAsia="Microsoft YaHei"/>
        </w:rPr>
        <w:t>多路径、湍流散射、密度空腔和相位跳变使反演非唯一。</w:t>
      </w:r>
    </w:p>
    <w:tbl>
      <w:tblPr>
        <w:tblStyle w:val="TableGrid"/>
        <w:tblW w:type="dxa" w:w="9360"/>
        <w:jc w:val="left"/>
        <w:tblLayout w:type="fixed"/>
        <w:tblLook w:firstColumn="1" w:firstRow="1" w:lastColumn="0" w:lastRow="0" w:noHBand="0" w:noVBand="1" w:val="04A0"/>
        <w:tblInd w:w="120" w:type="dxa"/>
      </w:tblPr>
      <w:tblGrid>
        <w:gridCol w:w="9360"/>
      </w:tblGrid>
      <w:tr>
        <w:trPr>
          <w:cantSplit/>
        </w:trPr>
        <w:tc>
          <w:tcPr>
            <w:tcW w:type="dxa" w:w="9360"/>
            <w:tcMar>
              <w:top w:w="80" w:type="dxa"/>
              <w:bottom w:w="80" w:type="dxa"/>
              <w:start w:w="120" w:type="dxa"/>
              <w:end w:w="120" w:type="dxa"/>
            </w:tcMar>
            <w:vAlign w:val="center"/>
            <w:shd w:fill="EEF7F7"/>
          </w:tcPr>
          <w:p>
            <w:pPr>
              <w:keepNext/>
              <w:keepLines/>
              <w:spacing w:after="40"/>
            </w:pPr>
            <w:r>
              <w:rPr>
                <w:rFonts w:ascii="Calibri" w:hAnsi="Calibri" w:eastAsia="Microsoft YaHei"/>
                <w:b/>
                <w:color w:val="008C95"/>
                <w:sz w:val="17"/>
              </w:rPr>
              <w:t>DIGITAL-TWIN RELEVANCE</w:t>
            </w:r>
          </w:p>
          <w:p>
            <w:pPr>
              <w:spacing w:after="0"/>
            </w:pPr>
            <w:r>
              <w:rPr>
                <w:rFonts w:ascii="Calibri" w:hAnsi="Calibri" w:eastAsia="Microsoft YaHei"/>
                <w:color w:val="0B2545"/>
                <w:sz w:val="20"/>
              </w:rPr>
              <w:t>边缘孪生连续观测；应保存复信号、解缠路径和前向模型版本。</w:t>
            </w:r>
          </w:p>
        </w:tc>
      </w:tr>
    </w:tbl>
    <w:p>
      <w:pPr>
        <w:spacing w:after="40"/>
      </w:pPr>
    </w:p>
    <w:tbl>
      <w:tblPr>
        <w:tblStyle w:val="TableGrid"/>
        <w:tblW w:type="dxa" w:w="9360"/>
        <w:jc w:val="left"/>
        <w:tblLayout w:type="fixed"/>
        <w:tblLook w:firstColumn="1" w:firstRow="1" w:lastColumn="0" w:lastRow="0" w:noHBand="0" w:noVBand="1" w:val="04A0"/>
        <w:tblInd w:w="120" w:type="dxa"/>
      </w:tblPr>
      <w:tblGrid>
        <w:gridCol w:w="850"/>
        <w:gridCol w:w="2500"/>
        <w:gridCol w:w="1600"/>
        <w:gridCol w:w="2300"/>
        <w:gridCol w:w="2110"/>
      </w:tblGrid>
      <w:tr>
        <w:trPr>
          <w:tblHeader w:val="true"/>
        </w:trPr>
        <w:tc>
          <w:tcPr>
            <w:tcW w:type="dxa" w:w="8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年份/类型</w:t>
            </w:r>
          </w:p>
        </w:tc>
        <w:tc>
          <w:tcPr>
            <w:tcW w:type="dxa" w:w="25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论文或软件</w:t>
            </w:r>
          </w:p>
        </w:tc>
        <w:tc>
          <w:tcPr>
            <w:tcW w:type="dxa" w:w="16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期刊/开放性</w:t>
            </w:r>
          </w:p>
        </w:tc>
        <w:tc>
          <w:tcPr>
            <w:tcW w:type="dxa" w:w="23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来源类型/关系</w:t>
            </w:r>
          </w:p>
        </w:tc>
        <w:tc>
          <w:tcPr>
            <w:tcW w:type="dxa" w:w="211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链接</w:t>
            </w:r>
          </w:p>
        </w:tc>
      </w:tr>
      <w:tr>
        <w:trPr>
          <w:cantSplit/>
        </w:trPr>
        <w:tc>
          <w:tcPr>
            <w:tcW w:type="dxa" w:w="850"/>
          </w:tcPr>
          <w:p>
            <w:pPr>
              <w:keepLines/>
              <w:spacing w:after="0" w:line="276" w:lineRule="auto"/>
            </w:pPr>
            <w:r>
              <w:rPr>
                <w:rFonts w:ascii="Calibri" w:hAnsi="Calibri" w:eastAsia="Microsoft YaHei"/>
                <w:color w:val="0B2545"/>
                <w:sz w:val="14"/>
              </w:rPr>
              <w:t>2024</w:t>
            </w:r>
          </w:p>
        </w:tc>
        <w:tc>
          <w:tcPr>
            <w:tcW w:type="dxa" w:w="2500"/>
          </w:tcPr>
          <w:p>
            <w:pPr>
              <w:keepLines/>
              <w:spacing w:after="0" w:line="276" w:lineRule="auto"/>
            </w:pPr>
            <w:r>
              <w:rPr>
                <w:rFonts w:ascii="Calibri" w:hAnsi="Calibri" w:eastAsia="Microsoft YaHei"/>
                <w:color w:val="0B2545"/>
                <w:sz w:val="14"/>
              </w:rPr>
              <w:t>Edge scanning reflectometry for density profile measurement on the SPARC tokamak</w:t>
            </w:r>
          </w:p>
        </w:tc>
        <w:tc>
          <w:tcPr>
            <w:tcW w:type="dxa" w:w="1600"/>
          </w:tcPr>
          <w:p>
            <w:pPr>
              <w:keepLines/>
              <w:spacing w:after="0" w:line="276" w:lineRule="auto"/>
            </w:pPr>
            <w:r>
              <w:rPr>
                <w:rFonts w:ascii="Calibri" w:hAnsi="Calibri" w:eastAsia="Microsoft YaHei"/>
                <w:color w:val="0B2545"/>
                <w:sz w:val="14"/>
              </w:rPr>
              <w:t>Review of Scientific Instruments</w:t>
            </w:r>
          </w:p>
        </w:tc>
        <w:tc>
          <w:tcPr>
            <w:tcW w:type="dxa" w:w="2300"/>
          </w:tcPr>
          <w:p>
            <w:pPr>
              <w:keepLines/>
              <w:spacing w:after="0" w:line="276" w:lineRule="auto"/>
            </w:pPr>
            <w:r>
              <w:rPr>
                <w:rFonts w:ascii="Calibri" w:hAnsi="Calibri" w:eastAsia="Microsoft YaHei"/>
                <w:color w:val="0B2545"/>
                <w:sz w:val="14"/>
              </w:rPr>
              <w:t>peer-reviewed-journal</w:t>
            </w:r>
          </w:p>
        </w:tc>
        <w:tc>
          <w:tcPr>
            <w:tcW w:type="dxa" w:w="2110"/>
          </w:tcPr>
          <w:p>
            <w:pPr>
              <w:keepLines/>
              <w:spacing w:after="0" w:line="276" w:lineRule="auto"/>
            </w:pPr>
            <w:hyperlink r:id="rId55">
              <w:r>
                <w:rPr>
                  <w:rFonts w:ascii="Calibri" w:hAnsi="Calibri" w:eastAsia="Microsoft YaHei"/>
                  <w:color w:val="008C95"/>
                  <w:u w:val="single"/>
                </w:rPr>
                <w:t>打开原始来源 ↗</w:t>
              </w:r>
            </w:hyperlink>
          </w:p>
        </w:tc>
      </w:tr>
      <w:tr>
        <w:trPr>
          <w:cantSplit/>
        </w:trPr>
        <w:tc>
          <w:tcPr>
            <w:tcW w:type="dxa" w:w="850"/>
          </w:tcPr>
          <w:p>
            <w:pPr>
              <w:keepLines/>
              <w:spacing w:after="0" w:line="276" w:lineRule="auto"/>
            </w:pPr>
            <w:r>
              <w:rPr>
                <w:rFonts w:ascii="Calibri" w:hAnsi="Calibri" w:eastAsia="Microsoft YaHei"/>
                <w:color w:val="0B2545"/>
                <w:sz w:val="14"/>
              </w:rPr>
              <w:t>2024</w:t>
            </w:r>
          </w:p>
        </w:tc>
        <w:tc>
          <w:tcPr>
            <w:tcW w:type="dxa" w:w="2500"/>
          </w:tcPr>
          <w:p>
            <w:pPr>
              <w:keepLines/>
              <w:spacing w:after="0" w:line="276" w:lineRule="auto"/>
            </w:pPr>
            <w:r>
              <w:rPr>
                <w:rFonts w:ascii="Calibri" w:hAnsi="Calibri" w:eastAsia="Microsoft YaHei"/>
                <w:color w:val="0B2545"/>
                <w:sz w:val="14"/>
              </w:rPr>
              <w:t>Design of a low frequency, density profile reflectometer system for the MAST-U spherical tokamak</w:t>
            </w:r>
          </w:p>
        </w:tc>
        <w:tc>
          <w:tcPr>
            <w:tcW w:type="dxa" w:w="1600"/>
          </w:tcPr>
          <w:p>
            <w:pPr>
              <w:keepLines/>
              <w:spacing w:after="0" w:line="276" w:lineRule="auto"/>
            </w:pPr>
            <w:r>
              <w:rPr>
                <w:rFonts w:ascii="Calibri" w:hAnsi="Calibri" w:eastAsia="Microsoft YaHei"/>
                <w:color w:val="0B2545"/>
                <w:sz w:val="14"/>
              </w:rPr>
              <w:t>Review of Scientific Instruments</w:t>
            </w:r>
          </w:p>
        </w:tc>
        <w:tc>
          <w:tcPr>
            <w:tcW w:type="dxa" w:w="2300"/>
          </w:tcPr>
          <w:p>
            <w:pPr>
              <w:keepLines/>
              <w:spacing w:after="0" w:line="276" w:lineRule="auto"/>
            </w:pPr>
            <w:r>
              <w:rPr>
                <w:rFonts w:ascii="Calibri" w:hAnsi="Calibri" w:eastAsia="Microsoft YaHei"/>
                <w:color w:val="0B2545"/>
                <w:sz w:val="14"/>
              </w:rPr>
              <w:t>peer-reviewed-journal</w:t>
            </w:r>
          </w:p>
        </w:tc>
        <w:tc>
          <w:tcPr>
            <w:tcW w:type="dxa" w:w="2110"/>
          </w:tcPr>
          <w:p>
            <w:pPr>
              <w:keepLines/>
              <w:spacing w:after="0" w:line="276" w:lineRule="auto"/>
            </w:pPr>
            <w:hyperlink r:id="rId56">
              <w:r>
                <w:rPr>
                  <w:rFonts w:ascii="Calibri" w:hAnsi="Calibri" w:eastAsia="Microsoft YaHei"/>
                  <w:color w:val="008C95"/>
                  <w:u w:val="single"/>
                </w:rPr>
                <w:t>打开原始来源 ↗</w:t>
              </w:r>
            </w:hyperlink>
          </w:p>
        </w:tc>
      </w:tr>
      <w:tr>
        <w:trPr>
          <w:cantSplit/>
        </w:trPr>
        <w:tc>
          <w:tcPr>
            <w:tcW w:type="dxa" w:w="850"/>
          </w:tcPr>
          <w:p>
            <w:pPr>
              <w:keepLines/>
              <w:spacing w:after="0" w:line="276" w:lineRule="auto"/>
            </w:pPr>
            <w:r>
              <w:rPr>
                <w:rFonts w:ascii="Calibri" w:hAnsi="Calibri" w:eastAsia="Microsoft YaHei"/>
                <w:color w:val="0B2545"/>
                <w:sz w:val="14"/>
              </w:rPr>
              <w:t>2025</w:t>
            </w:r>
          </w:p>
        </w:tc>
        <w:tc>
          <w:tcPr>
            <w:tcW w:type="dxa" w:w="2500"/>
          </w:tcPr>
          <w:p>
            <w:pPr>
              <w:keepLines/>
              <w:spacing w:after="0" w:line="276" w:lineRule="auto"/>
            </w:pPr>
            <w:r>
              <w:rPr>
                <w:rFonts w:ascii="Calibri" w:hAnsi="Calibri" w:eastAsia="Microsoft YaHei"/>
                <w:color w:val="0B2545"/>
                <w:sz w:val="14"/>
              </w:rPr>
              <w:t>Implementation of real-time reflectometry for electronic density profile reconstruction on the WEST tokamak</w:t>
            </w:r>
          </w:p>
        </w:tc>
        <w:tc>
          <w:tcPr>
            <w:tcW w:type="dxa" w:w="1600"/>
          </w:tcPr>
          <w:p>
            <w:pPr>
              <w:keepLines/>
              <w:spacing w:after="0" w:line="276" w:lineRule="auto"/>
            </w:pPr>
            <w:r>
              <w:rPr>
                <w:rFonts w:ascii="Calibri" w:hAnsi="Calibri" w:eastAsia="Microsoft YaHei"/>
                <w:color w:val="0B2545"/>
                <w:sz w:val="14"/>
              </w:rPr>
              <w:t>Plasma Physics and Controlled Fusion</w:t>
            </w:r>
          </w:p>
        </w:tc>
        <w:tc>
          <w:tcPr>
            <w:tcW w:type="dxa" w:w="2300"/>
          </w:tcPr>
          <w:p>
            <w:pPr>
              <w:keepLines/>
              <w:spacing w:after="0" w:line="276" w:lineRule="auto"/>
            </w:pPr>
            <w:r>
              <w:rPr>
                <w:rFonts w:ascii="Calibri" w:hAnsi="Calibri" w:eastAsia="Microsoft YaHei"/>
                <w:color w:val="0B2545"/>
                <w:sz w:val="14"/>
              </w:rPr>
              <w:t>peer-reviewed-journal</w:t>
            </w:r>
          </w:p>
        </w:tc>
        <w:tc>
          <w:tcPr>
            <w:tcW w:type="dxa" w:w="2110"/>
          </w:tcPr>
          <w:p>
            <w:pPr>
              <w:keepLines/>
              <w:spacing w:after="0" w:line="276" w:lineRule="auto"/>
            </w:pPr>
            <w:hyperlink r:id="rId57">
              <w:r>
                <w:rPr>
                  <w:rFonts w:ascii="Calibri" w:hAnsi="Calibri" w:eastAsia="Microsoft YaHei"/>
                  <w:color w:val="008C95"/>
                  <w:u w:val="single"/>
                </w:rPr>
                <w:t>打开原始来源 ↗</w:t>
              </w:r>
            </w:hyperlink>
          </w:p>
        </w:tc>
      </w:tr>
      <w:tr>
        <w:trPr>
          <w:cantSplit/>
        </w:trPr>
        <w:tc>
          <w:tcPr>
            <w:tcW w:type="dxa" w:w="850"/>
          </w:tcPr>
          <w:p>
            <w:pPr>
              <w:keepLines/>
              <w:spacing w:after="0" w:line="276" w:lineRule="auto"/>
            </w:pPr>
            <w:r>
              <w:rPr>
                <w:rFonts w:ascii="Calibri" w:hAnsi="Calibri" w:eastAsia="Microsoft YaHei"/>
                <w:color w:val="0B2545"/>
                <w:sz w:val="14"/>
              </w:rPr>
              <w:t>软件</w:t>
            </w:r>
          </w:p>
        </w:tc>
        <w:tc>
          <w:tcPr>
            <w:tcW w:type="dxa" w:w="2500"/>
          </w:tcPr>
          <w:p>
            <w:pPr>
              <w:keepLines/>
              <w:spacing w:after="0" w:line="276" w:lineRule="auto"/>
            </w:pPr>
            <w:r>
              <w:rPr>
                <w:rFonts w:ascii="Calibri" w:hAnsi="Calibri" w:eastAsia="Microsoft YaHei"/>
                <w:color w:val="0B2545"/>
                <w:sz w:val="14"/>
              </w:rPr>
              <w:t>装置专有分析/标定软件</w:t>
            </w:r>
          </w:p>
        </w:tc>
        <w:tc>
          <w:tcPr>
            <w:tcW w:type="dxa" w:w="1600"/>
          </w:tcPr>
          <w:p>
            <w:pPr>
              <w:keepLines/>
              <w:spacing w:after="0" w:line="276" w:lineRule="auto"/>
            </w:pPr>
            <w:r>
              <w:rPr>
                <w:rFonts w:ascii="Calibri" w:hAnsi="Calibri" w:eastAsia="Microsoft YaHei"/>
                <w:color w:val="0B2545"/>
                <w:sz w:val="14"/>
              </w:rPr>
              <w:t>not-public</w:t>
            </w:r>
          </w:p>
        </w:tc>
        <w:tc>
          <w:tcPr>
            <w:tcW w:type="dxa" w:w="2300"/>
          </w:tcPr>
          <w:p>
            <w:pPr>
              <w:keepLines/>
              <w:spacing w:after="0" w:line="276" w:lineRule="auto"/>
            </w:pPr>
            <w:r>
              <w:rPr>
                <w:rFonts w:ascii="Calibri" w:hAnsi="Calibri" w:eastAsia="Microsoft YaHei"/>
                <w:color w:val="0B2545"/>
                <w:sz w:val="14"/>
              </w:rPr>
              <w:t>装置实时反演服务未作为可部署仓库发布。</w:t>
            </w:r>
          </w:p>
        </w:tc>
        <w:tc>
          <w:tcPr>
            <w:tcW w:type="dxa" w:w="2110"/>
          </w:tcPr>
          <w:p>
            <w:pPr>
              <w:keepLines/>
              <w:spacing w:after="0" w:line="276" w:lineRule="auto"/>
            </w:pPr>
            <w:r>
              <w:rPr>
                <w:rFonts w:ascii="Calibri" w:hAnsi="Calibri" w:eastAsia="Microsoft YaHei"/>
                <w:color w:val="0B2545"/>
                <w:sz w:val="14"/>
              </w:rPr>
              <w:t>未公开</w:t>
            </w:r>
          </w:p>
        </w:tc>
      </w:tr>
    </w:tbl>
    <w:p>
      <w:pPr>
        <w:spacing w:before="0" w:after="60"/>
      </w:pPr>
    </w:p>
    <w:p>
      <w:pPr>
        <w:pStyle w:val="Heading2"/>
      </w:pPr>
      <w:r>
        <w:t>关联工作速查</w:t>
      </w:r>
    </w:p>
    <w:tbl>
      <w:tblPr>
        <w:tblStyle w:val="TableGrid"/>
        <w:tblW w:type="dxa" w:w="9360"/>
        <w:jc w:val="left"/>
        <w:tblLayout w:type="fixed"/>
        <w:tblLook w:firstColumn="1" w:firstRow="1" w:lastColumn="0" w:lastRow="0" w:noHBand="0" w:noVBand="1" w:val="04A0"/>
        <w:tblInd w:w="120" w:type="dxa"/>
      </w:tblPr>
      <w:tblGrid>
        <w:gridCol w:w="1000"/>
        <w:gridCol w:w="900"/>
        <w:gridCol w:w="3760"/>
        <w:gridCol w:w="800"/>
        <w:gridCol w:w="2900"/>
      </w:tblGrid>
      <w:tr>
        <w:trPr>
          <w:tblHeader w:val="true"/>
        </w:trPr>
        <w:tc>
          <w:tcPr>
            <w:tcW w:type="dxa" w:w="1000"/>
            <w:tcMar>
              <w:top w:w="55" w:type="dxa"/>
              <w:bottom w:w="55" w:type="dxa"/>
              <w:start w:w="100" w:type="dxa"/>
              <w:end w:w="100" w:type="dxa"/>
            </w:tcMar>
            <w:vAlign w:val="center"/>
            <w:shd w:fill="E8EEF5"/>
          </w:tcPr>
          <w:p>
            <w:pPr>
              <w:keepNext/>
              <w:spacing w:after="0"/>
              <w:jc w:val="center"/>
            </w:pPr>
            <w:r>
              <w:rPr>
                <w:rFonts w:ascii="Calibri" w:hAnsi="Calibri" w:eastAsia="Microsoft YaHei"/>
                <w:b/>
                <w:color w:val="0B2545"/>
                <w:sz w:val="14"/>
              </w:rPr>
              <w:t>ID</w:t>
            </w:r>
          </w:p>
        </w:tc>
        <w:tc>
          <w:tcPr>
            <w:tcW w:type="dxa" w:w="900"/>
            <w:tcMar>
              <w:top w:w="55" w:type="dxa"/>
              <w:bottom w:w="55" w:type="dxa"/>
              <w:start w:w="100" w:type="dxa"/>
              <w:end w:w="100" w:type="dxa"/>
            </w:tcMar>
            <w:vAlign w:val="center"/>
            <w:shd w:fill="E8EEF5"/>
          </w:tcPr>
          <w:p>
            <w:pPr>
              <w:keepNext/>
              <w:spacing w:after="0"/>
              <w:jc w:val="center"/>
            </w:pPr>
            <w:r>
              <w:rPr>
                <w:rFonts w:ascii="Calibri" w:hAnsi="Calibri" w:eastAsia="Microsoft YaHei"/>
                <w:b/>
                <w:color w:val="0B2545"/>
                <w:sz w:val="14"/>
              </w:rPr>
              <w:t>主任务</w:t>
            </w:r>
          </w:p>
        </w:tc>
        <w:tc>
          <w:tcPr>
            <w:tcW w:type="dxa" w:w="3760"/>
            <w:tcMar>
              <w:top w:w="55" w:type="dxa"/>
              <w:bottom w:w="55" w:type="dxa"/>
              <w:start w:w="100" w:type="dxa"/>
              <w:end w:w="100" w:type="dxa"/>
            </w:tcMar>
            <w:vAlign w:val="center"/>
            <w:shd w:fill="E8EEF5"/>
          </w:tcPr>
          <w:p>
            <w:pPr>
              <w:keepNext/>
              <w:spacing w:after="0"/>
              <w:jc w:val="center"/>
            </w:pPr>
            <w:r>
              <w:rPr>
                <w:rFonts w:ascii="Calibri" w:hAnsi="Calibri" w:eastAsia="Microsoft YaHei"/>
                <w:b/>
                <w:color w:val="0B2545"/>
                <w:sz w:val="14"/>
              </w:rPr>
              <w:t>标题</w:t>
            </w:r>
          </w:p>
        </w:tc>
        <w:tc>
          <w:tcPr>
            <w:tcW w:type="dxa" w:w="800"/>
            <w:tcMar>
              <w:top w:w="55" w:type="dxa"/>
              <w:bottom w:w="55" w:type="dxa"/>
              <w:start w:w="100" w:type="dxa"/>
              <w:end w:w="100" w:type="dxa"/>
            </w:tcMar>
            <w:vAlign w:val="center"/>
            <w:shd w:fill="E8EEF5"/>
          </w:tcPr>
          <w:p>
            <w:pPr>
              <w:keepNext/>
              <w:spacing w:after="0"/>
              <w:jc w:val="center"/>
            </w:pPr>
            <w:r>
              <w:rPr>
                <w:rFonts w:ascii="Calibri" w:hAnsi="Calibri" w:eastAsia="Microsoft YaHei"/>
                <w:b/>
                <w:color w:val="0B2545"/>
                <w:sz w:val="14"/>
              </w:rPr>
              <w:t>证据</w:t>
            </w:r>
          </w:p>
        </w:tc>
        <w:tc>
          <w:tcPr>
            <w:tcW w:type="dxa" w:w="2900"/>
            <w:tcMar>
              <w:top w:w="55" w:type="dxa"/>
              <w:bottom w:w="55" w:type="dxa"/>
              <w:start w:w="100" w:type="dxa"/>
              <w:end w:w="100" w:type="dxa"/>
            </w:tcMar>
            <w:vAlign w:val="center"/>
            <w:shd w:fill="E8EEF5"/>
          </w:tcPr>
          <w:p>
            <w:pPr>
              <w:keepNext/>
              <w:spacing w:after="0"/>
              <w:jc w:val="center"/>
            </w:pPr>
            <w:r>
              <w:rPr>
                <w:rFonts w:ascii="Calibri" w:hAnsi="Calibri" w:eastAsia="Microsoft YaHei"/>
                <w:b/>
                <w:color w:val="0B2545"/>
                <w:sz w:val="14"/>
              </w:rPr>
              <w:t>装置</w:t>
            </w:r>
          </w:p>
        </w:tc>
      </w:tr>
      <w:tr>
        <w:trPr>
          <w:cantSplit/>
        </w:trPr>
        <w:tc>
          <w:tcPr>
            <w:tcW w:type="dxa" w:w="1000"/>
            <w:tcMar>
              <w:top w:w="45" w:type="dxa"/>
              <w:bottom w:w="45" w:type="dxa"/>
              <w:start w:w="100" w:type="dxa"/>
              <w:end w:w="100" w:type="dxa"/>
            </w:tcMar>
          </w:tcPr>
          <w:p>
            <w:pPr>
              <w:keepLines/>
              <w:spacing w:after="0" w:line="252" w:lineRule="auto"/>
            </w:pPr>
            <w:r>
              <w:rPr>
                <w:rFonts w:ascii="Calibri" w:hAnsi="Calibri" w:eastAsia="Microsoft YaHei"/>
                <w:color w:val="0B2545"/>
                <w:sz w:val="14"/>
              </w:rPr>
              <w:t>DSI-001</w:t>
            </w:r>
          </w:p>
        </w:tc>
        <w:tc>
          <w:tcPr>
            <w:tcW w:type="dxa" w:w="900"/>
            <w:tcMar>
              <w:top w:w="45" w:type="dxa"/>
              <w:bottom w:w="45" w:type="dxa"/>
              <w:start w:w="100" w:type="dxa"/>
              <w:end w:w="100" w:type="dxa"/>
            </w:tcMar>
          </w:tcPr>
          <w:p>
            <w:pPr>
              <w:keepLines/>
              <w:spacing w:after="0" w:line="252" w:lineRule="auto"/>
            </w:pPr>
            <w:r>
              <w:rPr>
                <w:rFonts w:ascii="Calibri" w:hAnsi="Calibri" w:eastAsia="Microsoft YaHei"/>
                <w:color w:val="0B2545"/>
                <w:sz w:val="14"/>
              </w:rPr>
              <w:t>DG0</w:t>
            </w:r>
          </w:p>
        </w:tc>
        <w:tc>
          <w:tcPr>
            <w:tcW w:type="dxa" w:w="3760"/>
            <w:tcMar>
              <w:top w:w="45" w:type="dxa"/>
              <w:bottom w:w="45" w:type="dxa"/>
              <w:start w:w="100" w:type="dxa"/>
              <w:end w:w="100" w:type="dxa"/>
            </w:tcMar>
          </w:tcPr>
          <w:p>
            <w:pPr>
              <w:keepLines/>
              <w:spacing w:after="0" w:line="252" w:lineRule="auto"/>
            </w:pPr>
            <w:r>
              <w:rPr>
                <w:rFonts w:ascii="Calibri" w:hAnsi="Calibri" w:eastAsia="Microsoft YaHei"/>
                <w:color w:val="0B2545"/>
                <w:sz w:val="14"/>
              </w:rPr>
              <w:t>IMAS 接口数据结构与数据字典</w:t>
            </w:r>
          </w:p>
        </w:tc>
        <w:tc>
          <w:tcPr>
            <w:tcW w:type="dxa" w:w="800"/>
            <w:tcMar>
              <w:top w:w="45" w:type="dxa"/>
              <w:bottom w:w="45" w:type="dxa"/>
              <w:start w:w="100" w:type="dxa"/>
              <w:end w:w="100" w:type="dxa"/>
            </w:tcMar>
          </w:tcPr>
          <w:p>
            <w:pPr>
              <w:keepLines/>
              <w:spacing w:after="0" w:line="252" w:lineRule="auto"/>
            </w:pPr>
            <w:r>
              <w:rPr>
                <w:rFonts w:ascii="Calibri" w:hAnsi="Calibri" w:eastAsia="Microsoft YaHei"/>
                <w:color w:val="0B2545"/>
                <w:sz w:val="14"/>
              </w:rPr>
              <w:t>E3</w:t>
            </w:r>
          </w:p>
        </w:tc>
        <w:tc>
          <w:tcPr>
            <w:tcW w:type="dxa" w:w="2900"/>
            <w:tcMar>
              <w:top w:w="45" w:type="dxa"/>
              <w:bottom w:w="45" w:type="dxa"/>
              <w:start w:w="100" w:type="dxa"/>
              <w:end w:w="100" w:type="dxa"/>
            </w:tcMar>
          </w:tcPr>
          <w:p>
            <w:pPr>
              <w:keepLines/>
              <w:spacing w:after="0" w:line="252" w:lineRule="auto"/>
            </w:pPr>
            <w:r>
              <w:rPr>
                <w:rFonts w:ascii="Calibri" w:hAnsi="Calibri" w:eastAsia="Microsoft YaHei"/>
                <w:color w:val="0B2545"/>
                <w:sz w:val="14"/>
              </w:rPr>
              <w:t>ITER；EUROfusion devices；JET；ASDEX Upgrade；WEST；TCV；W7-X</w:t>
            </w:r>
          </w:p>
        </w:tc>
      </w:tr>
      <w:tr>
        <w:trPr>
          <w:cantSplit/>
        </w:trPr>
        <w:tc>
          <w:tcPr>
            <w:tcW w:type="dxa" w:w="1000"/>
            <w:tcMar>
              <w:top w:w="45" w:type="dxa"/>
              <w:bottom w:w="45" w:type="dxa"/>
              <w:start w:w="100" w:type="dxa"/>
              <w:end w:w="100" w:type="dxa"/>
            </w:tcMar>
          </w:tcPr>
          <w:p>
            <w:pPr>
              <w:keepLines/>
              <w:spacing w:after="0" w:line="252" w:lineRule="auto"/>
            </w:pPr>
            <w:r>
              <w:rPr>
                <w:rFonts w:ascii="Calibri" w:hAnsi="Calibri" w:eastAsia="Microsoft YaHei"/>
                <w:color w:val="0B2545"/>
                <w:sz w:val="14"/>
              </w:rPr>
              <w:t>DSI-002</w:t>
            </w:r>
          </w:p>
        </w:tc>
        <w:tc>
          <w:tcPr>
            <w:tcW w:type="dxa" w:w="900"/>
            <w:tcMar>
              <w:top w:w="45" w:type="dxa"/>
              <w:bottom w:w="45" w:type="dxa"/>
              <w:start w:w="100" w:type="dxa"/>
              <w:end w:w="100" w:type="dxa"/>
            </w:tcMar>
          </w:tcPr>
          <w:p>
            <w:pPr>
              <w:keepLines/>
              <w:spacing w:after="0" w:line="252" w:lineRule="auto"/>
            </w:pPr>
            <w:r>
              <w:rPr>
                <w:rFonts w:ascii="Calibri" w:hAnsi="Calibri" w:eastAsia="Microsoft YaHei"/>
                <w:color w:val="0B2545"/>
                <w:sz w:val="14"/>
              </w:rPr>
              <w:t>DG0</w:t>
            </w:r>
          </w:p>
        </w:tc>
        <w:tc>
          <w:tcPr>
            <w:tcW w:type="dxa" w:w="3760"/>
            <w:tcMar>
              <w:top w:w="45" w:type="dxa"/>
              <w:bottom w:w="45" w:type="dxa"/>
              <w:start w:w="100" w:type="dxa"/>
              <w:end w:w="100" w:type="dxa"/>
            </w:tcMar>
          </w:tcPr>
          <w:p>
            <w:pPr>
              <w:keepLines/>
              <w:spacing w:after="0" w:line="252" w:lineRule="auto"/>
            </w:pPr>
            <w:r>
              <w:rPr>
                <w:rFonts w:ascii="Calibri" w:hAnsi="Calibri" w:eastAsia="Microsoft YaHei"/>
                <w:color w:val="0B2545"/>
                <w:sz w:val="14"/>
              </w:rPr>
              <w:t>MDSplus 脉冲树、数据采集与时序数据管理</w:t>
            </w:r>
          </w:p>
        </w:tc>
        <w:tc>
          <w:tcPr>
            <w:tcW w:type="dxa" w:w="800"/>
            <w:tcMar>
              <w:top w:w="45" w:type="dxa"/>
              <w:bottom w:w="45" w:type="dxa"/>
              <w:start w:w="100" w:type="dxa"/>
              <w:end w:w="100" w:type="dxa"/>
            </w:tcMar>
          </w:tcPr>
          <w:p>
            <w:pPr>
              <w:keepLines/>
              <w:spacing w:after="0" w:line="252" w:lineRule="auto"/>
            </w:pPr>
            <w:r>
              <w:rPr>
                <w:rFonts w:ascii="Calibri" w:hAnsi="Calibri" w:eastAsia="Microsoft YaHei"/>
                <w:color w:val="0B2545"/>
                <w:sz w:val="14"/>
              </w:rPr>
              <w:t>E4</w:t>
            </w:r>
          </w:p>
        </w:tc>
        <w:tc>
          <w:tcPr>
            <w:tcW w:type="dxa" w:w="2900"/>
            <w:tcMar>
              <w:top w:w="45" w:type="dxa"/>
              <w:bottom w:w="45" w:type="dxa"/>
              <w:start w:w="100" w:type="dxa"/>
              <w:end w:w="100" w:type="dxa"/>
            </w:tcMar>
          </w:tcPr>
          <w:p>
            <w:pPr>
              <w:keepLines/>
              <w:spacing w:after="0" w:line="252" w:lineRule="auto"/>
            </w:pPr>
            <w:r>
              <w:rPr>
                <w:rFonts w:ascii="Calibri" w:hAnsi="Calibri" w:eastAsia="Microsoft YaHei"/>
                <w:color w:val="0B2545"/>
                <w:sz w:val="14"/>
              </w:rPr>
              <w:t>Alcator C-Mod；RFX-mod；TCV；DIII-D；KSTAR；EAST；NSTX-U；SPIDER</w:t>
            </w:r>
          </w:p>
        </w:tc>
      </w:tr>
      <w:tr>
        <w:trPr>
          <w:cantSplit/>
        </w:trPr>
        <w:tc>
          <w:tcPr>
            <w:tcW w:type="dxa" w:w="1000"/>
            <w:tcMar>
              <w:top w:w="45" w:type="dxa"/>
              <w:bottom w:w="45" w:type="dxa"/>
              <w:start w:w="100" w:type="dxa"/>
              <w:end w:w="100" w:type="dxa"/>
            </w:tcMar>
          </w:tcPr>
          <w:p>
            <w:pPr>
              <w:keepLines/>
              <w:spacing w:after="0" w:line="252" w:lineRule="auto"/>
            </w:pPr>
            <w:r>
              <w:rPr>
                <w:rFonts w:ascii="Calibri" w:hAnsi="Calibri" w:eastAsia="Microsoft YaHei"/>
                <w:color w:val="0B2545"/>
                <w:sz w:val="14"/>
              </w:rPr>
              <w:t>DSI-003</w:t>
            </w:r>
          </w:p>
        </w:tc>
        <w:tc>
          <w:tcPr>
            <w:tcW w:type="dxa" w:w="900"/>
            <w:tcMar>
              <w:top w:w="45" w:type="dxa"/>
              <w:bottom w:w="45" w:type="dxa"/>
              <w:start w:w="100" w:type="dxa"/>
              <w:end w:w="100" w:type="dxa"/>
            </w:tcMar>
          </w:tcPr>
          <w:p>
            <w:pPr>
              <w:keepLines/>
              <w:spacing w:after="0" w:line="252" w:lineRule="auto"/>
            </w:pPr>
            <w:r>
              <w:rPr>
                <w:rFonts w:ascii="Calibri" w:hAnsi="Calibri" w:eastAsia="Microsoft YaHei"/>
                <w:color w:val="0B2545"/>
                <w:sz w:val="14"/>
              </w:rPr>
              <w:t>DG0</w:t>
            </w:r>
          </w:p>
        </w:tc>
        <w:tc>
          <w:tcPr>
            <w:tcW w:type="dxa" w:w="3760"/>
            <w:tcMar>
              <w:top w:w="45" w:type="dxa"/>
              <w:bottom w:w="45" w:type="dxa"/>
              <w:start w:w="100" w:type="dxa"/>
              <w:end w:w="100" w:type="dxa"/>
            </w:tcMar>
          </w:tcPr>
          <w:p>
            <w:pPr>
              <w:keepLines/>
              <w:spacing w:after="0" w:line="252" w:lineRule="auto"/>
            </w:pPr>
            <w:r>
              <w:rPr>
                <w:rFonts w:ascii="Calibri" w:hAnsi="Calibri" w:eastAsia="Microsoft YaHei"/>
                <w:color w:val="0B2545"/>
                <w:sz w:val="14"/>
              </w:rPr>
              <w:t>UDA 统一数据访问层</w:t>
            </w:r>
          </w:p>
        </w:tc>
        <w:tc>
          <w:tcPr>
            <w:tcW w:type="dxa" w:w="800"/>
            <w:tcMar>
              <w:top w:w="45" w:type="dxa"/>
              <w:bottom w:w="45" w:type="dxa"/>
              <w:start w:w="100" w:type="dxa"/>
              <w:end w:w="100" w:type="dxa"/>
            </w:tcMar>
          </w:tcPr>
          <w:p>
            <w:pPr>
              <w:keepLines/>
              <w:spacing w:after="0" w:line="252" w:lineRule="auto"/>
            </w:pPr>
            <w:r>
              <w:rPr>
                <w:rFonts w:ascii="Calibri" w:hAnsi="Calibri" w:eastAsia="Microsoft YaHei"/>
                <w:color w:val="0B2545"/>
                <w:sz w:val="14"/>
              </w:rPr>
              <w:t>E3</w:t>
            </w:r>
          </w:p>
        </w:tc>
        <w:tc>
          <w:tcPr>
            <w:tcW w:type="dxa" w:w="2900"/>
            <w:tcMar>
              <w:top w:w="45" w:type="dxa"/>
              <w:bottom w:w="45" w:type="dxa"/>
              <w:start w:w="100" w:type="dxa"/>
              <w:end w:w="100" w:type="dxa"/>
            </w:tcMar>
          </w:tcPr>
          <w:p>
            <w:pPr>
              <w:keepLines/>
              <w:spacing w:after="0" w:line="252" w:lineRule="auto"/>
            </w:pPr>
            <w:r>
              <w:rPr>
                <w:rFonts w:ascii="Calibri" w:hAnsi="Calibri" w:eastAsia="Microsoft YaHei"/>
                <w:color w:val="0B2545"/>
                <w:sz w:val="14"/>
              </w:rPr>
              <w:t>JET；MAST Upgrade；ITER/IMAS workflows；UKAEA facilities</w:t>
            </w:r>
          </w:p>
        </w:tc>
      </w:tr>
      <w:tr>
        <w:trPr>
          <w:cantSplit/>
        </w:trPr>
        <w:tc>
          <w:tcPr>
            <w:tcW w:type="dxa" w:w="1000"/>
            <w:tcMar>
              <w:top w:w="45" w:type="dxa"/>
              <w:bottom w:w="45" w:type="dxa"/>
              <w:start w:w="100" w:type="dxa"/>
              <w:end w:w="100" w:type="dxa"/>
            </w:tcMar>
          </w:tcPr>
          <w:p>
            <w:pPr>
              <w:keepLines/>
              <w:spacing w:after="0" w:line="252" w:lineRule="auto"/>
            </w:pPr>
            <w:r>
              <w:rPr>
                <w:rFonts w:ascii="Calibri" w:hAnsi="Calibri" w:eastAsia="Microsoft YaHei"/>
                <w:color w:val="0B2545"/>
                <w:sz w:val="14"/>
              </w:rPr>
              <w:t>DSI-004</w:t>
            </w:r>
          </w:p>
        </w:tc>
        <w:tc>
          <w:tcPr>
            <w:tcW w:type="dxa" w:w="900"/>
            <w:tcMar>
              <w:top w:w="45" w:type="dxa"/>
              <w:bottom w:w="45" w:type="dxa"/>
              <w:start w:w="100" w:type="dxa"/>
              <w:end w:w="100" w:type="dxa"/>
            </w:tcMar>
          </w:tcPr>
          <w:p>
            <w:pPr>
              <w:keepLines/>
              <w:spacing w:after="0" w:line="252" w:lineRule="auto"/>
            </w:pPr>
            <w:r>
              <w:rPr>
                <w:rFonts w:ascii="Calibri" w:hAnsi="Calibri" w:eastAsia="Microsoft YaHei"/>
                <w:color w:val="0B2545"/>
                <w:sz w:val="14"/>
              </w:rPr>
              <w:t>DG0</w:t>
            </w:r>
          </w:p>
        </w:tc>
        <w:tc>
          <w:tcPr>
            <w:tcW w:type="dxa" w:w="3760"/>
            <w:tcMar>
              <w:top w:w="45" w:type="dxa"/>
              <w:bottom w:w="45" w:type="dxa"/>
              <w:start w:w="100" w:type="dxa"/>
              <w:end w:w="100" w:type="dxa"/>
            </w:tcMar>
          </w:tcPr>
          <w:p>
            <w:pPr>
              <w:keepLines/>
              <w:spacing w:after="0" w:line="252" w:lineRule="auto"/>
            </w:pPr>
            <w:r>
              <w:rPr>
                <w:rFonts w:ascii="Calibri" w:hAnsi="Calibri" w:eastAsia="Microsoft YaHei"/>
                <w:color w:val="0B2545"/>
                <w:sz w:val="14"/>
              </w:rPr>
              <w:t>OMAS：轻量 IMAS 兼容数据对象与装置映射</w:t>
            </w:r>
          </w:p>
        </w:tc>
        <w:tc>
          <w:tcPr>
            <w:tcW w:type="dxa" w:w="800"/>
            <w:tcMar>
              <w:top w:w="45" w:type="dxa"/>
              <w:bottom w:w="45" w:type="dxa"/>
              <w:start w:w="100" w:type="dxa"/>
              <w:end w:w="100" w:type="dxa"/>
            </w:tcMar>
          </w:tcPr>
          <w:p>
            <w:pPr>
              <w:keepLines/>
              <w:spacing w:after="0" w:line="252" w:lineRule="auto"/>
            </w:pPr>
            <w:r>
              <w:rPr>
                <w:rFonts w:ascii="Calibri" w:hAnsi="Calibri" w:eastAsia="Microsoft YaHei"/>
                <w:color w:val="0B2545"/>
                <w:sz w:val="14"/>
              </w:rPr>
              <w:t>E2</w:t>
            </w:r>
          </w:p>
        </w:tc>
        <w:tc>
          <w:tcPr>
            <w:tcW w:type="dxa" w:w="2900"/>
            <w:tcMar>
              <w:top w:w="45" w:type="dxa"/>
              <w:bottom w:w="45" w:type="dxa"/>
              <w:start w:w="100" w:type="dxa"/>
              <w:end w:w="100" w:type="dxa"/>
            </w:tcMar>
          </w:tcPr>
          <w:p>
            <w:pPr>
              <w:keepLines/>
              <w:spacing w:after="0" w:line="252" w:lineRule="auto"/>
            </w:pPr>
            <w:r>
              <w:rPr>
                <w:rFonts w:ascii="Calibri" w:hAnsi="Calibri" w:eastAsia="Microsoft YaHei"/>
                <w:color w:val="0B2545"/>
                <w:sz w:val="14"/>
              </w:rPr>
              <w:t>DIII-D；NSTX-U；ITER scenario studies；GA workflows</w:t>
            </w:r>
          </w:p>
        </w:tc>
      </w:tr>
      <w:tr>
        <w:trPr>
          <w:cantSplit/>
        </w:trPr>
        <w:tc>
          <w:tcPr>
            <w:tcW w:type="dxa" w:w="1000"/>
            <w:tcMar>
              <w:top w:w="45" w:type="dxa"/>
              <w:bottom w:w="45" w:type="dxa"/>
              <w:start w:w="100" w:type="dxa"/>
              <w:end w:w="100" w:type="dxa"/>
            </w:tcMar>
          </w:tcPr>
          <w:p>
            <w:pPr>
              <w:keepLines/>
              <w:spacing w:after="0" w:line="252" w:lineRule="auto"/>
            </w:pPr>
            <w:r>
              <w:rPr>
                <w:rFonts w:ascii="Calibri" w:hAnsi="Calibri" w:eastAsia="Microsoft YaHei"/>
                <w:color w:val="0B2545"/>
                <w:sz w:val="14"/>
              </w:rPr>
              <w:t>DSI-005</w:t>
            </w:r>
          </w:p>
        </w:tc>
        <w:tc>
          <w:tcPr>
            <w:tcW w:type="dxa" w:w="900"/>
            <w:tcMar>
              <w:top w:w="45" w:type="dxa"/>
              <w:bottom w:w="45" w:type="dxa"/>
              <w:start w:w="100" w:type="dxa"/>
              <w:end w:w="100" w:type="dxa"/>
            </w:tcMar>
          </w:tcPr>
          <w:p>
            <w:pPr>
              <w:keepLines/>
              <w:spacing w:after="0" w:line="252" w:lineRule="auto"/>
            </w:pPr>
            <w:r>
              <w:rPr>
                <w:rFonts w:ascii="Calibri" w:hAnsi="Calibri" w:eastAsia="Microsoft YaHei"/>
                <w:color w:val="0B2545"/>
                <w:sz w:val="14"/>
              </w:rPr>
              <w:t>DG0</w:t>
            </w:r>
          </w:p>
        </w:tc>
        <w:tc>
          <w:tcPr>
            <w:tcW w:type="dxa" w:w="3760"/>
            <w:tcMar>
              <w:top w:w="45" w:type="dxa"/>
              <w:bottom w:w="45" w:type="dxa"/>
              <w:start w:w="100" w:type="dxa"/>
              <w:end w:w="100" w:type="dxa"/>
            </w:tcMar>
          </w:tcPr>
          <w:p>
            <w:pPr>
              <w:keepLines/>
              <w:spacing w:after="0" w:line="252" w:lineRule="auto"/>
            </w:pPr>
            <w:r>
              <w:rPr>
                <w:rFonts w:ascii="Calibri" w:hAnsi="Calibri" w:eastAsia="Microsoft YaHei"/>
                <w:color w:val="0B2545"/>
                <w:sz w:val="14"/>
              </w:rPr>
              <w:t>FAIR4Fusion 数据治理蓝图</w:t>
            </w:r>
          </w:p>
        </w:tc>
        <w:tc>
          <w:tcPr>
            <w:tcW w:type="dxa" w:w="800"/>
            <w:tcMar>
              <w:top w:w="45" w:type="dxa"/>
              <w:bottom w:w="45" w:type="dxa"/>
              <w:start w:w="100" w:type="dxa"/>
              <w:end w:w="100" w:type="dxa"/>
            </w:tcMar>
          </w:tcPr>
          <w:p>
            <w:pPr>
              <w:keepLines/>
              <w:spacing w:after="0" w:line="252" w:lineRule="auto"/>
            </w:pPr>
            <w:r>
              <w:rPr>
                <w:rFonts w:ascii="Calibri" w:hAnsi="Calibri" w:eastAsia="Microsoft YaHei"/>
                <w:color w:val="0B2545"/>
                <w:sz w:val="14"/>
              </w:rPr>
              <w:t>E1</w:t>
            </w:r>
          </w:p>
        </w:tc>
        <w:tc>
          <w:tcPr>
            <w:tcW w:type="dxa" w:w="2900"/>
            <w:tcMar>
              <w:top w:w="45" w:type="dxa"/>
              <w:bottom w:w="45" w:type="dxa"/>
              <w:start w:w="100" w:type="dxa"/>
              <w:end w:w="100" w:type="dxa"/>
            </w:tcMar>
          </w:tcPr>
          <w:p>
            <w:pPr>
              <w:keepLines/>
              <w:spacing w:after="0" w:line="252" w:lineRule="auto"/>
            </w:pPr>
            <w:r>
              <w:rPr>
                <w:rFonts w:ascii="Calibri" w:hAnsi="Calibri" w:eastAsia="Microsoft YaHei"/>
                <w:color w:val="0B2545"/>
                <w:sz w:val="14"/>
              </w:rPr>
              <w:t>EUROfusion facilities；ITER-adjacent research ecosystem</w:t>
            </w:r>
          </w:p>
        </w:tc>
      </w:tr>
      <w:tr>
        <w:trPr>
          <w:cantSplit/>
        </w:trPr>
        <w:tc>
          <w:tcPr>
            <w:tcW w:type="dxa" w:w="1000"/>
            <w:tcMar>
              <w:top w:w="45" w:type="dxa"/>
              <w:bottom w:w="45" w:type="dxa"/>
              <w:start w:w="100" w:type="dxa"/>
              <w:end w:w="100" w:type="dxa"/>
            </w:tcMar>
          </w:tcPr>
          <w:p>
            <w:pPr>
              <w:keepLines/>
              <w:spacing w:after="0" w:line="252" w:lineRule="auto"/>
            </w:pPr>
            <w:r>
              <w:rPr>
                <w:rFonts w:ascii="Calibri" w:hAnsi="Calibri" w:eastAsia="Microsoft YaHei"/>
                <w:color w:val="0B2545"/>
                <w:sz w:val="14"/>
              </w:rPr>
              <w:t>DG1-004</w:t>
            </w:r>
          </w:p>
        </w:tc>
        <w:tc>
          <w:tcPr>
            <w:tcW w:type="dxa" w:w="900"/>
            <w:tcMar>
              <w:top w:w="45" w:type="dxa"/>
              <w:bottom w:w="45" w:type="dxa"/>
              <w:start w:w="100" w:type="dxa"/>
              <w:end w:w="100" w:type="dxa"/>
            </w:tcMar>
          </w:tcPr>
          <w:p>
            <w:pPr>
              <w:keepLines/>
              <w:spacing w:after="0" w:line="252" w:lineRule="auto"/>
            </w:pPr>
            <w:r>
              <w:rPr>
                <w:rFonts w:ascii="Calibri" w:hAnsi="Calibri" w:eastAsia="Microsoft YaHei"/>
                <w:color w:val="0B2545"/>
                <w:sz w:val="14"/>
              </w:rPr>
              <w:t>DG1</w:t>
            </w:r>
          </w:p>
        </w:tc>
        <w:tc>
          <w:tcPr>
            <w:tcW w:type="dxa" w:w="3760"/>
            <w:tcMar>
              <w:top w:w="45" w:type="dxa"/>
              <w:bottom w:w="45" w:type="dxa"/>
              <w:start w:w="100" w:type="dxa"/>
              <w:end w:w="100" w:type="dxa"/>
            </w:tcMar>
          </w:tcPr>
          <w:p>
            <w:pPr>
              <w:keepLines/>
              <w:spacing w:after="0" w:line="252" w:lineRule="auto"/>
            </w:pPr>
            <w:r>
              <w:rPr>
                <w:rFonts w:ascii="Calibri" w:hAnsi="Calibri" w:eastAsia="Microsoft YaHei"/>
                <w:color w:val="0B2545"/>
                <w:sz w:val="14"/>
              </w:rPr>
              <w:t>动生斯塔克效应：内部磁场与电流密度剖面</w:t>
            </w:r>
          </w:p>
        </w:tc>
        <w:tc>
          <w:tcPr>
            <w:tcW w:type="dxa" w:w="800"/>
            <w:tcMar>
              <w:top w:w="45" w:type="dxa"/>
              <w:bottom w:w="45" w:type="dxa"/>
              <w:start w:w="100" w:type="dxa"/>
              <w:end w:w="100" w:type="dxa"/>
            </w:tcMar>
          </w:tcPr>
          <w:p>
            <w:pPr>
              <w:keepLines/>
              <w:spacing w:after="0" w:line="252" w:lineRule="auto"/>
            </w:pPr>
            <w:r>
              <w:rPr>
                <w:rFonts w:ascii="Calibri" w:hAnsi="Calibri" w:eastAsia="Microsoft YaHei"/>
                <w:color w:val="0B2545"/>
                <w:sz w:val="14"/>
              </w:rPr>
              <w:t>E4</w:t>
            </w:r>
          </w:p>
        </w:tc>
        <w:tc>
          <w:tcPr>
            <w:tcW w:type="dxa" w:w="2900"/>
            <w:tcMar>
              <w:top w:w="45" w:type="dxa"/>
              <w:bottom w:w="45" w:type="dxa"/>
              <w:start w:w="100" w:type="dxa"/>
              <w:end w:w="100" w:type="dxa"/>
            </w:tcMar>
          </w:tcPr>
          <w:p>
            <w:pPr>
              <w:keepLines/>
              <w:spacing w:after="0" w:line="252" w:lineRule="auto"/>
            </w:pPr>
            <w:r>
              <w:rPr>
                <w:rFonts w:ascii="Calibri" w:hAnsi="Calibri" w:eastAsia="Microsoft YaHei"/>
                <w:color w:val="0B2545"/>
                <w:sz w:val="14"/>
              </w:rPr>
              <w:t>DIII-D；MST；KSTAR</w:t>
            </w:r>
          </w:p>
        </w:tc>
      </w:tr>
      <w:tr>
        <w:trPr>
          <w:cantSplit/>
        </w:trPr>
        <w:tc>
          <w:tcPr>
            <w:tcW w:type="dxa" w:w="1000"/>
            <w:tcMar>
              <w:top w:w="45" w:type="dxa"/>
              <w:bottom w:w="45" w:type="dxa"/>
              <w:start w:w="100" w:type="dxa"/>
              <w:end w:w="100" w:type="dxa"/>
            </w:tcMar>
          </w:tcPr>
          <w:p>
            <w:pPr>
              <w:keepLines/>
              <w:spacing w:after="0" w:line="252" w:lineRule="auto"/>
            </w:pPr>
            <w:r>
              <w:rPr>
                <w:rFonts w:ascii="Calibri" w:hAnsi="Calibri" w:eastAsia="Microsoft YaHei"/>
                <w:color w:val="0B2545"/>
                <w:sz w:val="14"/>
              </w:rPr>
              <w:t>DG6-030</w:t>
            </w:r>
          </w:p>
        </w:tc>
        <w:tc>
          <w:tcPr>
            <w:tcW w:type="dxa" w:w="900"/>
            <w:tcMar>
              <w:top w:w="45" w:type="dxa"/>
              <w:bottom w:w="45" w:type="dxa"/>
              <w:start w:w="100" w:type="dxa"/>
              <w:end w:w="100" w:type="dxa"/>
            </w:tcMar>
          </w:tcPr>
          <w:p>
            <w:pPr>
              <w:keepLines/>
              <w:spacing w:after="0" w:line="252" w:lineRule="auto"/>
            </w:pPr>
            <w:r>
              <w:rPr>
                <w:rFonts w:ascii="Calibri" w:hAnsi="Calibri" w:eastAsia="Microsoft YaHei"/>
                <w:color w:val="0B2545"/>
                <w:sz w:val="14"/>
              </w:rPr>
              <w:t>DG6</w:t>
            </w:r>
          </w:p>
        </w:tc>
        <w:tc>
          <w:tcPr>
            <w:tcW w:type="dxa" w:w="3760"/>
            <w:tcMar>
              <w:top w:w="45" w:type="dxa"/>
              <w:bottom w:w="45" w:type="dxa"/>
              <w:start w:w="100" w:type="dxa"/>
              <w:end w:w="100" w:type="dxa"/>
            </w:tcMar>
          </w:tcPr>
          <w:p>
            <w:pPr>
              <w:keepLines/>
              <w:spacing w:after="0" w:line="252" w:lineRule="auto"/>
            </w:pPr>
            <w:r>
              <w:rPr>
                <w:rFonts w:ascii="Calibri" w:hAnsi="Calibri" w:eastAsia="Microsoft YaHei"/>
                <w:color w:val="0B2545"/>
                <w:sz w:val="14"/>
              </w:rPr>
              <w:t>二维电子回旋辐射成像：磁岛与湍流</w:t>
            </w:r>
          </w:p>
        </w:tc>
        <w:tc>
          <w:tcPr>
            <w:tcW w:type="dxa" w:w="800"/>
            <w:tcMar>
              <w:top w:w="45" w:type="dxa"/>
              <w:bottom w:w="45" w:type="dxa"/>
              <w:start w:w="100" w:type="dxa"/>
              <w:end w:w="100" w:type="dxa"/>
            </w:tcMar>
          </w:tcPr>
          <w:p>
            <w:pPr>
              <w:keepLines/>
              <w:spacing w:after="0" w:line="252" w:lineRule="auto"/>
            </w:pPr>
            <w:r>
              <w:rPr>
                <w:rFonts w:ascii="Calibri" w:hAnsi="Calibri" w:eastAsia="Microsoft YaHei"/>
                <w:color w:val="0B2545"/>
                <w:sz w:val="14"/>
              </w:rPr>
              <w:t>E4</w:t>
            </w:r>
          </w:p>
        </w:tc>
        <w:tc>
          <w:tcPr>
            <w:tcW w:type="dxa" w:w="2900"/>
            <w:tcMar>
              <w:top w:w="45" w:type="dxa"/>
              <w:bottom w:w="45" w:type="dxa"/>
              <w:start w:w="100" w:type="dxa"/>
              <w:end w:w="100" w:type="dxa"/>
            </w:tcMar>
          </w:tcPr>
          <w:p>
            <w:pPr>
              <w:keepLines/>
              <w:spacing w:after="0" w:line="252" w:lineRule="auto"/>
            </w:pPr>
            <w:r>
              <w:rPr>
                <w:rFonts w:ascii="Calibri" w:hAnsi="Calibri" w:eastAsia="Microsoft YaHei"/>
                <w:color w:val="0B2545"/>
                <w:sz w:val="14"/>
              </w:rPr>
              <w:t>KSTAR；DIII-D；EAST</w:t>
            </w:r>
          </w:p>
        </w:tc>
      </w:tr>
      <w:tr>
        <w:trPr>
          <w:cantSplit/>
        </w:trPr>
        <w:tc>
          <w:tcPr>
            <w:tcW w:type="dxa" w:w="1000"/>
            <w:tcMar>
              <w:top w:w="45" w:type="dxa"/>
              <w:bottom w:w="45" w:type="dxa"/>
              <w:start w:w="100" w:type="dxa"/>
              <w:end w:w="100" w:type="dxa"/>
            </w:tcMar>
          </w:tcPr>
          <w:p>
            <w:pPr>
              <w:keepLines/>
              <w:spacing w:after="0" w:line="252" w:lineRule="auto"/>
            </w:pPr>
            <w:r>
              <w:rPr>
                <w:rFonts w:ascii="Calibri" w:hAnsi="Calibri" w:eastAsia="Microsoft YaHei"/>
                <w:color w:val="0B2545"/>
                <w:sz w:val="14"/>
              </w:rPr>
              <w:t>DG6-031</w:t>
            </w:r>
          </w:p>
        </w:tc>
        <w:tc>
          <w:tcPr>
            <w:tcW w:type="dxa" w:w="900"/>
            <w:tcMar>
              <w:top w:w="45" w:type="dxa"/>
              <w:bottom w:w="45" w:type="dxa"/>
              <w:start w:w="100" w:type="dxa"/>
              <w:end w:w="100" w:type="dxa"/>
            </w:tcMar>
          </w:tcPr>
          <w:p>
            <w:pPr>
              <w:keepLines/>
              <w:spacing w:after="0" w:line="252" w:lineRule="auto"/>
            </w:pPr>
            <w:r>
              <w:rPr>
                <w:rFonts w:ascii="Calibri" w:hAnsi="Calibri" w:eastAsia="Microsoft YaHei"/>
                <w:color w:val="0B2545"/>
                <w:sz w:val="14"/>
              </w:rPr>
              <w:t>DG6</w:t>
            </w:r>
          </w:p>
        </w:tc>
        <w:tc>
          <w:tcPr>
            <w:tcW w:type="dxa" w:w="3760"/>
            <w:tcMar>
              <w:top w:w="45" w:type="dxa"/>
              <w:bottom w:w="45" w:type="dxa"/>
              <w:start w:w="100" w:type="dxa"/>
              <w:end w:w="100" w:type="dxa"/>
            </w:tcMar>
          </w:tcPr>
          <w:p>
            <w:pPr>
              <w:keepLines/>
              <w:spacing w:after="0" w:line="252" w:lineRule="auto"/>
            </w:pPr>
            <w:r>
              <w:rPr>
                <w:rFonts w:ascii="Calibri" w:hAnsi="Calibri" w:eastAsia="Microsoft YaHei"/>
                <w:color w:val="0B2545"/>
                <w:sz w:val="14"/>
              </w:rPr>
              <w:t>束发射光谱：密度湍流与径向相关</w:t>
            </w:r>
          </w:p>
        </w:tc>
        <w:tc>
          <w:tcPr>
            <w:tcW w:type="dxa" w:w="800"/>
            <w:tcMar>
              <w:top w:w="45" w:type="dxa"/>
              <w:bottom w:w="45" w:type="dxa"/>
              <w:start w:w="100" w:type="dxa"/>
              <w:end w:w="100" w:type="dxa"/>
            </w:tcMar>
          </w:tcPr>
          <w:p>
            <w:pPr>
              <w:keepLines/>
              <w:spacing w:after="0" w:line="252" w:lineRule="auto"/>
            </w:pPr>
            <w:r>
              <w:rPr>
                <w:rFonts w:ascii="Calibri" w:hAnsi="Calibri" w:eastAsia="Microsoft YaHei"/>
                <w:color w:val="0B2545"/>
                <w:sz w:val="14"/>
              </w:rPr>
              <w:t>E4</w:t>
            </w:r>
          </w:p>
        </w:tc>
        <w:tc>
          <w:tcPr>
            <w:tcW w:type="dxa" w:w="2900"/>
            <w:tcMar>
              <w:top w:w="45" w:type="dxa"/>
              <w:bottom w:w="45" w:type="dxa"/>
              <w:start w:w="100" w:type="dxa"/>
              <w:end w:w="100" w:type="dxa"/>
            </w:tcMar>
          </w:tcPr>
          <w:p>
            <w:pPr>
              <w:keepLines/>
              <w:spacing w:after="0" w:line="252" w:lineRule="auto"/>
            </w:pPr>
            <w:r>
              <w:rPr>
                <w:rFonts w:ascii="Calibri" w:hAnsi="Calibri" w:eastAsia="Microsoft YaHei"/>
                <w:color w:val="0B2545"/>
                <w:sz w:val="14"/>
              </w:rPr>
              <w:t>DIII-D；MAST；NSTX</w:t>
            </w:r>
          </w:p>
        </w:tc>
      </w:tr>
      <w:tr>
        <w:trPr>
          <w:cantSplit/>
        </w:trPr>
        <w:tc>
          <w:tcPr>
            <w:tcW w:type="dxa" w:w="1000"/>
            <w:tcMar>
              <w:top w:w="45" w:type="dxa"/>
              <w:bottom w:w="45" w:type="dxa"/>
              <w:start w:w="100" w:type="dxa"/>
              <w:end w:w="100" w:type="dxa"/>
            </w:tcMar>
          </w:tcPr>
          <w:p>
            <w:pPr>
              <w:keepLines/>
              <w:spacing w:after="0" w:line="252" w:lineRule="auto"/>
            </w:pPr>
            <w:r>
              <w:rPr>
                <w:rFonts w:ascii="Calibri" w:hAnsi="Calibri" w:eastAsia="Microsoft YaHei"/>
                <w:color w:val="0B2545"/>
                <w:sz w:val="14"/>
              </w:rPr>
              <w:t>DG6-032</w:t>
            </w:r>
          </w:p>
        </w:tc>
        <w:tc>
          <w:tcPr>
            <w:tcW w:type="dxa" w:w="900"/>
            <w:tcMar>
              <w:top w:w="45" w:type="dxa"/>
              <w:bottom w:w="45" w:type="dxa"/>
              <w:start w:w="100" w:type="dxa"/>
              <w:end w:w="100" w:type="dxa"/>
            </w:tcMar>
          </w:tcPr>
          <w:p>
            <w:pPr>
              <w:keepLines/>
              <w:spacing w:after="0" w:line="252" w:lineRule="auto"/>
            </w:pPr>
            <w:r>
              <w:rPr>
                <w:rFonts w:ascii="Calibri" w:hAnsi="Calibri" w:eastAsia="Microsoft YaHei"/>
                <w:color w:val="0B2545"/>
                <w:sz w:val="14"/>
              </w:rPr>
              <w:t>DG6</w:t>
            </w:r>
          </w:p>
        </w:tc>
        <w:tc>
          <w:tcPr>
            <w:tcW w:type="dxa" w:w="3760"/>
            <w:tcMar>
              <w:top w:w="45" w:type="dxa"/>
              <w:bottom w:w="45" w:type="dxa"/>
              <w:start w:w="100" w:type="dxa"/>
              <w:end w:w="100" w:type="dxa"/>
            </w:tcMar>
          </w:tcPr>
          <w:p>
            <w:pPr>
              <w:keepLines/>
              <w:spacing w:after="0" w:line="252" w:lineRule="auto"/>
            </w:pPr>
            <w:r>
              <w:rPr>
                <w:rFonts w:ascii="Calibri" w:hAnsi="Calibri" w:eastAsia="Microsoft YaHei"/>
                <w:color w:val="0B2545"/>
                <w:sz w:val="14"/>
              </w:rPr>
              <w:t>多普勒反射与相关反射：湍流和E×B速度</w:t>
            </w:r>
          </w:p>
        </w:tc>
        <w:tc>
          <w:tcPr>
            <w:tcW w:type="dxa" w:w="800"/>
            <w:tcMar>
              <w:top w:w="45" w:type="dxa"/>
              <w:bottom w:w="45" w:type="dxa"/>
              <w:start w:w="100" w:type="dxa"/>
              <w:end w:w="100" w:type="dxa"/>
            </w:tcMar>
          </w:tcPr>
          <w:p>
            <w:pPr>
              <w:keepLines/>
              <w:spacing w:after="0" w:line="252" w:lineRule="auto"/>
            </w:pPr>
            <w:r>
              <w:rPr>
                <w:rFonts w:ascii="Calibri" w:hAnsi="Calibri" w:eastAsia="Microsoft YaHei"/>
                <w:color w:val="0B2545"/>
                <w:sz w:val="14"/>
              </w:rPr>
              <w:t>E4</w:t>
            </w:r>
          </w:p>
        </w:tc>
        <w:tc>
          <w:tcPr>
            <w:tcW w:type="dxa" w:w="2900"/>
            <w:tcMar>
              <w:top w:w="45" w:type="dxa"/>
              <w:bottom w:w="45" w:type="dxa"/>
              <w:start w:w="100" w:type="dxa"/>
              <w:end w:w="100" w:type="dxa"/>
            </w:tcMar>
          </w:tcPr>
          <w:p>
            <w:pPr>
              <w:keepLines/>
              <w:spacing w:after="0" w:line="252" w:lineRule="auto"/>
            </w:pPr>
            <w:r>
              <w:rPr>
                <w:rFonts w:ascii="Calibri" w:hAnsi="Calibri" w:eastAsia="Microsoft YaHei"/>
                <w:color w:val="0B2545"/>
                <w:sz w:val="14"/>
              </w:rPr>
              <w:t>ASDEX Upgrade；EAST；DIII-D；W7-X</w:t>
            </w:r>
          </w:p>
        </w:tc>
      </w:tr>
      <w:tr>
        <w:trPr>
          <w:cantSplit/>
        </w:trPr>
        <w:tc>
          <w:tcPr>
            <w:tcW w:type="dxa" w:w="1000"/>
            <w:tcMar>
              <w:top w:w="45" w:type="dxa"/>
              <w:bottom w:w="45" w:type="dxa"/>
              <w:start w:w="100" w:type="dxa"/>
              <w:end w:w="100" w:type="dxa"/>
            </w:tcMar>
          </w:tcPr>
          <w:p>
            <w:pPr>
              <w:keepLines/>
              <w:spacing w:after="0" w:line="252" w:lineRule="auto"/>
            </w:pPr>
            <w:r>
              <w:rPr>
                <w:rFonts w:ascii="Calibri" w:hAnsi="Calibri" w:eastAsia="Microsoft YaHei"/>
                <w:color w:val="0B2545"/>
                <w:sz w:val="14"/>
              </w:rPr>
              <w:t>DG6-034</w:t>
            </w:r>
          </w:p>
        </w:tc>
        <w:tc>
          <w:tcPr>
            <w:tcW w:type="dxa" w:w="900"/>
            <w:tcMar>
              <w:top w:w="45" w:type="dxa"/>
              <w:bottom w:w="45" w:type="dxa"/>
              <w:start w:w="100" w:type="dxa"/>
              <w:end w:w="100" w:type="dxa"/>
            </w:tcMar>
          </w:tcPr>
          <w:p>
            <w:pPr>
              <w:keepLines/>
              <w:spacing w:after="0" w:line="252" w:lineRule="auto"/>
            </w:pPr>
            <w:r>
              <w:rPr>
                <w:rFonts w:ascii="Calibri" w:hAnsi="Calibri" w:eastAsia="Microsoft YaHei"/>
                <w:color w:val="0B2545"/>
                <w:sz w:val="14"/>
              </w:rPr>
              <w:t>DG6</w:t>
            </w:r>
          </w:p>
        </w:tc>
        <w:tc>
          <w:tcPr>
            <w:tcW w:type="dxa" w:w="3760"/>
            <w:tcMar>
              <w:top w:w="45" w:type="dxa"/>
              <w:bottom w:w="45" w:type="dxa"/>
              <w:start w:w="100" w:type="dxa"/>
              <w:end w:w="100" w:type="dxa"/>
            </w:tcMar>
          </w:tcPr>
          <w:p>
            <w:pPr>
              <w:keepLines/>
              <w:spacing w:after="0" w:line="252" w:lineRule="auto"/>
            </w:pPr>
            <w:r>
              <w:rPr>
                <w:rFonts w:ascii="Calibri" w:hAnsi="Calibri" w:eastAsia="Microsoft YaHei"/>
                <w:color w:val="0B2545"/>
                <w:sz w:val="14"/>
              </w:rPr>
              <w:t>重离子束探针：电势、密度与涨落</w:t>
            </w:r>
          </w:p>
        </w:tc>
        <w:tc>
          <w:tcPr>
            <w:tcW w:type="dxa" w:w="800"/>
            <w:tcMar>
              <w:top w:w="45" w:type="dxa"/>
              <w:bottom w:w="45" w:type="dxa"/>
              <w:start w:w="100" w:type="dxa"/>
              <w:end w:w="100" w:type="dxa"/>
            </w:tcMar>
          </w:tcPr>
          <w:p>
            <w:pPr>
              <w:keepLines/>
              <w:spacing w:after="0" w:line="252" w:lineRule="auto"/>
            </w:pPr>
            <w:r>
              <w:rPr>
                <w:rFonts w:ascii="Calibri" w:hAnsi="Calibri" w:eastAsia="Microsoft YaHei"/>
                <w:color w:val="0B2545"/>
                <w:sz w:val="14"/>
              </w:rPr>
              <w:t>E3</w:t>
            </w:r>
          </w:p>
        </w:tc>
        <w:tc>
          <w:tcPr>
            <w:tcW w:type="dxa" w:w="2900"/>
            <w:tcMar>
              <w:top w:w="45" w:type="dxa"/>
              <w:bottom w:w="45" w:type="dxa"/>
              <w:start w:w="100" w:type="dxa"/>
              <w:end w:w="100" w:type="dxa"/>
            </w:tcMar>
          </w:tcPr>
          <w:p>
            <w:pPr>
              <w:keepLines/>
              <w:spacing w:after="0" w:line="252" w:lineRule="auto"/>
            </w:pPr>
            <w:r>
              <w:rPr>
                <w:rFonts w:ascii="Calibri" w:hAnsi="Calibri" w:eastAsia="Microsoft YaHei"/>
                <w:color w:val="0B2545"/>
                <w:sz w:val="14"/>
              </w:rPr>
              <w:t>QUEST；JIPP T-IIU；T-10；TJ-II</w:t>
            </w:r>
          </w:p>
        </w:tc>
      </w:tr>
      <w:tr>
        <w:trPr>
          <w:cantSplit/>
        </w:trPr>
        <w:tc>
          <w:tcPr>
            <w:tcW w:type="dxa" w:w="1000"/>
            <w:tcMar>
              <w:top w:w="45" w:type="dxa"/>
              <w:bottom w:w="45" w:type="dxa"/>
              <w:start w:w="100" w:type="dxa"/>
              <w:end w:w="100" w:type="dxa"/>
            </w:tcMar>
          </w:tcPr>
          <w:p>
            <w:pPr>
              <w:keepLines/>
              <w:spacing w:after="0" w:line="252" w:lineRule="auto"/>
            </w:pPr>
            <w:r>
              <w:rPr>
                <w:rFonts w:ascii="Calibri" w:hAnsi="Calibri" w:eastAsia="Microsoft YaHei"/>
                <w:color w:val="0B2545"/>
                <w:sz w:val="14"/>
              </w:rPr>
              <w:t>DG7-038</w:t>
            </w:r>
          </w:p>
        </w:tc>
        <w:tc>
          <w:tcPr>
            <w:tcW w:type="dxa" w:w="900"/>
            <w:tcMar>
              <w:top w:w="45" w:type="dxa"/>
              <w:bottom w:w="45" w:type="dxa"/>
              <w:start w:w="100" w:type="dxa"/>
              <w:end w:w="100" w:type="dxa"/>
            </w:tcMar>
          </w:tcPr>
          <w:p>
            <w:pPr>
              <w:keepLines/>
              <w:spacing w:after="0" w:line="252" w:lineRule="auto"/>
            </w:pPr>
            <w:r>
              <w:rPr>
                <w:rFonts w:ascii="Calibri" w:hAnsi="Calibri" w:eastAsia="Microsoft YaHei"/>
                <w:color w:val="0B2545"/>
                <w:sz w:val="14"/>
              </w:rPr>
              <w:t>DG7</w:t>
            </w:r>
          </w:p>
        </w:tc>
        <w:tc>
          <w:tcPr>
            <w:tcW w:type="dxa" w:w="3760"/>
            <w:tcMar>
              <w:top w:w="45" w:type="dxa"/>
              <w:bottom w:w="45" w:type="dxa"/>
              <w:start w:w="100" w:type="dxa"/>
              <w:end w:w="100" w:type="dxa"/>
            </w:tcMar>
          </w:tcPr>
          <w:p>
            <w:pPr>
              <w:keepLines/>
              <w:spacing w:after="0" w:line="252" w:lineRule="auto"/>
            </w:pPr>
            <w:r>
              <w:rPr>
                <w:rFonts w:ascii="Calibri" w:hAnsi="Calibri" w:eastAsia="Microsoft YaHei"/>
                <w:color w:val="0B2545"/>
                <w:sz w:val="14"/>
              </w:rPr>
              <w:t>偏滤器汤姆逊散射：脱靶区电子参数</w:t>
            </w:r>
          </w:p>
        </w:tc>
        <w:tc>
          <w:tcPr>
            <w:tcW w:type="dxa" w:w="800"/>
            <w:tcMar>
              <w:top w:w="45" w:type="dxa"/>
              <w:bottom w:w="45" w:type="dxa"/>
              <w:start w:w="100" w:type="dxa"/>
              <w:end w:w="100" w:type="dxa"/>
            </w:tcMar>
          </w:tcPr>
          <w:p>
            <w:pPr>
              <w:keepLines/>
              <w:spacing w:after="0" w:line="252" w:lineRule="auto"/>
            </w:pPr>
            <w:r>
              <w:rPr>
                <w:rFonts w:ascii="Calibri" w:hAnsi="Calibri" w:eastAsia="Microsoft YaHei"/>
                <w:color w:val="0B2545"/>
                <w:sz w:val="14"/>
              </w:rPr>
              <w:t>E3</w:t>
            </w:r>
          </w:p>
        </w:tc>
        <w:tc>
          <w:tcPr>
            <w:tcW w:type="dxa" w:w="2900"/>
            <w:tcMar>
              <w:top w:w="45" w:type="dxa"/>
              <w:bottom w:w="45" w:type="dxa"/>
              <w:start w:w="100" w:type="dxa"/>
              <w:end w:w="100" w:type="dxa"/>
            </w:tcMar>
          </w:tcPr>
          <w:p>
            <w:pPr>
              <w:keepLines/>
              <w:spacing w:after="0" w:line="252" w:lineRule="auto"/>
            </w:pPr>
            <w:r>
              <w:rPr>
                <w:rFonts w:ascii="Calibri" w:hAnsi="Calibri" w:eastAsia="Microsoft YaHei"/>
                <w:color w:val="0B2545"/>
                <w:sz w:val="14"/>
              </w:rPr>
              <w:t>DIII-D；KSTAR；ITER design</w:t>
            </w:r>
          </w:p>
        </w:tc>
      </w:tr>
      <w:tr>
        <w:trPr>
          <w:cantSplit/>
        </w:trPr>
        <w:tc>
          <w:tcPr>
            <w:tcW w:type="dxa" w:w="1000"/>
            <w:tcMar>
              <w:top w:w="45" w:type="dxa"/>
              <w:bottom w:w="45" w:type="dxa"/>
              <w:start w:w="100" w:type="dxa"/>
              <w:end w:w="100" w:type="dxa"/>
            </w:tcMar>
          </w:tcPr>
          <w:p>
            <w:pPr>
              <w:keepLines/>
              <w:spacing w:after="0" w:line="252" w:lineRule="auto"/>
            </w:pPr>
            <w:r>
              <w:rPr>
                <w:rFonts w:ascii="Calibri" w:hAnsi="Calibri" w:eastAsia="Microsoft YaHei"/>
                <w:color w:val="0B2545"/>
                <w:sz w:val="14"/>
              </w:rPr>
              <w:t>DSI-010</w:t>
            </w:r>
          </w:p>
        </w:tc>
        <w:tc>
          <w:tcPr>
            <w:tcW w:type="dxa" w:w="900"/>
            <w:tcMar>
              <w:top w:w="45" w:type="dxa"/>
              <w:bottom w:w="45" w:type="dxa"/>
              <w:start w:w="100" w:type="dxa"/>
              <w:end w:w="100" w:type="dxa"/>
            </w:tcMar>
          </w:tcPr>
          <w:p>
            <w:pPr>
              <w:keepLines/>
              <w:spacing w:after="0" w:line="252" w:lineRule="auto"/>
            </w:pPr>
            <w:r>
              <w:rPr>
                <w:rFonts w:ascii="Calibri" w:hAnsi="Calibri" w:eastAsia="Microsoft YaHei"/>
                <w:color w:val="0B2545"/>
                <w:sz w:val="14"/>
              </w:rPr>
              <w:t>DG9</w:t>
            </w:r>
          </w:p>
        </w:tc>
        <w:tc>
          <w:tcPr>
            <w:tcW w:type="dxa" w:w="3760"/>
            <w:tcMar>
              <w:top w:w="45" w:type="dxa"/>
              <w:bottom w:w="45" w:type="dxa"/>
              <w:start w:w="100" w:type="dxa"/>
              <w:end w:w="100" w:type="dxa"/>
            </w:tcMar>
          </w:tcPr>
          <w:p>
            <w:pPr>
              <w:keepLines/>
              <w:spacing w:after="0" w:line="252" w:lineRule="auto"/>
            </w:pPr>
            <w:r>
              <w:rPr>
                <w:rFonts w:ascii="Calibri" w:hAnsi="Calibri" w:eastAsia="Microsoft YaHei"/>
                <w:color w:val="0B2545"/>
                <w:sz w:val="14"/>
              </w:rPr>
              <w:t>CHERAB 汤姆孙散射合成诊断模块</w:t>
            </w:r>
          </w:p>
        </w:tc>
        <w:tc>
          <w:tcPr>
            <w:tcW w:type="dxa" w:w="800"/>
            <w:tcMar>
              <w:top w:w="45" w:type="dxa"/>
              <w:bottom w:w="45" w:type="dxa"/>
              <w:start w:w="100" w:type="dxa"/>
              <w:end w:w="100" w:type="dxa"/>
            </w:tcMar>
          </w:tcPr>
          <w:p>
            <w:pPr>
              <w:keepLines/>
              <w:spacing w:after="0" w:line="252" w:lineRule="auto"/>
            </w:pPr>
            <w:r>
              <w:rPr>
                <w:rFonts w:ascii="Calibri" w:hAnsi="Calibri" w:eastAsia="Microsoft YaHei"/>
                <w:color w:val="0B2545"/>
                <w:sz w:val="14"/>
              </w:rPr>
              <w:t>E2</w:t>
            </w:r>
          </w:p>
        </w:tc>
        <w:tc>
          <w:tcPr>
            <w:tcW w:type="dxa" w:w="2900"/>
            <w:tcMar>
              <w:top w:w="45" w:type="dxa"/>
              <w:bottom w:w="45" w:type="dxa"/>
              <w:start w:w="100" w:type="dxa"/>
              <w:end w:w="100" w:type="dxa"/>
            </w:tcMar>
          </w:tcPr>
          <w:p>
            <w:pPr>
              <w:keepLines/>
              <w:spacing w:after="0" w:line="252" w:lineRule="auto"/>
            </w:pPr>
            <w:r>
              <w:rPr>
                <w:rFonts w:ascii="Calibri" w:hAnsi="Calibri" w:eastAsia="Microsoft YaHei"/>
                <w:color w:val="0B2545"/>
                <w:sz w:val="14"/>
              </w:rPr>
              <w:t>COMPASS；generic tokamak TS designs</w:t>
            </w:r>
          </w:p>
        </w:tc>
      </w:tr>
      <w:tr>
        <w:trPr>
          <w:cantSplit/>
        </w:trPr>
        <w:tc>
          <w:tcPr>
            <w:tcW w:type="dxa" w:w="1000"/>
            <w:tcMar>
              <w:top w:w="45" w:type="dxa"/>
              <w:bottom w:w="45" w:type="dxa"/>
              <w:start w:w="100" w:type="dxa"/>
              <w:end w:w="100" w:type="dxa"/>
            </w:tcMar>
          </w:tcPr>
          <w:p>
            <w:pPr>
              <w:keepLines/>
              <w:spacing w:after="0" w:line="252" w:lineRule="auto"/>
            </w:pPr>
            <w:r>
              <w:rPr>
                <w:rFonts w:ascii="Calibri" w:hAnsi="Calibri" w:eastAsia="Microsoft YaHei"/>
                <w:color w:val="0B2545"/>
                <w:sz w:val="14"/>
              </w:rPr>
              <w:t>DSI-016</w:t>
            </w:r>
          </w:p>
        </w:tc>
        <w:tc>
          <w:tcPr>
            <w:tcW w:type="dxa" w:w="900"/>
            <w:tcMar>
              <w:top w:w="45" w:type="dxa"/>
              <w:bottom w:w="45" w:type="dxa"/>
              <w:start w:w="100" w:type="dxa"/>
              <w:end w:w="100" w:type="dxa"/>
            </w:tcMar>
          </w:tcPr>
          <w:p>
            <w:pPr>
              <w:keepLines/>
              <w:spacing w:after="0" w:line="252" w:lineRule="auto"/>
            </w:pPr>
            <w:r>
              <w:rPr>
                <w:rFonts w:ascii="Calibri" w:hAnsi="Calibri" w:eastAsia="Microsoft YaHei"/>
                <w:color w:val="0B2545"/>
                <w:sz w:val="14"/>
              </w:rPr>
              <w:t>DG9</w:t>
            </w:r>
          </w:p>
        </w:tc>
        <w:tc>
          <w:tcPr>
            <w:tcW w:type="dxa" w:w="3760"/>
            <w:tcMar>
              <w:top w:w="45" w:type="dxa"/>
              <w:bottom w:w="45" w:type="dxa"/>
              <w:start w:w="100" w:type="dxa"/>
              <w:end w:w="100" w:type="dxa"/>
            </w:tcMar>
          </w:tcPr>
          <w:p>
            <w:pPr>
              <w:keepLines/>
              <w:spacing w:after="0" w:line="252" w:lineRule="auto"/>
            </w:pPr>
            <w:r>
              <w:rPr>
                <w:rFonts w:ascii="Calibri" w:hAnsi="Calibri" w:eastAsia="Microsoft YaHei"/>
                <w:color w:val="0B2545"/>
                <w:sz w:val="14"/>
              </w:rPr>
              <w:t>ECRad 电子回旋辐射输运与 ECE 合成诊断</w:t>
            </w:r>
          </w:p>
        </w:tc>
        <w:tc>
          <w:tcPr>
            <w:tcW w:type="dxa" w:w="800"/>
            <w:tcMar>
              <w:top w:w="45" w:type="dxa"/>
              <w:bottom w:w="45" w:type="dxa"/>
              <w:start w:w="100" w:type="dxa"/>
              <w:end w:w="100" w:type="dxa"/>
            </w:tcMar>
          </w:tcPr>
          <w:p>
            <w:pPr>
              <w:keepLines/>
              <w:spacing w:after="0" w:line="252" w:lineRule="auto"/>
            </w:pPr>
            <w:r>
              <w:rPr>
                <w:rFonts w:ascii="Calibri" w:hAnsi="Calibri" w:eastAsia="Microsoft YaHei"/>
                <w:color w:val="0B2545"/>
                <w:sz w:val="14"/>
              </w:rPr>
              <w:t>E3</w:t>
            </w:r>
          </w:p>
        </w:tc>
        <w:tc>
          <w:tcPr>
            <w:tcW w:type="dxa" w:w="2900"/>
            <w:tcMar>
              <w:top w:w="45" w:type="dxa"/>
              <w:bottom w:w="45" w:type="dxa"/>
              <w:start w:w="100" w:type="dxa"/>
              <w:end w:w="100" w:type="dxa"/>
            </w:tcMar>
          </w:tcPr>
          <w:p>
            <w:pPr>
              <w:keepLines/>
              <w:spacing w:after="0" w:line="252" w:lineRule="auto"/>
            </w:pPr>
            <w:r>
              <w:rPr>
                <w:rFonts w:ascii="Calibri" w:hAnsi="Calibri" w:eastAsia="Microsoft YaHei"/>
                <w:color w:val="0B2545"/>
                <w:sz w:val="14"/>
              </w:rPr>
              <w:t>ASDEX Upgrade；TCV；ITER-oriented studies；various ECE systems</w:t>
            </w:r>
          </w:p>
        </w:tc>
      </w:tr>
      <w:tr>
        <w:trPr>
          <w:cantSplit/>
        </w:trPr>
        <w:tc>
          <w:tcPr>
            <w:tcW w:type="dxa" w:w="1000"/>
            <w:tcMar>
              <w:top w:w="45" w:type="dxa"/>
              <w:bottom w:w="45" w:type="dxa"/>
              <w:start w:w="100" w:type="dxa"/>
              <w:end w:w="100" w:type="dxa"/>
            </w:tcMar>
          </w:tcPr>
          <w:p>
            <w:pPr>
              <w:keepLines/>
              <w:spacing w:after="0" w:line="252" w:lineRule="auto"/>
            </w:pPr>
            <w:r>
              <w:rPr>
                <w:rFonts w:ascii="Calibri" w:hAnsi="Calibri" w:eastAsia="Microsoft YaHei"/>
                <w:color w:val="0B2545"/>
                <w:sz w:val="14"/>
              </w:rPr>
              <w:t>DSI-017</w:t>
            </w:r>
          </w:p>
        </w:tc>
        <w:tc>
          <w:tcPr>
            <w:tcW w:type="dxa" w:w="900"/>
            <w:tcMar>
              <w:top w:w="45" w:type="dxa"/>
              <w:bottom w:w="45" w:type="dxa"/>
              <w:start w:w="100" w:type="dxa"/>
              <w:end w:w="100" w:type="dxa"/>
            </w:tcMar>
          </w:tcPr>
          <w:p>
            <w:pPr>
              <w:keepLines/>
              <w:spacing w:after="0" w:line="252" w:lineRule="auto"/>
            </w:pPr>
            <w:r>
              <w:rPr>
                <w:rFonts w:ascii="Calibri" w:hAnsi="Calibri" w:eastAsia="Microsoft YaHei"/>
                <w:color w:val="0B2545"/>
                <w:sz w:val="14"/>
              </w:rPr>
              <w:t>DG9</w:t>
            </w:r>
          </w:p>
        </w:tc>
        <w:tc>
          <w:tcPr>
            <w:tcW w:type="dxa" w:w="3760"/>
            <w:tcMar>
              <w:top w:w="45" w:type="dxa"/>
              <w:bottom w:w="45" w:type="dxa"/>
              <w:start w:w="100" w:type="dxa"/>
              <w:end w:w="100" w:type="dxa"/>
            </w:tcMar>
          </w:tcPr>
          <w:p>
            <w:pPr>
              <w:keepLines/>
              <w:spacing w:after="0" w:line="252" w:lineRule="auto"/>
            </w:pPr>
            <w:r>
              <w:rPr>
                <w:rFonts w:ascii="Calibri" w:hAnsi="Calibri" w:eastAsia="Microsoft YaHei"/>
                <w:color w:val="0B2545"/>
                <w:sz w:val="14"/>
              </w:rPr>
              <w:t>REFMUL 系列反射计全波合成诊断</w:t>
            </w:r>
          </w:p>
        </w:tc>
        <w:tc>
          <w:tcPr>
            <w:tcW w:type="dxa" w:w="800"/>
            <w:tcMar>
              <w:top w:w="45" w:type="dxa"/>
              <w:bottom w:w="45" w:type="dxa"/>
              <w:start w:w="100" w:type="dxa"/>
              <w:end w:w="100" w:type="dxa"/>
            </w:tcMar>
          </w:tcPr>
          <w:p>
            <w:pPr>
              <w:keepLines/>
              <w:spacing w:after="0" w:line="252" w:lineRule="auto"/>
            </w:pPr>
            <w:r>
              <w:rPr>
                <w:rFonts w:ascii="Calibri" w:hAnsi="Calibri" w:eastAsia="Microsoft YaHei"/>
                <w:color w:val="0B2545"/>
                <w:sz w:val="14"/>
              </w:rPr>
              <w:t>E3</w:t>
            </w:r>
          </w:p>
        </w:tc>
        <w:tc>
          <w:tcPr>
            <w:tcW w:type="dxa" w:w="2900"/>
            <w:tcMar>
              <w:top w:w="45" w:type="dxa"/>
              <w:bottom w:w="45" w:type="dxa"/>
              <w:start w:w="100" w:type="dxa"/>
              <w:end w:w="100" w:type="dxa"/>
            </w:tcMar>
          </w:tcPr>
          <w:p>
            <w:pPr>
              <w:keepLines/>
              <w:spacing w:after="0" w:line="252" w:lineRule="auto"/>
            </w:pPr>
            <w:r>
              <w:rPr>
                <w:rFonts w:ascii="Calibri" w:hAnsi="Calibri" w:eastAsia="Microsoft YaHei"/>
                <w:color w:val="0B2545"/>
                <w:sz w:val="14"/>
              </w:rPr>
              <w:t>ASDEX Upgrade；JET；DIII-D/KSTAR imaging-reflectometry studies；DEMO design studies</w:t>
            </w:r>
          </w:p>
        </w:tc>
      </w:tr>
      <w:tr>
        <w:trPr>
          <w:cantSplit/>
        </w:trPr>
        <w:tc>
          <w:tcPr>
            <w:tcW w:type="dxa" w:w="1000"/>
            <w:tcMar>
              <w:top w:w="45" w:type="dxa"/>
              <w:bottom w:w="45" w:type="dxa"/>
              <w:start w:w="100" w:type="dxa"/>
              <w:end w:w="100" w:type="dxa"/>
            </w:tcMar>
          </w:tcPr>
          <w:p>
            <w:pPr>
              <w:keepLines/>
              <w:spacing w:after="0" w:line="252" w:lineRule="auto"/>
            </w:pPr>
            <w:r>
              <w:rPr>
                <w:rFonts w:ascii="Calibri" w:hAnsi="Calibri" w:eastAsia="Microsoft YaHei"/>
                <w:color w:val="0B2545"/>
                <w:sz w:val="14"/>
              </w:rPr>
              <w:t>DSI-018</w:t>
            </w:r>
          </w:p>
        </w:tc>
        <w:tc>
          <w:tcPr>
            <w:tcW w:type="dxa" w:w="900"/>
            <w:tcMar>
              <w:top w:w="45" w:type="dxa"/>
              <w:bottom w:w="45" w:type="dxa"/>
              <w:start w:w="100" w:type="dxa"/>
              <w:end w:w="100" w:type="dxa"/>
            </w:tcMar>
          </w:tcPr>
          <w:p>
            <w:pPr>
              <w:keepLines/>
              <w:spacing w:after="0" w:line="252" w:lineRule="auto"/>
            </w:pPr>
            <w:r>
              <w:rPr>
                <w:rFonts w:ascii="Calibri" w:hAnsi="Calibri" w:eastAsia="Microsoft YaHei"/>
                <w:color w:val="0B2545"/>
                <w:sz w:val="14"/>
              </w:rPr>
              <w:t>DG9</w:t>
            </w:r>
          </w:p>
        </w:tc>
        <w:tc>
          <w:tcPr>
            <w:tcW w:type="dxa" w:w="3760"/>
            <w:tcMar>
              <w:top w:w="45" w:type="dxa"/>
              <w:bottom w:w="45" w:type="dxa"/>
              <w:start w:w="100" w:type="dxa"/>
              <w:end w:w="100" w:type="dxa"/>
            </w:tcMar>
          </w:tcPr>
          <w:p>
            <w:pPr>
              <w:keepLines/>
              <w:spacing w:after="0" w:line="252" w:lineRule="auto"/>
            </w:pPr>
            <w:r>
              <w:rPr>
                <w:rFonts w:ascii="Calibri" w:hAnsi="Calibri" w:eastAsia="Microsoft YaHei"/>
                <w:color w:val="0B2545"/>
                <w:sz w:val="14"/>
              </w:rPr>
              <w:t>XGC1—BES 全光学合成诊断</w:t>
            </w:r>
          </w:p>
        </w:tc>
        <w:tc>
          <w:tcPr>
            <w:tcW w:type="dxa" w:w="800"/>
            <w:tcMar>
              <w:top w:w="45" w:type="dxa"/>
              <w:bottom w:w="45" w:type="dxa"/>
              <w:start w:w="100" w:type="dxa"/>
              <w:end w:w="100" w:type="dxa"/>
            </w:tcMar>
          </w:tcPr>
          <w:p>
            <w:pPr>
              <w:keepLines/>
              <w:spacing w:after="0" w:line="252" w:lineRule="auto"/>
            </w:pPr>
            <w:r>
              <w:rPr>
                <w:rFonts w:ascii="Calibri" w:hAnsi="Calibri" w:eastAsia="Microsoft YaHei"/>
                <w:color w:val="0B2545"/>
                <w:sz w:val="14"/>
              </w:rPr>
              <w:t>E2</w:t>
            </w:r>
          </w:p>
        </w:tc>
        <w:tc>
          <w:tcPr>
            <w:tcW w:type="dxa" w:w="2900"/>
            <w:tcMar>
              <w:top w:w="45" w:type="dxa"/>
              <w:bottom w:w="45" w:type="dxa"/>
              <w:start w:w="100" w:type="dxa"/>
              <w:end w:w="100" w:type="dxa"/>
            </w:tcMar>
          </w:tcPr>
          <w:p>
            <w:pPr>
              <w:keepLines/>
              <w:spacing w:after="0" w:line="252" w:lineRule="auto"/>
            </w:pPr>
            <w:r>
              <w:rPr>
                <w:rFonts w:ascii="Calibri" w:hAnsi="Calibri" w:eastAsia="Microsoft YaHei"/>
                <w:color w:val="0B2545"/>
                <w:sz w:val="14"/>
              </w:rPr>
              <w:t>DIII-D-like BES geometry with XGC1 edge simulations</w:t>
            </w:r>
          </w:p>
        </w:tc>
      </w:tr>
      <w:tr>
        <w:trPr>
          <w:cantSplit/>
        </w:trPr>
        <w:tc>
          <w:tcPr>
            <w:tcW w:type="dxa" w:w="1000"/>
            <w:tcMar>
              <w:top w:w="45" w:type="dxa"/>
              <w:bottom w:w="45" w:type="dxa"/>
              <w:start w:w="100" w:type="dxa"/>
              <w:end w:w="100" w:type="dxa"/>
            </w:tcMar>
          </w:tcPr>
          <w:p>
            <w:pPr>
              <w:keepLines/>
              <w:spacing w:after="0" w:line="252" w:lineRule="auto"/>
            </w:pPr>
            <w:r>
              <w:rPr>
                <w:rFonts w:ascii="Calibri" w:hAnsi="Calibri" w:eastAsia="Microsoft YaHei"/>
                <w:color w:val="0B2545"/>
                <w:sz w:val="14"/>
              </w:rPr>
              <w:t>DSI-022</w:t>
            </w:r>
          </w:p>
        </w:tc>
        <w:tc>
          <w:tcPr>
            <w:tcW w:type="dxa" w:w="900"/>
            <w:tcMar>
              <w:top w:w="45" w:type="dxa"/>
              <w:bottom w:w="45" w:type="dxa"/>
              <w:start w:w="100" w:type="dxa"/>
              <w:end w:w="100" w:type="dxa"/>
            </w:tcMar>
          </w:tcPr>
          <w:p>
            <w:pPr>
              <w:keepLines/>
              <w:spacing w:after="0" w:line="252" w:lineRule="auto"/>
            </w:pPr>
            <w:r>
              <w:rPr>
                <w:rFonts w:ascii="Calibri" w:hAnsi="Calibri" w:eastAsia="Microsoft YaHei"/>
                <w:color w:val="0B2545"/>
                <w:sz w:val="14"/>
              </w:rPr>
              <w:t>DG9</w:t>
            </w:r>
          </w:p>
        </w:tc>
        <w:tc>
          <w:tcPr>
            <w:tcW w:type="dxa" w:w="3760"/>
            <w:tcMar>
              <w:top w:w="45" w:type="dxa"/>
              <w:bottom w:w="45" w:type="dxa"/>
              <w:start w:w="100" w:type="dxa"/>
              <w:end w:w="100" w:type="dxa"/>
            </w:tcMar>
          </w:tcPr>
          <w:p>
            <w:pPr>
              <w:keepLines/>
              <w:spacing w:after="0" w:line="252" w:lineRule="auto"/>
            </w:pPr>
            <w:r>
              <w:rPr>
                <w:rFonts w:ascii="Calibri" w:hAnsi="Calibri" w:eastAsia="Microsoft YaHei"/>
                <w:color w:val="0B2545"/>
                <w:sz w:val="14"/>
              </w:rPr>
              <w:t>RENATE 三维束发射光谱合成诊断</w:t>
            </w:r>
          </w:p>
        </w:tc>
        <w:tc>
          <w:tcPr>
            <w:tcW w:type="dxa" w:w="800"/>
            <w:tcMar>
              <w:top w:w="45" w:type="dxa"/>
              <w:bottom w:w="45" w:type="dxa"/>
              <w:start w:w="100" w:type="dxa"/>
              <w:end w:w="100" w:type="dxa"/>
            </w:tcMar>
          </w:tcPr>
          <w:p>
            <w:pPr>
              <w:keepLines/>
              <w:spacing w:after="0" w:line="252" w:lineRule="auto"/>
            </w:pPr>
            <w:r>
              <w:rPr>
                <w:rFonts w:ascii="Calibri" w:hAnsi="Calibri" w:eastAsia="Microsoft YaHei"/>
                <w:color w:val="0B2545"/>
                <w:sz w:val="14"/>
              </w:rPr>
              <w:t>E3</w:t>
            </w:r>
          </w:p>
        </w:tc>
        <w:tc>
          <w:tcPr>
            <w:tcW w:type="dxa" w:w="2900"/>
            <w:tcMar>
              <w:top w:w="45" w:type="dxa"/>
              <w:bottom w:w="45" w:type="dxa"/>
              <w:start w:w="100" w:type="dxa"/>
              <w:end w:w="100" w:type="dxa"/>
            </w:tcMar>
          </w:tcPr>
          <w:p>
            <w:pPr>
              <w:keepLines/>
              <w:spacing w:after="0" w:line="252" w:lineRule="auto"/>
            </w:pPr>
            <w:r>
              <w:rPr>
                <w:rFonts w:ascii="Calibri" w:hAnsi="Calibri" w:eastAsia="Microsoft YaHei"/>
                <w:color w:val="0B2545"/>
                <w:sz w:val="14"/>
              </w:rPr>
              <w:t>KSTAR；EAST；HSX studies；ITER neutral beam test facilities</w:t>
            </w:r>
          </w:p>
        </w:tc>
      </w:tr>
      <w:tr>
        <w:trPr>
          <w:cantSplit/>
        </w:trPr>
        <w:tc>
          <w:tcPr>
            <w:tcW w:type="dxa" w:w="1000"/>
            <w:tcMar>
              <w:top w:w="45" w:type="dxa"/>
              <w:bottom w:w="45" w:type="dxa"/>
              <w:start w:w="100" w:type="dxa"/>
              <w:end w:w="100" w:type="dxa"/>
            </w:tcMar>
          </w:tcPr>
          <w:p>
            <w:pPr>
              <w:keepLines/>
              <w:spacing w:after="0" w:line="252" w:lineRule="auto"/>
            </w:pPr>
            <w:r>
              <w:rPr>
                <w:rFonts w:ascii="Calibri" w:hAnsi="Calibri" w:eastAsia="Microsoft YaHei"/>
                <w:color w:val="0B2545"/>
                <w:sz w:val="14"/>
              </w:rPr>
              <w:t>DSI-023</w:t>
            </w:r>
          </w:p>
        </w:tc>
        <w:tc>
          <w:tcPr>
            <w:tcW w:type="dxa" w:w="900"/>
            <w:tcMar>
              <w:top w:w="45" w:type="dxa"/>
              <w:bottom w:w="45" w:type="dxa"/>
              <w:start w:w="100" w:type="dxa"/>
              <w:end w:w="100" w:type="dxa"/>
            </w:tcMar>
          </w:tcPr>
          <w:p>
            <w:pPr>
              <w:keepLines/>
              <w:spacing w:after="0" w:line="252" w:lineRule="auto"/>
            </w:pPr>
            <w:r>
              <w:rPr>
                <w:rFonts w:ascii="Calibri" w:hAnsi="Calibri" w:eastAsia="Microsoft YaHei"/>
                <w:color w:val="0B2545"/>
                <w:sz w:val="14"/>
              </w:rPr>
              <w:t>DG10</w:t>
            </w:r>
          </w:p>
        </w:tc>
        <w:tc>
          <w:tcPr>
            <w:tcW w:type="dxa" w:w="3760"/>
            <w:tcMar>
              <w:top w:w="45" w:type="dxa"/>
              <w:bottom w:w="45" w:type="dxa"/>
              <w:start w:w="100" w:type="dxa"/>
              <w:end w:w="100" w:type="dxa"/>
            </w:tcMar>
          </w:tcPr>
          <w:p>
            <w:pPr>
              <w:keepLines/>
              <w:spacing w:after="0" w:line="252" w:lineRule="auto"/>
            </w:pPr>
            <w:r>
              <w:rPr>
                <w:rFonts w:ascii="Calibri" w:hAnsi="Calibri" w:eastAsia="Microsoft YaHei"/>
                <w:color w:val="0B2545"/>
                <w:sz w:val="14"/>
              </w:rPr>
              <w:t>Minerva 贝叶斯诊断建模与模型数据融合框架</w:t>
            </w:r>
          </w:p>
        </w:tc>
        <w:tc>
          <w:tcPr>
            <w:tcW w:type="dxa" w:w="800"/>
            <w:tcMar>
              <w:top w:w="45" w:type="dxa"/>
              <w:bottom w:w="45" w:type="dxa"/>
              <w:start w:w="100" w:type="dxa"/>
              <w:end w:w="100" w:type="dxa"/>
            </w:tcMar>
          </w:tcPr>
          <w:p>
            <w:pPr>
              <w:keepLines/>
              <w:spacing w:after="0" w:line="252" w:lineRule="auto"/>
            </w:pPr>
            <w:r>
              <w:rPr>
                <w:rFonts w:ascii="Calibri" w:hAnsi="Calibri" w:eastAsia="Microsoft YaHei"/>
                <w:color w:val="0B2545"/>
                <w:sz w:val="14"/>
              </w:rPr>
              <w:t>E3</w:t>
            </w:r>
          </w:p>
        </w:tc>
        <w:tc>
          <w:tcPr>
            <w:tcW w:type="dxa" w:w="2900"/>
            <w:tcMar>
              <w:top w:w="45" w:type="dxa"/>
              <w:bottom w:w="45" w:type="dxa"/>
              <w:start w:w="100" w:type="dxa"/>
              <w:end w:w="100" w:type="dxa"/>
            </w:tcMar>
          </w:tcPr>
          <w:p>
            <w:pPr>
              <w:keepLines/>
              <w:spacing w:after="0" w:line="252" w:lineRule="auto"/>
            </w:pPr>
            <w:r>
              <w:rPr>
                <w:rFonts w:ascii="Calibri" w:hAnsi="Calibri" w:eastAsia="Microsoft YaHei"/>
                <w:color w:val="0B2545"/>
                <w:sz w:val="14"/>
              </w:rPr>
              <w:t>JET；W7-X；MAST and framework applications</w:t>
            </w:r>
          </w:p>
        </w:tc>
      </w:tr>
      <w:tr>
        <w:trPr>
          <w:cantSplit/>
        </w:trPr>
        <w:tc>
          <w:tcPr>
            <w:tcW w:type="dxa" w:w="1000"/>
            <w:tcMar>
              <w:top w:w="45" w:type="dxa"/>
              <w:bottom w:w="45" w:type="dxa"/>
              <w:start w:w="100" w:type="dxa"/>
              <w:end w:w="100" w:type="dxa"/>
            </w:tcMar>
          </w:tcPr>
          <w:p>
            <w:pPr>
              <w:keepLines/>
              <w:spacing w:after="0" w:line="252" w:lineRule="auto"/>
            </w:pPr>
            <w:r>
              <w:rPr>
                <w:rFonts w:ascii="Calibri" w:hAnsi="Calibri" w:eastAsia="Microsoft YaHei"/>
                <w:color w:val="0B2545"/>
                <w:sz w:val="14"/>
              </w:rPr>
              <w:t>DSI-024</w:t>
            </w:r>
          </w:p>
        </w:tc>
        <w:tc>
          <w:tcPr>
            <w:tcW w:type="dxa" w:w="900"/>
            <w:tcMar>
              <w:top w:w="45" w:type="dxa"/>
              <w:bottom w:w="45" w:type="dxa"/>
              <w:start w:w="100" w:type="dxa"/>
              <w:end w:w="100" w:type="dxa"/>
            </w:tcMar>
          </w:tcPr>
          <w:p>
            <w:pPr>
              <w:keepLines/>
              <w:spacing w:after="0" w:line="252" w:lineRule="auto"/>
            </w:pPr>
            <w:r>
              <w:rPr>
                <w:rFonts w:ascii="Calibri" w:hAnsi="Calibri" w:eastAsia="Microsoft YaHei"/>
                <w:color w:val="0B2545"/>
                <w:sz w:val="14"/>
              </w:rPr>
              <w:t>DG10</w:t>
            </w:r>
          </w:p>
        </w:tc>
        <w:tc>
          <w:tcPr>
            <w:tcW w:type="dxa" w:w="3760"/>
            <w:tcMar>
              <w:top w:w="45" w:type="dxa"/>
              <w:bottom w:w="45" w:type="dxa"/>
              <w:start w:w="100" w:type="dxa"/>
              <w:end w:w="100" w:type="dxa"/>
            </w:tcMar>
          </w:tcPr>
          <w:p>
            <w:pPr>
              <w:keepLines/>
              <w:spacing w:after="0" w:line="252" w:lineRule="auto"/>
            </w:pPr>
            <w:r>
              <w:rPr>
                <w:rFonts w:ascii="Calibri" w:hAnsi="Calibri" w:eastAsia="Microsoft YaHei"/>
                <w:color w:val="0B2545"/>
                <w:sz w:val="14"/>
              </w:rPr>
              <w:t>ASDEX Upgrade 电子温度—密度集成数据分析</w:t>
            </w:r>
          </w:p>
        </w:tc>
        <w:tc>
          <w:tcPr>
            <w:tcW w:type="dxa" w:w="800"/>
            <w:tcMar>
              <w:top w:w="45" w:type="dxa"/>
              <w:bottom w:w="45" w:type="dxa"/>
              <w:start w:w="100" w:type="dxa"/>
              <w:end w:w="100" w:type="dxa"/>
            </w:tcMar>
          </w:tcPr>
          <w:p>
            <w:pPr>
              <w:keepLines/>
              <w:spacing w:after="0" w:line="252" w:lineRule="auto"/>
            </w:pPr>
            <w:r>
              <w:rPr>
                <w:rFonts w:ascii="Calibri" w:hAnsi="Calibri" w:eastAsia="Microsoft YaHei"/>
                <w:color w:val="0B2545"/>
                <w:sz w:val="14"/>
              </w:rPr>
              <w:t>E3</w:t>
            </w:r>
          </w:p>
        </w:tc>
        <w:tc>
          <w:tcPr>
            <w:tcW w:type="dxa" w:w="2900"/>
            <w:tcMar>
              <w:top w:w="45" w:type="dxa"/>
              <w:bottom w:w="45" w:type="dxa"/>
              <w:start w:w="100" w:type="dxa"/>
              <w:end w:w="100" w:type="dxa"/>
            </w:tcMar>
          </w:tcPr>
          <w:p>
            <w:pPr>
              <w:keepLines/>
              <w:spacing w:after="0" w:line="252" w:lineRule="auto"/>
            </w:pPr>
            <w:r>
              <w:rPr>
                <w:rFonts w:ascii="Calibri" w:hAnsi="Calibri" w:eastAsia="Microsoft YaHei"/>
                <w:color w:val="0B2545"/>
                <w:sz w:val="14"/>
              </w:rPr>
              <w:t>ASDEX Upgrade</w:t>
            </w:r>
          </w:p>
        </w:tc>
      </w:tr>
      <w:tr>
        <w:trPr>
          <w:cantSplit/>
        </w:trPr>
        <w:tc>
          <w:tcPr>
            <w:tcW w:type="dxa" w:w="1000"/>
            <w:tcMar>
              <w:top w:w="45" w:type="dxa"/>
              <w:bottom w:w="45" w:type="dxa"/>
              <w:start w:w="100" w:type="dxa"/>
              <w:end w:w="100" w:type="dxa"/>
            </w:tcMar>
          </w:tcPr>
          <w:p>
            <w:pPr>
              <w:keepLines/>
              <w:spacing w:after="0" w:line="252" w:lineRule="auto"/>
            </w:pPr>
            <w:r>
              <w:rPr>
                <w:rFonts w:ascii="Calibri" w:hAnsi="Calibri" w:eastAsia="Microsoft YaHei"/>
                <w:color w:val="0B2545"/>
                <w:sz w:val="14"/>
              </w:rPr>
              <w:t>DSI-025</w:t>
            </w:r>
          </w:p>
        </w:tc>
        <w:tc>
          <w:tcPr>
            <w:tcW w:type="dxa" w:w="900"/>
            <w:tcMar>
              <w:top w:w="45" w:type="dxa"/>
              <w:bottom w:w="45" w:type="dxa"/>
              <w:start w:w="100" w:type="dxa"/>
              <w:end w:w="100" w:type="dxa"/>
            </w:tcMar>
          </w:tcPr>
          <w:p>
            <w:pPr>
              <w:keepLines/>
              <w:spacing w:after="0" w:line="252" w:lineRule="auto"/>
            </w:pPr>
            <w:r>
              <w:rPr>
                <w:rFonts w:ascii="Calibri" w:hAnsi="Calibri" w:eastAsia="Microsoft YaHei"/>
                <w:color w:val="0B2545"/>
                <w:sz w:val="14"/>
              </w:rPr>
              <w:t>DG10</w:t>
            </w:r>
          </w:p>
        </w:tc>
        <w:tc>
          <w:tcPr>
            <w:tcW w:type="dxa" w:w="3760"/>
            <w:tcMar>
              <w:top w:w="45" w:type="dxa"/>
              <w:bottom w:w="45" w:type="dxa"/>
              <w:start w:w="100" w:type="dxa"/>
              <w:end w:w="100" w:type="dxa"/>
            </w:tcMar>
          </w:tcPr>
          <w:p>
            <w:pPr>
              <w:keepLines/>
              <w:spacing w:after="0" w:line="252" w:lineRule="auto"/>
            </w:pPr>
            <w:r>
              <w:rPr>
                <w:rFonts w:ascii="Calibri" w:hAnsi="Calibri" w:eastAsia="Microsoft YaHei"/>
                <w:color w:val="0B2545"/>
                <w:sz w:val="14"/>
              </w:rPr>
              <w:t>JET 微波诊断联合贝叶斯反演</w:t>
            </w:r>
          </w:p>
        </w:tc>
        <w:tc>
          <w:tcPr>
            <w:tcW w:type="dxa" w:w="800"/>
            <w:tcMar>
              <w:top w:w="45" w:type="dxa"/>
              <w:bottom w:w="45" w:type="dxa"/>
              <w:start w:w="100" w:type="dxa"/>
              <w:end w:w="100" w:type="dxa"/>
            </w:tcMar>
          </w:tcPr>
          <w:p>
            <w:pPr>
              <w:keepLines/>
              <w:spacing w:after="0" w:line="252" w:lineRule="auto"/>
            </w:pPr>
            <w:r>
              <w:rPr>
                <w:rFonts w:ascii="Calibri" w:hAnsi="Calibri" w:eastAsia="Microsoft YaHei"/>
                <w:color w:val="0B2545"/>
                <w:sz w:val="14"/>
              </w:rPr>
              <w:t>E3</w:t>
            </w:r>
          </w:p>
        </w:tc>
        <w:tc>
          <w:tcPr>
            <w:tcW w:type="dxa" w:w="2900"/>
            <w:tcMar>
              <w:top w:w="45" w:type="dxa"/>
              <w:bottom w:w="45" w:type="dxa"/>
              <w:start w:w="100" w:type="dxa"/>
              <w:end w:w="100" w:type="dxa"/>
            </w:tcMar>
          </w:tcPr>
          <w:p>
            <w:pPr>
              <w:keepLines/>
              <w:spacing w:after="0" w:line="252" w:lineRule="auto"/>
            </w:pPr>
            <w:r>
              <w:rPr>
                <w:rFonts w:ascii="Calibri" w:hAnsi="Calibri" w:eastAsia="Microsoft YaHei"/>
                <w:color w:val="0B2545"/>
                <w:sz w:val="14"/>
              </w:rPr>
              <w:t>JET</w:t>
            </w:r>
          </w:p>
        </w:tc>
      </w:tr>
      <w:tr>
        <w:trPr>
          <w:cantSplit/>
        </w:trPr>
        <w:tc>
          <w:tcPr>
            <w:tcW w:type="dxa" w:w="1000"/>
            <w:tcMar>
              <w:top w:w="45" w:type="dxa"/>
              <w:bottom w:w="45" w:type="dxa"/>
              <w:start w:w="100" w:type="dxa"/>
              <w:end w:w="100" w:type="dxa"/>
            </w:tcMar>
          </w:tcPr>
          <w:p>
            <w:pPr>
              <w:keepLines/>
              <w:spacing w:after="0" w:line="252" w:lineRule="auto"/>
            </w:pPr>
            <w:r>
              <w:rPr>
                <w:rFonts w:ascii="Calibri" w:hAnsi="Calibri" w:eastAsia="Microsoft YaHei"/>
                <w:color w:val="0B2545"/>
                <w:sz w:val="14"/>
              </w:rPr>
              <w:t>DSI-029</w:t>
            </w:r>
          </w:p>
        </w:tc>
        <w:tc>
          <w:tcPr>
            <w:tcW w:type="dxa" w:w="900"/>
            <w:tcMar>
              <w:top w:w="45" w:type="dxa"/>
              <w:bottom w:w="45" w:type="dxa"/>
              <w:start w:w="100" w:type="dxa"/>
              <w:end w:w="100" w:type="dxa"/>
            </w:tcMar>
          </w:tcPr>
          <w:p>
            <w:pPr>
              <w:keepLines/>
              <w:spacing w:after="0" w:line="252" w:lineRule="auto"/>
            </w:pPr>
            <w:r>
              <w:rPr>
                <w:rFonts w:ascii="Calibri" w:hAnsi="Calibri" w:eastAsia="Microsoft YaHei"/>
                <w:color w:val="0B2545"/>
                <w:sz w:val="14"/>
              </w:rPr>
              <w:t>DG10</w:t>
            </w:r>
          </w:p>
        </w:tc>
        <w:tc>
          <w:tcPr>
            <w:tcW w:type="dxa" w:w="3760"/>
            <w:tcMar>
              <w:top w:w="45" w:type="dxa"/>
              <w:bottom w:w="45" w:type="dxa"/>
              <w:start w:w="100" w:type="dxa"/>
              <w:end w:w="100" w:type="dxa"/>
            </w:tcMar>
          </w:tcPr>
          <w:p>
            <w:pPr>
              <w:keepLines/>
              <w:spacing w:after="0" w:line="252" w:lineRule="auto"/>
            </w:pPr>
            <w:r>
              <w:rPr>
                <w:rFonts w:ascii="Calibri" w:hAnsi="Calibri" w:eastAsia="Microsoft YaHei"/>
                <w:color w:val="0B2545"/>
                <w:sz w:val="14"/>
              </w:rPr>
              <w:t>InDiCA 集成诊断分析框架</w:t>
            </w:r>
          </w:p>
        </w:tc>
        <w:tc>
          <w:tcPr>
            <w:tcW w:type="dxa" w:w="800"/>
            <w:tcMar>
              <w:top w:w="45" w:type="dxa"/>
              <w:bottom w:w="45" w:type="dxa"/>
              <w:start w:w="100" w:type="dxa"/>
              <w:end w:w="100" w:type="dxa"/>
            </w:tcMar>
          </w:tcPr>
          <w:p>
            <w:pPr>
              <w:keepLines/>
              <w:spacing w:after="0" w:line="252" w:lineRule="auto"/>
            </w:pPr>
            <w:r>
              <w:rPr>
                <w:rFonts w:ascii="Calibri" w:hAnsi="Calibri" w:eastAsia="Microsoft YaHei"/>
                <w:color w:val="0B2545"/>
                <w:sz w:val="14"/>
              </w:rPr>
              <w:t>E2</w:t>
            </w:r>
          </w:p>
        </w:tc>
        <w:tc>
          <w:tcPr>
            <w:tcW w:type="dxa" w:w="2900"/>
            <w:tcMar>
              <w:top w:w="45" w:type="dxa"/>
              <w:bottom w:w="45" w:type="dxa"/>
              <w:start w:w="100" w:type="dxa"/>
              <w:end w:w="100" w:type="dxa"/>
            </w:tcMar>
          </w:tcPr>
          <w:p>
            <w:pPr>
              <w:keepLines/>
              <w:spacing w:after="0" w:line="252" w:lineRule="auto"/>
            </w:pPr>
            <w:r>
              <w:rPr>
                <w:rFonts w:ascii="Calibri" w:hAnsi="Calibri" w:eastAsia="Microsoft YaHei"/>
                <w:color w:val="0B2545"/>
                <w:sz w:val="14"/>
              </w:rPr>
              <w:t>MAST Upgrade/UKAEA-oriented development；generic magnetic-confinement devices</w:t>
            </w:r>
          </w:p>
        </w:tc>
      </w:tr>
      <w:tr>
        <w:trPr>
          <w:cantSplit/>
        </w:trPr>
        <w:tc>
          <w:tcPr>
            <w:tcW w:type="dxa" w:w="1000"/>
            <w:tcMar>
              <w:top w:w="45" w:type="dxa"/>
              <w:bottom w:w="45" w:type="dxa"/>
              <w:start w:w="100" w:type="dxa"/>
              <w:end w:w="100" w:type="dxa"/>
            </w:tcMar>
          </w:tcPr>
          <w:p>
            <w:pPr>
              <w:keepLines/>
              <w:spacing w:after="0" w:line="252" w:lineRule="auto"/>
            </w:pPr>
            <w:r>
              <w:rPr>
                <w:rFonts w:ascii="Calibri" w:hAnsi="Calibri" w:eastAsia="Microsoft YaHei"/>
                <w:color w:val="0B2545"/>
                <w:sz w:val="14"/>
              </w:rPr>
              <w:t>DSI-034</w:t>
            </w:r>
          </w:p>
        </w:tc>
        <w:tc>
          <w:tcPr>
            <w:tcW w:type="dxa" w:w="900"/>
            <w:tcMar>
              <w:top w:w="45" w:type="dxa"/>
              <w:bottom w:w="45" w:type="dxa"/>
              <w:start w:w="100" w:type="dxa"/>
              <w:end w:w="100" w:type="dxa"/>
            </w:tcMar>
          </w:tcPr>
          <w:p>
            <w:pPr>
              <w:keepLines/>
              <w:spacing w:after="0" w:line="252" w:lineRule="auto"/>
            </w:pPr>
            <w:r>
              <w:rPr>
                <w:rFonts w:ascii="Calibri" w:hAnsi="Calibri" w:eastAsia="Microsoft YaHei"/>
                <w:color w:val="0B2545"/>
                <w:sz w:val="14"/>
              </w:rPr>
              <w:t>DG10</w:t>
            </w:r>
          </w:p>
        </w:tc>
        <w:tc>
          <w:tcPr>
            <w:tcW w:type="dxa" w:w="3760"/>
            <w:tcMar>
              <w:top w:w="45" w:type="dxa"/>
              <w:bottom w:w="45" w:type="dxa"/>
              <w:start w:w="100" w:type="dxa"/>
              <w:end w:w="100" w:type="dxa"/>
            </w:tcMar>
          </w:tcPr>
          <w:p>
            <w:pPr>
              <w:keepLines/>
              <w:spacing w:after="0" w:line="252" w:lineRule="auto"/>
            </w:pPr>
            <w:r>
              <w:rPr>
                <w:rFonts w:ascii="Calibri" w:hAnsi="Calibri" w:eastAsia="Microsoft YaHei"/>
                <w:color w:val="0B2545"/>
                <w:sz w:val="14"/>
              </w:rPr>
              <w:t>Diag2Diag 多模态诊断超分辨与代理观测</w:t>
            </w:r>
          </w:p>
        </w:tc>
        <w:tc>
          <w:tcPr>
            <w:tcW w:type="dxa" w:w="800"/>
            <w:tcMar>
              <w:top w:w="45" w:type="dxa"/>
              <w:bottom w:w="45" w:type="dxa"/>
              <w:start w:w="100" w:type="dxa"/>
              <w:end w:w="100" w:type="dxa"/>
            </w:tcMar>
          </w:tcPr>
          <w:p>
            <w:pPr>
              <w:keepLines/>
              <w:spacing w:after="0" w:line="252" w:lineRule="auto"/>
            </w:pPr>
            <w:r>
              <w:rPr>
                <w:rFonts w:ascii="Calibri" w:hAnsi="Calibri" w:eastAsia="Microsoft YaHei"/>
                <w:color w:val="0B2545"/>
                <w:sz w:val="14"/>
              </w:rPr>
              <w:t>E3</w:t>
            </w:r>
          </w:p>
        </w:tc>
        <w:tc>
          <w:tcPr>
            <w:tcW w:type="dxa" w:w="2900"/>
            <w:tcMar>
              <w:top w:w="45" w:type="dxa"/>
              <w:bottom w:w="45" w:type="dxa"/>
              <w:start w:w="100" w:type="dxa"/>
              <w:end w:w="100" w:type="dxa"/>
            </w:tcMar>
          </w:tcPr>
          <w:p>
            <w:pPr>
              <w:keepLines/>
              <w:spacing w:after="0" w:line="252" w:lineRule="auto"/>
            </w:pPr>
            <w:r>
              <w:rPr>
                <w:rFonts w:ascii="Calibri" w:hAnsi="Calibri" w:eastAsia="Microsoft YaHei"/>
                <w:color w:val="0B2545"/>
                <w:sz w:val="14"/>
              </w:rPr>
              <w:t>DIII-D</w:t>
            </w:r>
          </w:p>
        </w:tc>
      </w:tr>
      <w:tr>
        <w:trPr>
          <w:cantSplit/>
        </w:trPr>
        <w:tc>
          <w:tcPr>
            <w:tcW w:type="dxa" w:w="1000"/>
            <w:tcMar>
              <w:top w:w="45" w:type="dxa"/>
              <w:bottom w:w="45" w:type="dxa"/>
              <w:start w:w="100" w:type="dxa"/>
              <w:end w:w="100" w:type="dxa"/>
            </w:tcMar>
          </w:tcPr>
          <w:p>
            <w:pPr>
              <w:keepLines/>
              <w:spacing w:after="0" w:line="252" w:lineRule="auto"/>
            </w:pPr>
            <w:r>
              <w:rPr>
                <w:rFonts w:ascii="Calibri" w:hAnsi="Calibri" w:eastAsia="Microsoft YaHei"/>
                <w:color w:val="0B2545"/>
                <w:sz w:val="14"/>
              </w:rPr>
              <w:t>DSI-031</w:t>
            </w:r>
          </w:p>
        </w:tc>
        <w:tc>
          <w:tcPr>
            <w:tcW w:type="dxa" w:w="900"/>
            <w:tcMar>
              <w:top w:w="45" w:type="dxa"/>
              <w:bottom w:w="45" w:type="dxa"/>
              <w:start w:w="100" w:type="dxa"/>
              <w:end w:w="100" w:type="dxa"/>
            </w:tcMar>
          </w:tcPr>
          <w:p>
            <w:pPr>
              <w:keepLines/>
              <w:spacing w:after="0" w:line="252" w:lineRule="auto"/>
            </w:pPr>
            <w:r>
              <w:rPr>
                <w:rFonts w:ascii="Calibri" w:hAnsi="Calibri" w:eastAsia="Microsoft YaHei"/>
                <w:color w:val="0B2545"/>
                <w:sz w:val="14"/>
              </w:rPr>
              <w:t>DG11</w:t>
            </w:r>
          </w:p>
        </w:tc>
        <w:tc>
          <w:tcPr>
            <w:tcW w:type="dxa" w:w="3760"/>
            <w:tcMar>
              <w:top w:w="45" w:type="dxa"/>
              <w:bottom w:w="45" w:type="dxa"/>
              <w:start w:w="100" w:type="dxa"/>
              <w:end w:w="100" w:type="dxa"/>
            </w:tcMar>
          </w:tcPr>
          <w:p>
            <w:pPr>
              <w:keepLines/>
              <w:spacing w:after="0" w:line="252" w:lineRule="auto"/>
            </w:pPr>
            <w:r>
              <w:rPr>
                <w:rFonts w:ascii="Calibri" w:hAnsi="Calibri" w:eastAsia="Microsoft YaHei"/>
                <w:color w:val="0B2545"/>
                <w:sz w:val="14"/>
              </w:rPr>
              <w:t>RAPTOR 实时剖面状态观测器</w:t>
            </w:r>
          </w:p>
        </w:tc>
        <w:tc>
          <w:tcPr>
            <w:tcW w:type="dxa" w:w="800"/>
            <w:tcMar>
              <w:top w:w="45" w:type="dxa"/>
              <w:bottom w:w="45" w:type="dxa"/>
              <w:start w:w="100" w:type="dxa"/>
              <w:end w:w="100" w:type="dxa"/>
            </w:tcMar>
          </w:tcPr>
          <w:p>
            <w:pPr>
              <w:keepLines/>
              <w:spacing w:after="0" w:line="252" w:lineRule="auto"/>
            </w:pPr>
            <w:r>
              <w:rPr>
                <w:rFonts w:ascii="Calibri" w:hAnsi="Calibri" w:eastAsia="Microsoft YaHei"/>
                <w:color w:val="0B2545"/>
                <w:sz w:val="14"/>
              </w:rPr>
              <w:t>E3</w:t>
            </w:r>
          </w:p>
        </w:tc>
        <w:tc>
          <w:tcPr>
            <w:tcW w:type="dxa" w:w="2900"/>
            <w:tcMar>
              <w:top w:w="45" w:type="dxa"/>
              <w:bottom w:w="45" w:type="dxa"/>
              <w:start w:w="100" w:type="dxa"/>
              <w:end w:w="100" w:type="dxa"/>
            </w:tcMar>
          </w:tcPr>
          <w:p>
            <w:pPr>
              <w:keepLines/>
              <w:spacing w:after="0" w:line="252" w:lineRule="auto"/>
            </w:pPr>
            <w:r>
              <w:rPr>
                <w:rFonts w:ascii="Calibri" w:hAnsi="Calibri" w:eastAsia="Microsoft YaHei"/>
                <w:color w:val="0B2545"/>
                <w:sz w:val="14"/>
              </w:rPr>
              <w:t>RFX-mod；TCV；DIII-D-oriented control studies</w:t>
            </w:r>
          </w:p>
        </w:tc>
      </w:tr>
      <w:tr>
        <w:trPr>
          <w:cantSplit/>
        </w:trPr>
        <w:tc>
          <w:tcPr>
            <w:tcW w:type="dxa" w:w="1000"/>
            <w:tcMar>
              <w:top w:w="45" w:type="dxa"/>
              <w:bottom w:w="45" w:type="dxa"/>
              <w:start w:w="100" w:type="dxa"/>
              <w:end w:w="100" w:type="dxa"/>
            </w:tcMar>
          </w:tcPr>
          <w:p>
            <w:pPr>
              <w:keepLines/>
              <w:spacing w:after="0" w:line="252" w:lineRule="auto"/>
            </w:pPr>
            <w:r>
              <w:rPr>
                <w:rFonts w:ascii="Calibri" w:hAnsi="Calibri" w:eastAsia="Microsoft YaHei"/>
                <w:color w:val="0B2545"/>
                <w:sz w:val="14"/>
              </w:rPr>
              <w:t>DSI-033</w:t>
            </w:r>
          </w:p>
        </w:tc>
        <w:tc>
          <w:tcPr>
            <w:tcW w:type="dxa" w:w="900"/>
            <w:tcMar>
              <w:top w:w="45" w:type="dxa"/>
              <w:bottom w:w="45" w:type="dxa"/>
              <w:start w:w="100" w:type="dxa"/>
              <w:end w:w="100" w:type="dxa"/>
            </w:tcMar>
          </w:tcPr>
          <w:p>
            <w:pPr>
              <w:keepLines/>
              <w:spacing w:after="0" w:line="252" w:lineRule="auto"/>
            </w:pPr>
            <w:r>
              <w:rPr>
                <w:rFonts w:ascii="Calibri" w:hAnsi="Calibri" w:eastAsia="Microsoft YaHei"/>
                <w:color w:val="0B2545"/>
                <w:sz w:val="14"/>
              </w:rPr>
              <w:t>DG11</w:t>
            </w:r>
          </w:p>
        </w:tc>
        <w:tc>
          <w:tcPr>
            <w:tcW w:type="dxa" w:w="3760"/>
            <w:tcMar>
              <w:top w:w="45" w:type="dxa"/>
              <w:bottom w:w="45" w:type="dxa"/>
              <w:start w:w="100" w:type="dxa"/>
              <w:end w:w="100" w:type="dxa"/>
            </w:tcMar>
          </w:tcPr>
          <w:p>
            <w:pPr>
              <w:keepLines/>
              <w:spacing w:after="0" w:line="252" w:lineRule="auto"/>
            </w:pPr>
            <w:r>
              <w:rPr>
                <w:rFonts w:ascii="Calibri" w:hAnsi="Calibri" w:eastAsia="Microsoft YaHei"/>
                <w:color w:val="0B2545"/>
                <w:sz w:val="14"/>
              </w:rPr>
              <w:t>DisruptionPy 多装置破裂特征提取与基准数据流水线</w:t>
            </w:r>
          </w:p>
        </w:tc>
        <w:tc>
          <w:tcPr>
            <w:tcW w:type="dxa" w:w="800"/>
            <w:tcMar>
              <w:top w:w="45" w:type="dxa"/>
              <w:bottom w:w="45" w:type="dxa"/>
              <w:start w:w="100" w:type="dxa"/>
              <w:end w:w="100" w:type="dxa"/>
            </w:tcMar>
          </w:tcPr>
          <w:p>
            <w:pPr>
              <w:keepLines/>
              <w:spacing w:after="0" w:line="252" w:lineRule="auto"/>
            </w:pPr>
            <w:r>
              <w:rPr>
                <w:rFonts w:ascii="Calibri" w:hAnsi="Calibri" w:eastAsia="Microsoft YaHei"/>
                <w:color w:val="0B2545"/>
                <w:sz w:val="14"/>
              </w:rPr>
              <w:t>E3</w:t>
            </w:r>
          </w:p>
        </w:tc>
        <w:tc>
          <w:tcPr>
            <w:tcW w:type="dxa" w:w="2900"/>
            <w:tcMar>
              <w:top w:w="45" w:type="dxa"/>
              <w:bottom w:w="45" w:type="dxa"/>
              <w:start w:w="100" w:type="dxa"/>
              <w:end w:w="100" w:type="dxa"/>
            </w:tcMar>
          </w:tcPr>
          <w:p>
            <w:pPr>
              <w:keepLines/>
              <w:spacing w:after="0" w:line="252" w:lineRule="auto"/>
            </w:pPr>
            <w:r>
              <w:rPr>
                <w:rFonts w:ascii="Calibri" w:hAnsi="Calibri" w:eastAsia="Microsoft YaHei"/>
                <w:color w:val="0B2545"/>
                <w:sz w:val="14"/>
              </w:rPr>
              <w:t>Alcator C-Mod；DIII-D；EAST；HBT-EP；MAST</w:t>
            </w:r>
          </w:p>
        </w:tc>
      </w:tr>
    </w:tbl>
    <w:p>
      <w:pPr>
        <w:keepNext/>
        <w:pageBreakBefore/>
        <w:spacing w:before="0" w:after="100"/>
      </w:pPr>
      <w:r>
        <w:rPr>
          <w:rFonts w:ascii="Calibri" w:hAnsi="Calibri" w:eastAsia="Microsoft YaHei"/>
          <w:b/>
          <w:caps/>
          <w:color w:val="008C95"/>
          <w:sz w:val="17"/>
        </w:rPr>
        <w:t>08 / DG3 / ION STATE, FLOW, COMPOSITION &amp; NEUTRALS</w:t>
      </w:r>
    </w:p>
    <w:p>
      <w:pPr>
        <w:pStyle w:val="Heading1"/>
      </w:pPr>
      <w:r>
        <w:t>离子状态、流动、组分与中性粒子</w:t>
      </w:r>
    </w:p>
    <w:tbl>
      <w:tblPr>
        <w:tblStyle w:val="TableGrid"/>
        <w:tblW w:type="dxa" w:w="9360"/>
        <w:jc w:val="left"/>
        <w:tblLayout w:type="fixed"/>
        <w:tblLook w:firstColumn="1" w:firstRow="1" w:lastColumn="0" w:lastRow="0" w:noHBand="0" w:noVBand="1" w:val="04A0"/>
        <w:tblInd w:w="120" w:type="dxa"/>
      </w:tblPr>
      <w:tblGrid>
        <w:gridCol w:w="9360"/>
      </w:tblGrid>
      <w:tr>
        <w:trPr>
          <w:cantSplit/>
        </w:trPr>
        <w:tc>
          <w:tcPr>
            <w:tcW w:type="dxa" w:w="9360"/>
            <w:tcMar>
              <w:top w:w="80" w:type="dxa"/>
              <w:bottom w:w="80" w:type="dxa"/>
              <w:start w:w="120" w:type="dxa"/>
              <w:end w:w="120" w:type="dxa"/>
            </w:tcMar>
            <w:vAlign w:val="center"/>
            <w:shd w:fill="F2F4F7"/>
          </w:tcPr>
          <w:p>
            <w:pPr>
              <w:keepNext/>
              <w:keepLines/>
              <w:spacing w:after="40"/>
            </w:pPr>
            <w:r>
              <w:rPr>
                <w:rFonts w:ascii="Calibri" w:hAnsi="Calibri" w:eastAsia="Microsoft YaHei"/>
                <w:b/>
                <w:color w:val="008C95"/>
                <w:sz w:val="17"/>
              </w:rPr>
              <w:t>CHAPTER SCOPE</w:t>
            </w:r>
          </w:p>
          <w:p>
            <w:pPr>
              <w:spacing w:after="0"/>
            </w:pPr>
            <w:r>
              <w:rPr>
                <w:rFonts w:ascii="Calibri" w:hAnsi="Calibri" w:eastAsia="Microsoft YaHei"/>
                <w:color w:val="0B2545"/>
                <w:sz w:val="20"/>
              </w:rPr>
              <w:t>本章全文展开 5 项主工作，并列出 19 项跨域关联工作。关联工作只在其主任务章节全文展开，避免重复计数。</w:t>
            </w:r>
          </w:p>
        </w:tc>
      </w:tr>
    </w:tbl>
    <w:p>
      <w:pPr>
        <w:spacing w:after="40"/>
      </w:pPr>
    </w:p>
    <w:p>
      <w:pPr>
        <w:pStyle w:val="Heading3"/>
        <w:keepNext/>
      </w:pPr>
      <w:r>
        <w:t>DG3.01  电荷交换复合谱：离子温度与转动</w:t>
      </w:r>
    </w:p>
    <w:p>
      <w:pPr>
        <w:keepNext/>
        <w:spacing w:after="80"/>
      </w:pPr>
      <w:r>
        <w:rPr>
          <w:rFonts w:ascii="Calibri" w:hAnsi="Calibri" w:eastAsia="Microsoft YaHei"/>
          <w:i/>
          <w:color w:val="566573"/>
          <w:sz w:val="18"/>
        </w:rPr>
        <w:t>Charge-exchange recombination spectroscopy for ion temperature and rotation</w:t>
      </w:r>
    </w:p>
    <w:tbl>
      <w:tblPr>
        <w:tblStyle w:val="TableGrid"/>
        <w:tblW w:type="dxa" w:w="9360"/>
        <w:jc w:val="left"/>
        <w:tblLayout w:type="fixed"/>
        <w:tblLook w:firstColumn="1" w:firstRow="1" w:lastColumn="0" w:lastRow="0" w:noHBand="0" w:noVBand="1" w:val="04A0"/>
        <w:tblInd w:w="120" w:type="dxa"/>
      </w:tblPr>
      <w:tblGrid>
        <w:gridCol w:w="1200"/>
        <w:gridCol w:w="750"/>
        <w:gridCol w:w="750"/>
        <w:gridCol w:w="2100"/>
        <w:gridCol w:w="4560"/>
      </w:tblGrid>
      <w:tr>
        <w:trPr>
          <w:tblHeader w:val="true"/>
        </w:trPr>
        <w:tc>
          <w:tcPr>
            <w:tcW w:type="dxa" w:w="12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工作 ID</w:t>
            </w:r>
          </w:p>
        </w:tc>
        <w:tc>
          <w:tcPr>
            <w:tcW w:type="dxa" w:w="7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证据</w:t>
            </w:r>
          </w:p>
        </w:tc>
        <w:tc>
          <w:tcPr>
            <w:tcW w:type="dxa" w:w="7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部署</w:t>
            </w:r>
          </w:p>
        </w:tc>
        <w:tc>
          <w:tcPr>
            <w:tcW w:type="dxa" w:w="21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技术族</w:t>
            </w:r>
          </w:p>
        </w:tc>
        <w:tc>
          <w:tcPr>
            <w:tcW w:type="dxa" w:w="456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装置</w:t>
            </w:r>
          </w:p>
        </w:tc>
      </w:tr>
      <w:tr>
        <w:trPr>
          <w:cantSplit/>
        </w:trPr>
        <w:tc>
          <w:tcPr>
            <w:tcW w:type="dxa" w:w="1200"/>
          </w:tcPr>
          <w:p>
            <w:pPr>
              <w:keepLines/>
              <w:spacing w:after="0" w:line="276" w:lineRule="auto"/>
            </w:pPr>
            <w:r>
              <w:rPr>
                <w:rFonts w:ascii="Calibri" w:hAnsi="Calibri" w:eastAsia="Microsoft YaHei"/>
                <w:color w:val="0B2545"/>
                <w:sz w:val="15"/>
              </w:rPr>
              <w:t>DG3-011</w:t>
            </w:r>
          </w:p>
        </w:tc>
        <w:tc>
          <w:tcPr>
            <w:tcW w:type="dxa" w:w="750"/>
          </w:tcPr>
          <w:p>
            <w:pPr>
              <w:keepLines/>
              <w:spacing w:after="0" w:line="276" w:lineRule="auto"/>
            </w:pPr>
            <w:r>
              <w:rPr>
                <w:rFonts w:ascii="Calibri" w:hAnsi="Calibri" w:eastAsia="Microsoft YaHei"/>
                <w:color w:val="0B2545"/>
                <w:sz w:val="15"/>
              </w:rPr>
              <w:t>E4</w:t>
            </w:r>
          </w:p>
        </w:tc>
        <w:tc>
          <w:tcPr>
            <w:tcW w:type="dxa" w:w="750"/>
          </w:tcPr>
          <w:p>
            <w:pPr>
              <w:keepLines/>
              <w:spacing w:after="0" w:line="276" w:lineRule="auto"/>
            </w:pPr>
            <w:r>
              <w:rPr>
                <w:rFonts w:ascii="Calibri" w:hAnsi="Calibri" w:eastAsia="Microsoft YaHei"/>
                <w:color w:val="0B2545"/>
                <w:sz w:val="15"/>
              </w:rPr>
              <w:t>D4</w:t>
            </w:r>
          </w:p>
        </w:tc>
        <w:tc>
          <w:tcPr>
            <w:tcW w:type="dxa" w:w="2100"/>
          </w:tcPr>
          <w:p>
            <w:pPr>
              <w:keepLines/>
              <w:spacing w:after="0" w:line="276" w:lineRule="auto"/>
            </w:pPr>
            <w:r>
              <w:rPr>
                <w:rFonts w:ascii="Calibri" w:hAnsi="Calibri" w:eastAsia="Microsoft YaHei"/>
                <w:color w:val="0B2545"/>
                <w:sz w:val="15"/>
              </w:rPr>
              <w:t>OPTICAL</w:t>
            </w:r>
          </w:p>
        </w:tc>
        <w:tc>
          <w:tcPr>
            <w:tcW w:type="dxa" w:w="4560"/>
          </w:tcPr>
          <w:p>
            <w:pPr>
              <w:keepLines/>
              <w:spacing w:after="0" w:line="276" w:lineRule="auto"/>
            </w:pPr>
            <w:r>
              <w:rPr>
                <w:rFonts w:ascii="Calibri" w:hAnsi="Calibri" w:eastAsia="Microsoft YaHei"/>
                <w:color w:val="0B2545"/>
                <w:sz w:val="15"/>
              </w:rPr>
              <w:t>DIII-D；HL-2A；JET；KSTAR</w:t>
            </w:r>
          </w:p>
        </w:tc>
      </w:tr>
    </w:tbl>
    <w:p>
      <w:pPr>
        <w:spacing w:before="0" w:after="60"/>
      </w:pPr>
    </w:p>
    <w:p>
      <w:pPr>
        <w:widowControl/>
      </w:pPr>
      <w:r>
        <w:rPr>
          <w:rFonts w:ascii="Calibri" w:hAnsi="Calibri" w:eastAsia="Microsoft YaHei"/>
          <w:b/>
          <w:color w:val="1F4D78"/>
        </w:rPr>
        <w:t>解决问题：</w:t>
      </w:r>
      <w:r>
        <w:rPr>
          <w:rFonts w:ascii="Calibri" w:hAnsi="Calibri" w:eastAsia="Microsoft YaHei"/>
        </w:rPr>
        <w:t>测量局部Ti、环/极向流和杂质密度，支撑动量输运与径向电场分析。</w:t>
      </w:r>
    </w:p>
    <w:p>
      <w:pPr>
        <w:widowControl/>
      </w:pPr>
      <w:r>
        <w:rPr>
          <w:rFonts w:ascii="Calibri" w:hAnsi="Calibri" w:eastAsia="Microsoft YaHei"/>
          <w:b/>
          <w:color w:val="1F4D78"/>
        </w:rPr>
        <w:t>测量原理：</w:t>
      </w:r>
      <w:r>
        <w:rPr>
          <w:rFonts w:ascii="Calibri" w:hAnsi="Calibri" w:eastAsia="Microsoft YaHei"/>
        </w:rPr>
        <w:t>束中性与离子电荷交换后的谱线宽度、位移和绝对强度分别编码Ti、速度和密度。</w:t>
      </w:r>
    </w:p>
    <w:p>
      <w:pPr>
        <w:widowControl/>
      </w:pPr>
      <w:r>
        <w:rPr>
          <w:rFonts w:ascii="Calibri" w:hAnsi="Calibri" w:eastAsia="Microsoft YaHei"/>
          <w:b/>
          <w:color w:val="1F4D78"/>
        </w:rPr>
        <w:t>测量产品：</w:t>
      </w:r>
      <w:r>
        <w:rPr>
          <w:rFonts w:ascii="Calibri" w:hAnsi="Calibri" w:eastAsia="Microsoft YaHei"/>
        </w:rPr>
        <w:t>ion temperature；toroidal/poloidal rotation；impurity density；radial electric field</w:t>
      </w:r>
    </w:p>
    <w:p>
      <w:pPr>
        <w:widowControl/>
      </w:pPr>
      <w:r>
        <w:rPr>
          <w:rFonts w:ascii="Calibri" w:hAnsi="Calibri" w:eastAsia="Microsoft YaHei"/>
          <w:b/>
          <w:color w:val="1F4D78"/>
        </w:rPr>
        <w:t>时空分辨与覆盖：</w:t>
      </w:r>
      <w:r>
        <w:rPr>
          <w:rFonts w:ascii="Calibri" w:hAnsi="Calibri" w:eastAsia="Microsoft YaHei"/>
        </w:rPr>
        <w:t>时间：因装置、采集和分析链而异；原始来源未给出统一数值。；空间：由视线、几何和反演设定；原始来源未给出统一数值。</w:t>
      </w:r>
    </w:p>
    <w:p>
      <w:pPr>
        <w:widowControl/>
      </w:pPr>
      <w:r>
        <w:rPr>
          <w:rFonts w:ascii="Calibri" w:hAnsi="Calibri" w:eastAsia="Microsoft YaHei"/>
          <w:b/>
          <w:color w:val="1F4D78"/>
        </w:rPr>
        <w:t>仪器与传感器：</w:t>
      </w:r>
      <w:r>
        <w:rPr>
          <w:rFonts w:ascii="Calibri" w:hAnsi="Calibri" w:eastAsia="Microsoft YaHei"/>
        </w:rPr>
        <w:t>neutral beam；high-throughput spectrometers；fiber views；CCD；wavelength lamps</w:t>
      </w:r>
    </w:p>
    <w:p>
      <w:pPr>
        <w:widowControl/>
      </w:pPr>
      <w:r>
        <w:rPr>
          <w:rFonts w:ascii="Calibri" w:hAnsi="Calibri" w:eastAsia="Microsoft YaHei"/>
          <w:b/>
          <w:color w:val="1F4D78"/>
        </w:rPr>
        <w:t>标定与质量：</w:t>
      </w:r>
      <w:r>
        <w:rPr>
          <w:rFonts w:ascii="Calibri" w:hAnsi="Calibri" w:eastAsia="Microsoft YaHei"/>
        </w:rPr>
        <w:t>标定波长、仪器函数和响应；束开/关分主动/被动光，原子数据版本受控。</w:t>
      </w:r>
    </w:p>
    <w:p>
      <w:pPr>
        <w:widowControl/>
      </w:pPr>
      <w:r>
        <w:rPr>
          <w:rFonts w:ascii="Calibri" w:hAnsi="Calibri" w:eastAsia="Microsoft YaHei"/>
          <w:b/>
          <w:color w:val="1F4D78"/>
        </w:rPr>
        <w:t>反演与分析：</w:t>
      </w:r>
      <w:r>
        <w:rPr>
          <w:rFonts w:ascii="Calibri" w:hAnsi="Calibri" w:eastAsia="Microsoft YaHei"/>
        </w:rPr>
        <w:t>物理谱模型拟合后投影视线速度，并以力平衡推断Er。</w:t>
      </w:r>
    </w:p>
    <w:p>
      <w:pPr>
        <w:widowControl/>
      </w:pPr>
      <w:r>
        <w:rPr>
          <w:rFonts w:ascii="Calibri" w:hAnsi="Calibri" w:eastAsia="Microsoft YaHei"/>
          <w:b/>
          <w:color w:val="1F4D78"/>
        </w:rPr>
        <w:t>验证与应用：</w:t>
      </w:r>
      <w:r>
        <w:rPr>
          <w:rFonts w:ascii="Calibri" w:hAnsi="Calibri" w:eastAsia="Microsoft YaHei"/>
        </w:rPr>
        <w:t>HL-2A 与 DIII-D 装置常规 CXRS/CER 测量用标定灯、束调制、重复视线和晶体谱/能量约束交叉验证。</w:t>
      </w:r>
    </w:p>
    <w:p>
      <w:pPr>
        <w:widowControl/>
      </w:pPr>
      <w:r>
        <w:rPr>
          <w:rFonts w:ascii="Calibri" w:hAnsi="Calibri" w:eastAsia="Microsoft YaHei"/>
          <w:b/>
          <w:color w:val="1F4D78"/>
        </w:rPr>
        <w:t>局限与边界：</w:t>
      </w:r>
      <w:r>
        <w:rPr>
          <w:rFonts w:ascii="Calibri" w:hAnsi="Calibri" w:eastAsia="Microsoft YaHei"/>
        </w:rPr>
        <w:t>束衰减、有限寿命、谱重叠、视线积分和原子速率是主要系统误差。</w:t>
      </w:r>
    </w:p>
    <w:tbl>
      <w:tblPr>
        <w:tblStyle w:val="TableGrid"/>
        <w:tblW w:type="dxa" w:w="9360"/>
        <w:jc w:val="left"/>
        <w:tblLayout w:type="fixed"/>
        <w:tblLook w:firstColumn="1" w:firstRow="1" w:lastColumn="0" w:lastRow="0" w:noHBand="0" w:noVBand="1" w:val="04A0"/>
        <w:tblInd w:w="120" w:type="dxa"/>
      </w:tblPr>
      <w:tblGrid>
        <w:gridCol w:w="9360"/>
      </w:tblGrid>
      <w:tr>
        <w:trPr>
          <w:cantSplit/>
        </w:trPr>
        <w:tc>
          <w:tcPr>
            <w:tcW w:type="dxa" w:w="9360"/>
            <w:tcMar>
              <w:top w:w="80" w:type="dxa"/>
              <w:bottom w:w="80" w:type="dxa"/>
              <w:start w:w="120" w:type="dxa"/>
              <w:end w:w="120" w:type="dxa"/>
            </w:tcMar>
            <w:vAlign w:val="center"/>
            <w:shd w:fill="EEF7F7"/>
          </w:tcPr>
          <w:p>
            <w:pPr>
              <w:keepNext/>
              <w:keepLines/>
              <w:spacing w:after="40"/>
            </w:pPr>
            <w:r>
              <w:rPr>
                <w:rFonts w:ascii="Calibri" w:hAnsi="Calibri" w:eastAsia="Microsoft YaHei"/>
                <w:b/>
                <w:color w:val="008C95"/>
                <w:sz w:val="17"/>
              </w:rPr>
              <w:t>DIGITAL-TWIN RELEVANCE</w:t>
            </w:r>
          </w:p>
          <w:p>
            <w:pPr>
              <w:spacing w:after="0"/>
            </w:pPr>
            <w:r>
              <w:rPr>
                <w:rFonts w:ascii="Calibri" w:hAnsi="Calibri" w:eastAsia="Microsoft YaHei"/>
                <w:color w:val="0B2545"/>
                <w:sz w:val="20"/>
              </w:rPr>
              <w:t>提供离子热与动量状态；必须共存原始谱、束状态、原子数据和后验。</w:t>
            </w:r>
          </w:p>
        </w:tc>
      </w:tr>
    </w:tbl>
    <w:p>
      <w:pPr>
        <w:spacing w:after="40"/>
      </w:pPr>
    </w:p>
    <w:tbl>
      <w:tblPr>
        <w:tblStyle w:val="TableGrid"/>
        <w:tblW w:type="dxa" w:w="9360"/>
        <w:jc w:val="left"/>
        <w:tblLayout w:type="fixed"/>
        <w:tblLook w:firstColumn="1" w:firstRow="1" w:lastColumn="0" w:lastRow="0" w:noHBand="0" w:noVBand="1" w:val="04A0"/>
        <w:tblInd w:w="120" w:type="dxa"/>
      </w:tblPr>
      <w:tblGrid>
        <w:gridCol w:w="850"/>
        <w:gridCol w:w="2500"/>
        <w:gridCol w:w="1600"/>
        <w:gridCol w:w="2300"/>
        <w:gridCol w:w="2110"/>
      </w:tblGrid>
      <w:tr>
        <w:trPr>
          <w:tblHeader w:val="true"/>
        </w:trPr>
        <w:tc>
          <w:tcPr>
            <w:tcW w:type="dxa" w:w="8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年份/类型</w:t>
            </w:r>
          </w:p>
        </w:tc>
        <w:tc>
          <w:tcPr>
            <w:tcW w:type="dxa" w:w="25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论文或软件</w:t>
            </w:r>
          </w:p>
        </w:tc>
        <w:tc>
          <w:tcPr>
            <w:tcW w:type="dxa" w:w="16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期刊/开放性</w:t>
            </w:r>
          </w:p>
        </w:tc>
        <w:tc>
          <w:tcPr>
            <w:tcW w:type="dxa" w:w="23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来源类型/关系</w:t>
            </w:r>
          </w:p>
        </w:tc>
        <w:tc>
          <w:tcPr>
            <w:tcW w:type="dxa" w:w="211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链接</w:t>
            </w:r>
          </w:p>
        </w:tc>
      </w:tr>
      <w:tr>
        <w:trPr>
          <w:cantSplit/>
        </w:trPr>
        <w:tc>
          <w:tcPr>
            <w:tcW w:type="dxa" w:w="850"/>
          </w:tcPr>
          <w:p>
            <w:pPr>
              <w:keepLines/>
              <w:spacing w:after="0" w:line="276" w:lineRule="auto"/>
            </w:pPr>
            <w:r>
              <w:rPr>
                <w:rFonts w:ascii="Calibri" w:hAnsi="Calibri" w:eastAsia="Microsoft YaHei"/>
                <w:color w:val="0B2545"/>
                <w:sz w:val="14"/>
              </w:rPr>
              <w:t>2012</w:t>
            </w:r>
          </w:p>
        </w:tc>
        <w:tc>
          <w:tcPr>
            <w:tcW w:type="dxa" w:w="2500"/>
          </w:tcPr>
          <w:p>
            <w:pPr>
              <w:keepLines/>
              <w:spacing w:after="0" w:line="276" w:lineRule="auto"/>
            </w:pPr>
            <w:r>
              <w:rPr>
                <w:rFonts w:ascii="Calibri" w:hAnsi="Calibri" w:eastAsia="Microsoft YaHei"/>
                <w:color w:val="0B2545"/>
                <w:sz w:val="14"/>
              </w:rPr>
              <w:t>Profile Measurement of Ion Temperature and Toroidal Rotation Velocity with Charge Exchange Recombination Spectroscopy Diagnostics in the HL-2A Tokamak</w:t>
            </w:r>
          </w:p>
        </w:tc>
        <w:tc>
          <w:tcPr>
            <w:tcW w:type="dxa" w:w="1600"/>
          </w:tcPr>
          <w:p>
            <w:pPr>
              <w:keepLines/>
              <w:spacing w:after="0" w:line="276" w:lineRule="auto"/>
            </w:pPr>
            <w:r>
              <w:rPr>
                <w:rFonts w:ascii="Calibri" w:hAnsi="Calibri" w:eastAsia="Microsoft YaHei"/>
                <w:color w:val="0B2545"/>
                <w:sz w:val="14"/>
              </w:rPr>
              <w:t>Plasma Science and Technology</w:t>
            </w:r>
          </w:p>
        </w:tc>
        <w:tc>
          <w:tcPr>
            <w:tcW w:type="dxa" w:w="2300"/>
          </w:tcPr>
          <w:p>
            <w:pPr>
              <w:keepLines/>
              <w:spacing w:after="0" w:line="276" w:lineRule="auto"/>
            </w:pPr>
            <w:r>
              <w:rPr>
                <w:rFonts w:ascii="Calibri" w:hAnsi="Calibri" w:eastAsia="Microsoft YaHei"/>
                <w:color w:val="0B2545"/>
                <w:sz w:val="14"/>
              </w:rPr>
              <w:t>peer-reviewed-journal</w:t>
            </w:r>
          </w:p>
        </w:tc>
        <w:tc>
          <w:tcPr>
            <w:tcW w:type="dxa" w:w="2110"/>
          </w:tcPr>
          <w:p>
            <w:pPr>
              <w:keepLines/>
              <w:spacing w:after="0" w:line="276" w:lineRule="auto"/>
            </w:pPr>
            <w:hyperlink r:id="rId58">
              <w:r>
                <w:rPr>
                  <w:rFonts w:ascii="Calibri" w:hAnsi="Calibri" w:eastAsia="Microsoft YaHei"/>
                  <w:color w:val="008C95"/>
                  <w:u w:val="single"/>
                </w:rPr>
                <w:t>打开原始来源 ↗</w:t>
              </w:r>
            </w:hyperlink>
          </w:p>
        </w:tc>
      </w:tr>
      <w:tr>
        <w:trPr>
          <w:cantSplit/>
        </w:trPr>
        <w:tc>
          <w:tcPr>
            <w:tcW w:type="dxa" w:w="850"/>
          </w:tcPr>
          <w:p>
            <w:pPr>
              <w:keepLines/>
              <w:spacing w:after="0" w:line="276" w:lineRule="auto"/>
            </w:pPr>
            <w:r>
              <w:rPr>
                <w:rFonts w:ascii="Calibri" w:hAnsi="Calibri" w:eastAsia="Microsoft YaHei"/>
                <w:color w:val="0B2545"/>
                <w:sz w:val="14"/>
              </w:rPr>
              <w:t>2021</w:t>
            </w:r>
          </w:p>
        </w:tc>
        <w:tc>
          <w:tcPr>
            <w:tcW w:type="dxa" w:w="2500"/>
          </w:tcPr>
          <w:p>
            <w:pPr>
              <w:keepLines/>
              <w:spacing w:after="0" w:line="276" w:lineRule="auto"/>
            </w:pPr>
            <w:r>
              <w:rPr>
                <w:rFonts w:ascii="Calibri" w:hAnsi="Calibri" w:eastAsia="Microsoft YaHei"/>
                <w:color w:val="0B2545"/>
                <w:sz w:val="14"/>
              </w:rPr>
              <w:t>Charge exchange recombination spectroscopy measurements of DIII-D poloidal rotation with poloidal asymmetry in angular rotation</w:t>
            </w:r>
          </w:p>
        </w:tc>
        <w:tc>
          <w:tcPr>
            <w:tcW w:type="dxa" w:w="1600"/>
          </w:tcPr>
          <w:p>
            <w:pPr>
              <w:keepLines/>
              <w:spacing w:after="0" w:line="276" w:lineRule="auto"/>
            </w:pPr>
            <w:r>
              <w:rPr>
                <w:rFonts w:ascii="Calibri" w:hAnsi="Calibri" w:eastAsia="Microsoft YaHei"/>
                <w:color w:val="0B2545"/>
                <w:sz w:val="14"/>
              </w:rPr>
              <w:t>Review of Scientific Instruments</w:t>
            </w:r>
          </w:p>
        </w:tc>
        <w:tc>
          <w:tcPr>
            <w:tcW w:type="dxa" w:w="2300"/>
          </w:tcPr>
          <w:p>
            <w:pPr>
              <w:keepLines/>
              <w:spacing w:after="0" w:line="276" w:lineRule="auto"/>
            </w:pPr>
            <w:r>
              <w:rPr>
                <w:rFonts w:ascii="Calibri" w:hAnsi="Calibri" w:eastAsia="Microsoft YaHei"/>
                <w:color w:val="0B2545"/>
                <w:sz w:val="14"/>
              </w:rPr>
              <w:t>peer-reviewed-journal</w:t>
            </w:r>
          </w:p>
        </w:tc>
        <w:tc>
          <w:tcPr>
            <w:tcW w:type="dxa" w:w="2110"/>
          </w:tcPr>
          <w:p>
            <w:pPr>
              <w:keepLines/>
              <w:spacing w:after="0" w:line="276" w:lineRule="auto"/>
            </w:pPr>
            <w:hyperlink r:id="rId59">
              <w:r>
                <w:rPr>
                  <w:rFonts w:ascii="Calibri" w:hAnsi="Calibri" w:eastAsia="Microsoft YaHei"/>
                  <w:color w:val="008C95"/>
                  <w:u w:val="single"/>
                </w:rPr>
                <w:t>打开原始来源 ↗</w:t>
              </w:r>
            </w:hyperlink>
          </w:p>
        </w:tc>
      </w:tr>
      <w:tr>
        <w:trPr>
          <w:cantSplit/>
        </w:trPr>
        <w:tc>
          <w:tcPr>
            <w:tcW w:type="dxa" w:w="850"/>
          </w:tcPr>
          <w:p>
            <w:pPr>
              <w:keepLines/>
              <w:spacing w:after="0" w:line="276" w:lineRule="auto"/>
            </w:pPr>
            <w:r>
              <w:rPr>
                <w:rFonts w:ascii="Calibri" w:hAnsi="Calibri" w:eastAsia="Microsoft YaHei"/>
                <w:color w:val="0B2545"/>
                <w:sz w:val="14"/>
              </w:rPr>
              <w:t>软件</w:t>
            </w:r>
          </w:p>
        </w:tc>
        <w:tc>
          <w:tcPr>
            <w:tcW w:type="dxa" w:w="2500"/>
          </w:tcPr>
          <w:p>
            <w:pPr>
              <w:keepLines/>
              <w:spacing w:after="0" w:line="276" w:lineRule="auto"/>
            </w:pPr>
            <w:r>
              <w:rPr>
                <w:rFonts w:ascii="Calibri" w:hAnsi="Calibri" w:eastAsia="Microsoft YaHei"/>
                <w:color w:val="0B2545"/>
                <w:sz w:val="14"/>
              </w:rPr>
              <w:t>OpenADAS</w:t>
            </w:r>
          </w:p>
        </w:tc>
        <w:tc>
          <w:tcPr>
            <w:tcW w:type="dxa" w:w="1600"/>
          </w:tcPr>
          <w:p>
            <w:pPr>
              <w:keepLines/>
              <w:spacing w:after="0" w:line="276" w:lineRule="auto"/>
            </w:pPr>
            <w:r>
              <w:rPr>
                <w:rFonts w:ascii="Calibri" w:hAnsi="Calibri" w:eastAsia="Microsoft YaHei"/>
                <w:color w:val="0B2545"/>
                <w:sz w:val="14"/>
              </w:rPr>
              <w:t>official-enabling</w:t>
            </w:r>
          </w:p>
        </w:tc>
        <w:tc>
          <w:tcPr>
            <w:tcW w:type="dxa" w:w="2300"/>
          </w:tcPr>
          <w:p>
            <w:pPr>
              <w:keepLines/>
              <w:spacing w:after="0" w:line="276" w:lineRule="auto"/>
            </w:pPr>
            <w:r>
              <w:rPr>
                <w:rFonts w:ascii="Calibri" w:hAnsi="Calibri" w:eastAsia="Microsoft YaHei"/>
                <w:color w:val="0B2545"/>
                <w:sz w:val="14"/>
              </w:rPr>
              <w:t>电荷交换与谱线原子数据，不是装置运行代码。</w:t>
            </w:r>
          </w:p>
        </w:tc>
        <w:tc>
          <w:tcPr>
            <w:tcW w:type="dxa" w:w="2110"/>
          </w:tcPr>
          <w:p>
            <w:pPr>
              <w:keepLines/>
              <w:spacing w:after="0" w:line="276" w:lineRule="auto"/>
            </w:pPr>
            <w:hyperlink r:id="rId60">
              <w:r>
                <w:rPr>
                  <w:rFonts w:ascii="Calibri" w:hAnsi="Calibri" w:eastAsia="Microsoft YaHei"/>
                  <w:color w:val="008C95"/>
                  <w:u w:val="single"/>
                </w:rPr>
                <w:t>打开原始来源 ↗</w:t>
              </w:r>
            </w:hyperlink>
          </w:p>
        </w:tc>
      </w:tr>
      <w:tr>
        <w:trPr>
          <w:cantSplit/>
        </w:trPr>
        <w:tc>
          <w:tcPr>
            <w:tcW w:type="dxa" w:w="850"/>
          </w:tcPr>
          <w:p>
            <w:pPr>
              <w:keepLines/>
              <w:spacing w:after="0" w:line="276" w:lineRule="auto"/>
            </w:pPr>
            <w:r>
              <w:rPr>
                <w:rFonts w:ascii="Calibri" w:hAnsi="Calibri" w:eastAsia="Microsoft YaHei"/>
                <w:color w:val="0B2545"/>
                <w:sz w:val="14"/>
              </w:rPr>
              <w:t>软件</w:t>
            </w:r>
          </w:p>
        </w:tc>
        <w:tc>
          <w:tcPr>
            <w:tcW w:type="dxa" w:w="2500"/>
          </w:tcPr>
          <w:p>
            <w:pPr>
              <w:keepLines/>
              <w:spacing w:after="0" w:line="276" w:lineRule="auto"/>
            </w:pPr>
            <w:r>
              <w:rPr>
                <w:rFonts w:ascii="Calibri" w:hAnsi="Calibri" w:eastAsia="Microsoft YaHei"/>
                <w:color w:val="0B2545"/>
                <w:sz w:val="14"/>
              </w:rPr>
              <w:t>装置专有分析/标定软件</w:t>
            </w:r>
          </w:p>
        </w:tc>
        <w:tc>
          <w:tcPr>
            <w:tcW w:type="dxa" w:w="1600"/>
          </w:tcPr>
          <w:p>
            <w:pPr>
              <w:keepLines/>
              <w:spacing w:after="0" w:line="276" w:lineRule="auto"/>
            </w:pPr>
            <w:r>
              <w:rPr>
                <w:rFonts w:ascii="Calibri" w:hAnsi="Calibri" w:eastAsia="Microsoft YaHei"/>
                <w:color w:val="0B2545"/>
                <w:sz w:val="14"/>
              </w:rPr>
              <w:t>not-public</w:t>
            </w:r>
          </w:p>
        </w:tc>
        <w:tc>
          <w:tcPr>
            <w:tcW w:type="dxa" w:w="2300"/>
          </w:tcPr>
          <w:p>
            <w:pPr>
              <w:keepLines/>
              <w:spacing w:after="0" w:line="276" w:lineRule="auto"/>
            </w:pPr>
            <w:r>
              <w:rPr>
                <w:rFonts w:ascii="Calibri" w:hAnsi="Calibri" w:eastAsia="Microsoft YaHei"/>
                <w:color w:val="0B2545"/>
                <w:sz w:val="14"/>
              </w:rPr>
              <w:t>生产谱拟合和几何库未公开。</w:t>
            </w:r>
          </w:p>
        </w:tc>
        <w:tc>
          <w:tcPr>
            <w:tcW w:type="dxa" w:w="2110"/>
          </w:tcPr>
          <w:p>
            <w:pPr>
              <w:keepLines/>
              <w:spacing w:after="0" w:line="276" w:lineRule="auto"/>
            </w:pPr>
            <w:r>
              <w:rPr>
                <w:rFonts w:ascii="Calibri" w:hAnsi="Calibri" w:eastAsia="Microsoft YaHei"/>
                <w:color w:val="0B2545"/>
                <w:sz w:val="14"/>
              </w:rPr>
              <w:t>未公开</w:t>
            </w:r>
          </w:p>
        </w:tc>
      </w:tr>
    </w:tbl>
    <w:p>
      <w:pPr>
        <w:spacing w:before="0" w:after="60"/>
      </w:pPr>
    </w:p>
    <w:p>
      <w:pPr>
        <w:pStyle w:val="Heading3"/>
        <w:keepNext/>
      </w:pPr>
      <w:r>
        <w:t>DG3.02  成像X射线晶体谱：二维离子温度、流速与杂质</w:t>
      </w:r>
    </w:p>
    <w:p>
      <w:pPr>
        <w:keepNext/>
        <w:spacing w:after="80"/>
      </w:pPr>
      <w:r>
        <w:rPr>
          <w:rFonts w:ascii="Calibri" w:hAnsi="Calibri" w:eastAsia="Microsoft YaHei"/>
          <w:i/>
          <w:color w:val="566573"/>
          <w:sz w:val="18"/>
        </w:rPr>
        <w:t>Imaging x-ray crystal spectroscopy for 2-D ion temperature and flow</w:t>
      </w:r>
    </w:p>
    <w:tbl>
      <w:tblPr>
        <w:tblStyle w:val="TableGrid"/>
        <w:tblW w:type="dxa" w:w="9360"/>
        <w:jc w:val="left"/>
        <w:tblLayout w:type="fixed"/>
        <w:tblLook w:firstColumn="1" w:firstRow="1" w:lastColumn="0" w:lastRow="0" w:noHBand="0" w:noVBand="1" w:val="04A0"/>
        <w:tblInd w:w="120" w:type="dxa"/>
      </w:tblPr>
      <w:tblGrid>
        <w:gridCol w:w="1200"/>
        <w:gridCol w:w="750"/>
        <w:gridCol w:w="750"/>
        <w:gridCol w:w="2100"/>
        <w:gridCol w:w="4560"/>
      </w:tblGrid>
      <w:tr>
        <w:trPr>
          <w:tblHeader w:val="true"/>
        </w:trPr>
        <w:tc>
          <w:tcPr>
            <w:tcW w:type="dxa" w:w="12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工作 ID</w:t>
            </w:r>
          </w:p>
        </w:tc>
        <w:tc>
          <w:tcPr>
            <w:tcW w:type="dxa" w:w="7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证据</w:t>
            </w:r>
          </w:p>
        </w:tc>
        <w:tc>
          <w:tcPr>
            <w:tcW w:type="dxa" w:w="7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部署</w:t>
            </w:r>
          </w:p>
        </w:tc>
        <w:tc>
          <w:tcPr>
            <w:tcW w:type="dxa" w:w="21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技术族</w:t>
            </w:r>
          </w:p>
        </w:tc>
        <w:tc>
          <w:tcPr>
            <w:tcW w:type="dxa" w:w="456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装置</w:t>
            </w:r>
          </w:p>
        </w:tc>
      </w:tr>
      <w:tr>
        <w:trPr>
          <w:cantSplit/>
        </w:trPr>
        <w:tc>
          <w:tcPr>
            <w:tcW w:type="dxa" w:w="1200"/>
          </w:tcPr>
          <w:p>
            <w:pPr>
              <w:keepLines/>
              <w:spacing w:after="0" w:line="276" w:lineRule="auto"/>
            </w:pPr>
            <w:r>
              <w:rPr>
                <w:rFonts w:ascii="Calibri" w:hAnsi="Calibri" w:eastAsia="Microsoft YaHei"/>
                <w:color w:val="0B2545"/>
                <w:sz w:val="15"/>
              </w:rPr>
              <w:t>DG3-012</w:t>
            </w:r>
          </w:p>
        </w:tc>
        <w:tc>
          <w:tcPr>
            <w:tcW w:type="dxa" w:w="750"/>
          </w:tcPr>
          <w:p>
            <w:pPr>
              <w:keepLines/>
              <w:spacing w:after="0" w:line="276" w:lineRule="auto"/>
            </w:pPr>
            <w:r>
              <w:rPr>
                <w:rFonts w:ascii="Calibri" w:hAnsi="Calibri" w:eastAsia="Microsoft YaHei"/>
                <w:color w:val="0B2545"/>
                <w:sz w:val="15"/>
              </w:rPr>
              <w:t>E4</w:t>
            </w:r>
          </w:p>
        </w:tc>
        <w:tc>
          <w:tcPr>
            <w:tcW w:type="dxa" w:w="750"/>
          </w:tcPr>
          <w:p>
            <w:pPr>
              <w:keepLines/>
              <w:spacing w:after="0" w:line="276" w:lineRule="auto"/>
            </w:pPr>
            <w:r>
              <w:rPr>
                <w:rFonts w:ascii="Calibri" w:hAnsi="Calibri" w:eastAsia="Microsoft YaHei"/>
                <w:color w:val="0B2545"/>
                <w:sz w:val="15"/>
              </w:rPr>
              <w:t>D4</w:t>
            </w:r>
          </w:p>
        </w:tc>
        <w:tc>
          <w:tcPr>
            <w:tcW w:type="dxa" w:w="2100"/>
          </w:tcPr>
          <w:p>
            <w:pPr>
              <w:keepLines/>
              <w:spacing w:after="0" w:line="276" w:lineRule="auto"/>
            </w:pPr>
            <w:r>
              <w:rPr>
                <w:rFonts w:ascii="Calibri" w:hAnsi="Calibri" w:eastAsia="Microsoft YaHei"/>
                <w:color w:val="0B2545"/>
                <w:sz w:val="15"/>
              </w:rPr>
              <w:t>OPTICAL</w:t>
            </w:r>
          </w:p>
        </w:tc>
        <w:tc>
          <w:tcPr>
            <w:tcW w:type="dxa" w:w="4560"/>
          </w:tcPr>
          <w:p>
            <w:pPr>
              <w:keepLines/>
              <w:spacing w:after="0" w:line="276" w:lineRule="auto"/>
            </w:pPr>
            <w:r>
              <w:rPr>
                <w:rFonts w:ascii="Calibri" w:hAnsi="Calibri" w:eastAsia="Microsoft YaHei"/>
                <w:color w:val="0B2545"/>
                <w:sz w:val="15"/>
              </w:rPr>
              <w:t>EAST；KSTAR；SPARC；W7-X</w:t>
            </w:r>
          </w:p>
        </w:tc>
      </w:tr>
    </w:tbl>
    <w:p>
      <w:pPr>
        <w:spacing w:before="0" w:after="60"/>
      </w:pPr>
    </w:p>
    <w:p>
      <w:pPr>
        <w:widowControl/>
      </w:pPr>
      <w:r>
        <w:rPr>
          <w:rFonts w:ascii="Calibri" w:hAnsi="Calibri" w:eastAsia="Microsoft YaHei"/>
          <w:b/>
          <w:color w:val="1F4D78"/>
        </w:rPr>
        <w:t>解决问题：</w:t>
      </w:r>
      <w:r>
        <w:rPr>
          <w:rFonts w:ascii="Calibri" w:hAnsi="Calibri" w:eastAsia="Microsoft YaHei"/>
        </w:rPr>
        <w:t>用高Z杂质线同时获取离子温度、流速和发射率，并层析极向结构。</w:t>
      </w:r>
    </w:p>
    <w:p>
      <w:pPr>
        <w:widowControl/>
      </w:pPr>
      <w:r>
        <w:rPr>
          <w:rFonts w:ascii="Calibri" w:hAnsi="Calibri" w:eastAsia="Microsoft YaHei"/>
          <w:b/>
          <w:color w:val="1F4D78"/>
        </w:rPr>
        <w:t>测量原理：</w:t>
      </w:r>
      <w:r>
        <w:rPr>
          <w:rFonts w:ascii="Calibri" w:hAnsi="Calibri" w:eastAsia="Microsoft YaHei"/>
        </w:rPr>
        <w:t>弯晶Bragg色散；谱宽、谱移和强度分别编码Ti、视线速度和发射率。</w:t>
      </w:r>
    </w:p>
    <w:p>
      <w:pPr>
        <w:widowControl/>
      </w:pPr>
      <w:r>
        <w:rPr>
          <w:rFonts w:ascii="Calibri" w:hAnsi="Calibri" w:eastAsia="Microsoft YaHei"/>
          <w:b/>
          <w:color w:val="1F4D78"/>
        </w:rPr>
        <w:t>测量产品：</w:t>
      </w:r>
      <w:r>
        <w:rPr>
          <w:rFonts w:ascii="Calibri" w:hAnsi="Calibri" w:eastAsia="Microsoft YaHei"/>
        </w:rPr>
        <w:t>ion temperature；line-of-sight velocity；impurity emissivity；2-D profiles</w:t>
      </w:r>
    </w:p>
    <w:p>
      <w:pPr>
        <w:widowControl/>
      </w:pPr>
      <w:r>
        <w:rPr>
          <w:rFonts w:ascii="Calibri" w:hAnsi="Calibri" w:eastAsia="Microsoft YaHei"/>
          <w:b/>
          <w:color w:val="1F4D78"/>
        </w:rPr>
        <w:t>时空分辨与覆盖：</w:t>
      </w:r>
      <w:r>
        <w:rPr>
          <w:rFonts w:ascii="Calibri" w:hAnsi="Calibri" w:eastAsia="Microsoft YaHei"/>
        </w:rPr>
        <w:t>时间：因装置、采集和分析链而异；原始来源未给出统一数值。；空间：由视线、几何和反演设定；原始来源未给出统一数值。</w:t>
      </w:r>
    </w:p>
    <w:p>
      <w:pPr>
        <w:widowControl/>
      </w:pPr>
      <w:r>
        <w:rPr>
          <w:rFonts w:ascii="Calibri" w:hAnsi="Calibri" w:eastAsia="Microsoft YaHei"/>
          <w:b/>
          <w:color w:val="1F4D78"/>
        </w:rPr>
        <w:t>仪器与传感器：</w:t>
      </w:r>
      <w:r>
        <w:rPr>
          <w:rFonts w:ascii="Calibri" w:hAnsi="Calibri" w:eastAsia="Microsoft YaHei"/>
        </w:rPr>
        <w:t>bent crystals；2-D x-ray detectors；geometry fiducials；thermal support</w:t>
      </w:r>
    </w:p>
    <w:p>
      <w:pPr>
        <w:widowControl/>
      </w:pPr>
      <w:r>
        <w:rPr>
          <w:rFonts w:ascii="Calibri" w:hAnsi="Calibri" w:eastAsia="Microsoft YaHei"/>
          <w:b/>
          <w:color w:val="1F4D78"/>
        </w:rPr>
        <w:t>标定与质量：</w:t>
      </w:r>
      <w:r>
        <w:rPr>
          <w:rFonts w:ascii="Calibri" w:hAnsi="Calibri" w:eastAsia="Microsoft YaHei"/>
        </w:rPr>
        <w:t>以已知X射线线、晶格常数、晶体温度和几何靶标标定波长/空间；测仪器展宽。</w:t>
      </w:r>
    </w:p>
    <w:p>
      <w:pPr>
        <w:widowControl/>
      </w:pPr>
      <w:r>
        <w:rPr>
          <w:rFonts w:ascii="Calibri" w:hAnsi="Calibri" w:eastAsia="Microsoft YaHei"/>
          <w:b/>
          <w:color w:val="1F4D78"/>
        </w:rPr>
        <w:t>反演与分析：</w:t>
      </w:r>
      <w:r>
        <w:rPr>
          <w:rFonts w:ascii="Calibri" w:hAnsi="Calibri" w:eastAsia="Microsoft YaHei"/>
        </w:rPr>
        <w:t>谱线簇拟合后做正则化几何反演，联合原子物理和旋转对称性。</w:t>
      </w:r>
    </w:p>
    <w:p>
      <w:pPr>
        <w:widowControl/>
      </w:pPr>
      <w:r>
        <w:rPr>
          <w:rFonts w:ascii="Calibri" w:hAnsi="Calibri" w:eastAsia="Microsoft YaHei"/>
          <w:b/>
          <w:color w:val="1F4D78"/>
        </w:rPr>
        <w:t>验证与应用：</w:t>
      </w:r>
      <w:r>
        <w:rPr>
          <w:rFonts w:ascii="Calibri" w:hAnsi="Calibri" w:eastAsia="Microsoft YaHei"/>
        </w:rPr>
        <w:t>EAST/KSTAR以装置谱和CXRS比对；SPARC以射线追踪、计数统计和合成谱评估。</w:t>
      </w:r>
    </w:p>
    <w:p>
      <w:pPr>
        <w:widowControl/>
      </w:pPr>
      <w:r>
        <w:rPr>
          <w:rFonts w:ascii="Calibri" w:hAnsi="Calibri" w:eastAsia="Microsoft YaHei"/>
          <w:b/>
          <w:color w:val="1F4D78"/>
        </w:rPr>
        <w:t>局限与边界：</w:t>
      </w:r>
      <w:r>
        <w:rPr>
          <w:rFonts w:ascii="Calibri" w:hAnsi="Calibri" w:eastAsia="Microsoft YaHei"/>
        </w:rPr>
        <w:t>依赖杂质电荷态和光子数；线混叠、晶体热漂移、视线积分限制二维反演。</w:t>
      </w:r>
    </w:p>
    <w:tbl>
      <w:tblPr>
        <w:tblStyle w:val="TableGrid"/>
        <w:tblW w:type="dxa" w:w="9360"/>
        <w:jc w:val="left"/>
        <w:tblLayout w:type="fixed"/>
        <w:tblLook w:firstColumn="1" w:firstRow="1" w:lastColumn="0" w:lastRow="0" w:noHBand="0" w:noVBand="1" w:val="04A0"/>
        <w:tblInd w:w="120" w:type="dxa"/>
      </w:tblPr>
      <w:tblGrid>
        <w:gridCol w:w="9360"/>
      </w:tblGrid>
      <w:tr>
        <w:trPr>
          <w:cantSplit/>
        </w:trPr>
        <w:tc>
          <w:tcPr>
            <w:tcW w:type="dxa" w:w="9360"/>
            <w:tcMar>
              <w:top w:w="80" w:type="dxa"/>
              <w:bottom w:w="80" w:type="dxa"/>
              <w:start w:w="120" w:type="dxa"/>
              <w:end w:w="120" w:type="dxa"/>
            </w:tcMar>
            <w:vAlign w:val="center"/>
            <w:shd w:fill="EEF7F7"/>
          </w:tcPr>
          <w:p>
            <w:pPr>
              <w:keepNext/>
              <w:keepLines/>
              <w:spacing w:after="40"/>
            </w:pPr>
            <w:r>
              <w:rPr>
                <w:rFonts w:ascii="Calibri" w:hAnsi="Calibri" w:eastAsia="Microsoft YaHei"/>
                <w:b/>
                <w:color w:val="008C95"/>
                <w:sz w:val="17"/>
              </w:rPr>
              <w:t>DIGITAL-TWIN RELEVANCE</w:t>
            </w:r>
          </w:p>
          <w:p>
            <w:pPr>
              <w:spacing w:after="0"/>
            </w:pPr>
            <w:r>
              <w:rPr>
                <w:rFonts w:ascii="Calibri" w:hAnsi="Calibri" w:eastAsia="Microsoft YaHei"/>
                <w:color w:val="0B2545"/>
                <w:sz w:val="20"/>
              </w:rPr>
              <w:t>连接离子热、流与杂质辐射；层析先验和晶体状态必须可追溯。</w:t>
            </w:r>
          </w:p>
        </w:tc>
      </w:tr>
    </w:tbl>
    <w:p>
      <w:pPr>
        <w:spacing w:after="40"/>
      </w:pPr>
    </w:p>
    <w:tbl>
      <w:tblPr>
        <w:tblStyle w:val="TableGrid"/>
        <w:tblW w:type="dxa" w:w="9360"/>
        <w:jc w:val="left"/>
        <w:tblLayout w:type="fixed"/>
        <w:tblLook w:firstColumn="1" w:firstRow="1" w:lastColumn="0" w:lastRow="0" w:noHBand="0" w:noVBand="1" w:val="04A0"/>
        <w:tblInd w:w="120" w:type="dxa"/>
      </w:tblPr>
      <w:tblGrid>
        <w:gridCol w:w="850"/>
        <w:gridCol w:w="2500"/>
        <w:gridCol w:w="1600"/>
        <w:gridCol w:w="2300"/>
        <w:gridCol w:w="2110"/>
      </w:tblGrid>
      <w:tr>
        <w:trPr>
          <w:tblHeader w:val="true"/>
        </w:trPr>
        <w:tc>
          <w:tcPr>
            <w:tcW w:type="dxa" w:w="8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年份/类型</w:t>
            </w:r>
          </w:p>
        </w:tc>
        <w:tc>
          <w:tcPr>
            <w:tcW w:type="dxa" w:w="25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论文或软件</w:t>
            </w:r>
          </w:p>
        </w:tc>
        <w:tc>
          <w:tcPr>
            <w:tcW w:type="dxa" w:w="16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期刊/开放性</w:t>
            </w:r>
          </w:p>
        </w:tc>
        <w:tc>
          <w:tcPr>
            <w:tcW w:type="dxa" w:w="23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来源类型/关系</w:t>
            </w:r>
          </w:p>
        </w:tc>
        <w:tc>
          <w:tcPr>
            <w:tcW w:type="dxa" w:w="211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链接</w:t>
            </w:r>
          </w:p>
        </w:tc>
      </w:tr>
      <w:tr>
        <w:trPr>
          <w:cantSplit/>
        </w:trPr>
        <w:tc>
          <w:tcPr>
            <w:tcW w:type="dxa" w:w="850"/>
          </w:tcPr>
          <w:p>
            <w:pPr>
              <w:keepLines/>
              <w:spacing w:after="0" w:line="276" w:lineRule="auto"/>
            </w:pPr>
            <w:r>
              <w:rPr>
                <w:rFonts w:ascii="Calibri" w:hAnsi="Calibri" w:eastAsia="Microsoft YaHei"/>
                <w:color w:val="0B2545"/>
                <w:sz w:val="14"/>
              </w:rPr>
              <w:t>2010</w:t>
            </w:r>
          </w:p>
        </w:tc>
        <w:tc>
          <w:tcPr>
            <w:tcW w:type="dxa" w:w="2500"/>
          </w:tcPr>
          <w:p>
            <w:pPr>
              <w:keepLines/>
              <w:spacing w:after="0" w:line="276" w:lineRule="auto"/>
            </w:pPr>
            <w:r>
              <w:rPr>
                <w:rFonts w:ascii="Calibri" w:hAnsi="Calibri" w:eastAsia="Microsoft YaHei"/>
                <w:color w:val="0B2545"/>
                <w:sz w:val="14"/>
              </w:rPr>
              <w:t>Imaging x-ray crystal spectrometer on EAST</w:t>
            </w:r>
          </w:p>
        </w:tc>
        <w:tc>
          <w:tcPr>
            <w:tcW w:type="dxa" w:w="1600"/>
          </w:tcPr>
          <w:p>
            <w:pPr>
              <w:keepLines/>
              <w:spacing w:after="0" w:line="276" w:lineRule="auto"/>
            </w:pPr>
            <w:r>
              <w:rPr>
                <w:rFonts w:ascii="Calibri" w:hAnsi="Calibri" w:eastAsia="Microsoft YaHei"/>
                <w:color w:val="0B2545"/>
                <w:sz w:val="14"/>
              </w:rPr>
              <w:t>Plasma Physics and Controlled Fusion</w:t>
            </w:r>
          </w:p>
        </w:tc>
        <w:tc>
          <w:tcPr>
            <w:tcW w:type="dxa" w:w="2300"/>
          </w:tcPr>
          <w:p>
            <w:pPr>
              <w:keepLines/>
              <w:spacing w:after="0" w:line="276" w:lineRule="auto"/>
            </w:pPr>
            <w:r>
              <w:rPr>
                <w:rFonts w:ascii="Calibri" w:hAnsi="Calibri" w:eastAsia="Microsoft YaHei"/>
                <w:color w:val="0B2545"/>
                <w:sz w:val="14"/>
              </w:rPr>
              <w:t>peer-reviewed-journal</w:t>
            </w:r>
          </w:p>
        </w:tc>
        <w:tc>
          <w:tcPr>
            <w:tcW w:type="dxa" w:w="2110"/>
          </w:tcPr>
          <w:p>
            <w:pPr>
              <w:keepLines/>
              <w:spacing w:after="0" w:line="276" w:lineRule="auto"/>
            </w:pPr>
            <w:hyperlink r:id="rId61">
              <w:r>
                <w:rPr>
                  <w:rFonts w:ascii="Calibri" w:hAnsi="Calibri" w:eastAsia="Microsoft YaHei"/>
                  <w:color w:val="008C95"/>
                  <w:u w:val="single"/>
                </w:rPr>
                <w:t>打开原始来源 ↗</w:t>
              </w:r>
            </w:hyperlink>
          </w:p>
        </w:tc>
      </w:tr>
      <w:tr>
        <w:trPr>
          <w:cantSplit/>
        </w:trPr>
        <w:tc>
          <w:tcPr>
            <w:tcW w:type="dxa" w:w="850"/>
          </w:tcPr>
          <w:p>
            <w:pPr>
              <w:keepLines/>
              <w:spacing w:after="0" w:line="276" w:lineRule="auto"/>
            </w:pPr>
            <w:r>
              <w:rPr>
                <w:rFonts w:ascii="Calibri" w:hAnsi="Calibri" w:eastAsia="Microsoft YaHei"/>
                <w:color w:val="0B2545"/>
                <w:sz w:val="14"/>
              </w:rPr>
              <w:t>2023</w:t>
            </w:r>
          </w:p>
        </w:tc>
        <w:tc>
          <w:tcPr>
            <w:tcW w:type="dxa" w:w="2500"/>
          </w:tcPr>
          <w:p>
            <w:pPr>
              <w:keepLines/>
              <w:spacing w:after="0" w:line="276" w:lineRule="auto"/>
            </w:pPr>
            <w:r>
              <w:rPr>
                <w:rFonts w:ascii="Calibri" w:hAnsi="Calibri" w:eastAsia="Microsoft YaHei"/>
                <w:color w:val="0B2545"/>
                <w:sz w:val="14"/>
              </w:rPr>
              <w:t>Inversion techniques to obtain local rotation velocity and ion temperature profiles for the x-ray crystal spectrometer on EAST</w:t>
            </w:r>
          </w:p>
        </w:tc>
        <w:tc>
          <w:tcPr>
            <w:tcW w:type="dxa" w:w="1600"/>
          </w:tcPr>
          <w:p>
            <w:pPr>
              <w:keepLines/>
              <w:spacing w:after="0" w:line="276" w:lineRule="auto"/>
            </w:pPr>
            <w:r>
              <w:rPr>
                <w:rFonts w:ascii="Calibri" w:hAnsi="Calibri" w:eastAsia="Microsoft YaHei"/>
                <w:color w:val="0B2545"/>
                <w:sz w:val="14"/>
              </w:rPr>
              <w:t>Plasma Science and Technology</w:t>
            </w:r>
          </w:p>
        </w:tc>
        <w:tc>
          <w:tcPr>
            <w:tcW w:type="dxa" w:w="2300"/>
          </w:tcPr>
          <w:p>
            <w:pPr>
              <w:keepLines/>
              <w:spacing w:after="0" w:line="276" w:lineRule="auto"/>
            </w:pPr>
            <w:r>
              <w:rPr>
                <w:rFonts w:ascii="Calibri" w:hAnsi="Calibri" w:eastAsia="Microsoft YaHei"/>
                <w:color w:val="0B2545"/>
                <w:sz w:val="14"/>
              </w:rPr>
              <w:t>peer-reviewed-journal</w:t>
            </w:r>
          </w:p>
        </w:tc>
        <w:tc>
          <w:tcPr>
            <w:tcW w:type="dxa" w:w="2110"/>
          </w:tcPr>
          <w:p>
            <w:pPr>
              <w:keepLines/>
              <w:spacing w:after="0" w:line="276" w:lineRule="auto"/>
            </w:pPr>
            <w:hyperlink r:id="rId62">
              <w:r>
                <w:rPr>
                  <w:rFonts w:ascii="Calibri" w:hAnsi="Calibri" w:eastAsia="Microsoft YaHei"/>
                  <w:color w:val="008C95"/>
                  <w:u w:val="single"/>
                </w:rPr>
                <w:t>打开原始来源 ↗</w:t>
              </w:r>
            </w:hyperlink>
          </w:p>
        </w:tc>
      </w:tr>
      <w:tr>
        <w:trPr>
          <w:cantSplit/>
        </w:trPr>
        <w:tc>
          <w:tcPr>
            <w:tcW w:type="dxa" w:w="850"/>
          </w:tcPr>
          <w:p>
            <w:pPr>
              <w:keepLines/>
              <w:spacing w:after="0" w:line="276" w:lineRule="auto"/>
            </w:pPr>
            <w:r>
              <w:rPr>
                <w:rFonts w:ascii="Calibri" w:hAnsi="Calibri" w:eastAsia="Microsoft YaHei"/>
                <w:color w:val="0B2545"/>
                <w:sz w:val="14"/>
              </w:rPr>
              <w:t>2024</w:t>
            </w:r>
          </w:p>
        </w:tc>
        <w:tc>
          <w:tcPr>
            <w:tcW w:type="dxa" w:w="2500"/>
          </w:tcPr>
          <w:p>
            <w:pPr>
              <w:keepLines/>
              <w:spacing w:after="0" w:line="276" w:lineRule="auto"/>
            </w:pPr>
            <w:r>
              <w:rPr>
                <w:rFonts w:ascii="Calibri" w:hAnsi="Calibri" w:eastAsia="Microsoft YaHei"/>
                <w:color w:val="0B2545"/>
                <w:sz w:val="14"/>
              </w:rPr>
              <w:t>Performance predictions of the SPARC x-ray crystal spectrometers for ion temperature and toroidal rotation measurements</w:t>
            </w:r>
          </w:p>
        </w:tc>
        <w:tc>
          <w:tcPr>
            <w:tcW w:type="dxa" w:w="1600"/>
          </w:tcPr>
          <w:p>
            <w:pPr>
              <w:keepLines/>
              <w:spacing w:after="0" w:line="276" w:lineRule="auto"/>
            </w:pPr>
            <w:r>
              <w:rPr>
                <w:rFonts w:ascii="Calibri" w:hAnsi="Calibri" w:eastAsia="Microsoft YaHei"/>
                <w:color w:val="0B2545"/>
                <w:sz w:val="14"/>
              </w:rPr>
              <w:t>Review of Scientific Instruments</w:t>
            </w:r>
          </w:p>
        </w:tc>
        <w:tc>
          <w:tcPr>
            <w:tcW w:type="dxa" w:w="2300"/>
          </w:tcPr>
          <w:p>
            <w:pPr>
              <w:keepLines/>
              <w:spacing w:after="0" w:line="276" w:lineRule="auto"/>
            </w:pPr>
            <w:r>
              <w:rPr>
                <w:rFonts w:ascii="Calibri" w:hAnsi="Calibri" w:eastAsia="Microsoft YaHei"/>
                <w:color w:val="0B2545"/>
                <w:sz w:val="14"/>
              </w:rPr>
              <w:t>peer-reviewed-journal</w:t>
            </w:r>
          </w:p>
        </w:tc>
        <w:tc>
          <w:tcPr>
            <w:tcW w:type="dxa" w:w="2110"/>
          </w:tcPr>
          <w:p>
            <w:pPr>
              <w:keepLines/>
              <w:spacing w:after="0" w:line="276" w:lineRule="auto"/>
            </w:pPr>
            <w:hyperlink r:id="rId63">
              <w:r>
                <w:rPr>
                  <w:rFonts w:ascii="Calibri" w:hAnsi="Calibri" w:eastAsia="Microsoft YaHei"/>
                  <w:color w:val="008C95"/>
                  <w:u w:val="single"/>
                </w:rPr>
                <w:t>打开原始来源 ↗</w:t>
              </w:r>
            </w:hyperlink>
          </w:p>
        </w:tc>
      </w:tr>
      <w:tr>
        <w:trPr>
          <w:cantSplit/>
        </w:trPr>
        <w:tc>
          <w:tcPr>
            <w:tcW w:type="dxa" w:w="850"/>
          </w:tcPr>
          <w:p>
            <w:pPr>
              <w:keepLines/>
              <w:spacing w:after="0" w:line="276" w:lineRule="auto"/>
            </w:pPr>
            <w:r>
              <w:rPr>
                <w:rFonts w:ascii="Calibri" w:hAnsi="Calibri" w:eastAsia="Microsoft YaHei"/>
                <w:color w:val="0B2545"/>
                <w:sz w:val="14"/>
              </w:rPr>
              <w:t>软件</w:t>
            </w:r>
          </w:p>
        </w:tc>
        <w:tc>
          <w:tcPr>
            <w:tcW w:type="dxa" w:w="2500"/>
          </w:tcPr>
          <w:p>
            <w:pPr>
              <w:keepLines/>
              <w:spacing w:after="0" w:line="276" w:lineRule="auto"/>
            </w:pPr>
            <w:r>
              <w:rPr>
                <w:rFonts w:ascii="Calibri" w:hAnsi="Calibri" w:eastAsia="Microsoft YaHei"/>
                <w:color w:val="0B2545"/>
                <w:sz w:val="14"/>
              </w:rPr>
              <w:t>OpenADAS</w:t>
            </w:r>
          </w:p>
        </w:tc>
        <w:tc>
          <w:tcPr>
            <w:tcW w:type="dxa" w:w="1600"/>
          </w:tcPr>
          <w:p>
            <w:pPr>
              <w:keepLines/>
              <w:spacing w:after="0" w:line="276" w:lineRule="auto"/>
            </w:pPr>
            <w:r>
              <w:rPr>
                <w:rFonts w:ascii="Calibri" w:hAnsi="Calibri" w:eastAsia="Microsoft YaHei"/>
                <w:color w:val="0B2545"/>
                <w:sz w:val="14"/>
              </w:rPr>
              <w:t>official-enabling</w:t>
            </w:r>
          </w:p>
        </w:tc>
        <w:tc>
          <w:tcPr>
            <w:tcW w:type="dxa" w:w="2300"/>
          </w:tcPr>
          <w:p>
            <w:pPr>
              <w:keepLines/>
              <w:spacing w:after="0" w:line="276" w:lineRule="auto"/>
            </w:pPr>
            <w:r>
              <w:rPr>
                <w:rFonts w:ascii="Calibri" w:hAnsi="Calibri" w:eastAsia="Microsoft YaHei"/>
                <w:color w:val="0B2545"/>
                <w:sz w:val="14"/>
              </w:rPr>
              <w:t>谱线与激发/电离数据。</w:t>
            </w:r>
          </w:p>
        </w:tc>
        <w:tc>
          <w:tcPr>
            <w:tcW w:type="dxa" w:w="2110"/>
          </w:tcPr>
          <w:p>
            <w:pPr>
              <w:keepLines/>
              <w:spacing w:after="0" w:line="276" w:lineRule="auto"/>
            </w:pPr>
            <w:hyperlink r:id="rId60">
              <w:r>
                <w:rPr>
                  <w:rFonts w:ascii="Calibri" w:hAnsi="Calibri" w:eastAsia="Microsoft YaHei"/>
                  <w:color w:val="008C95"/>
                  <w:u w:val="single"/>
                </w:rPr>
                <w:t>打开原始来源 ↗</w:t>
              </w:r>
            </w:hyperlink>
          </w:p>
        </w:tc>
      </w:tr>
      <w:tr>
        <w:trPr>
          <w:cantSplit/>
        </w:trPr>
        <w:tc>
          <w:tcPr>
            <w:tcW w:type="dxa" w:w="850"/>
          </w:tcPr>
          <w:p>
            <w:pPr>
              <w:keepLines/>
              <w:spacing w:after="0" w:line="276" w:lineRule="auto"/>
            </w:pPr>
            <w:r>
              <w:rPr>
                <w:rFonts w:ascii="Calibri" w:hAnsi="Calibri" w:eastAsia="Microsoft YaHei"/>
                <w:color w:val="0B2545"/>
                <w:sz w:val="14"/>
              </w:rPr>
              <w:t>软件</w:t>
            </w:r>
          </w:p>
        </w:tc>
        <w:tc>
          <w:tcPr>
            <w:tcW w:type="dxa" w:w="2500"/>
          </w:tcPr>
          <w:p>
            <w:pPr>
              <w:keepLines/>
              <w:spacing w:after="0" w:line="276" w:lineRule="auto"/>
            </w:pPr>
            <w:r>
              <w:rPr>
                <w:rFonts w:ascii="Calibri" w:hAnsi="Calibri" w:eastAsia="Microsoft YaHei"/>
                <w:color w:val="0B2545"/>
                <w:sz w:val="14"/>
              </w:rPr>
              <w:t>装置专有分析/标定软件</w:t>
            </w:r>
          </w:p>
        </w:tc>
        <w:tc>
          <w:tcPr>
            <w:tcW w:type="dxa" w:w="1600"/>
          </w:tcPr>
          <w:p>
            <w:pPr>
              <w:keepLines/>
              <w:spacing w:after="0" w:line="276" w:lineRule="auto"/>
            </w:pPr>
            <w:r>
              <w:rPr>
                <w:rFonts w:ascii="Calibri" w:hAnsi="Calibri" w:eastAsia="Microsoft YaHei"/>
                <w:color w:val="0B2545"/>
                <w:sz w:val="14"/>
              </w:rPr>
              <w:t>not-public</w:t>
            </w:r>
          </w:p>
        </w:tc>
        <w:tc>
          <w:tcPr>
            <w:tcW w:type="dxa" w:w="2300"/>
          </w:tcPr>
          <w:p>
            <w:pPr>
              <w:keepLines/>
              <w:spacing w:after="0" w:line="276" w:lineRule="auto"/>
            </w:pPr>
            <w:r>
              <w:rPr>
                <w:rFonts w:ascii="Calibri" w:hAnsi="Calibri" w:eastAsia="Microsoft YaHei"/>
                <w:color w:val="0B2545"/>
                <w:sz w:val="14"/>
              </w:rPr>
              <w:t>晶体射线追踪和生产层析代码未公开。</w:t>
            </w:r>
          </w:p>
        </w:tc>
        <w:tc>
          <w:tcPr>
            <w:tcW w:type="dxa" w:w="2110"/>
          </w:tcPr>
          <w:p>
            <w:pPr>
              <w:keepLines/>
              <w:spacing w:after="0" w:line="276" w:lineRule="auto"/>
            </w:pPr>
            <w:r>
              <w:rPr>
                <w:rFonts w:ascii="Calibri" w:hAnsi="Calibri" w:eastAsia="Microsoft YaHei"/>
                <w:color w:val="0B2545"/>
                <w:sz w:val="14"/>
              </w:rPr>
              <w:t>未公开</w:t>
            </w:r>
          </w:p>
        </w:tc>
      </w:tr>
    </w:tbl>
    <w:p>
      <w:pPr>
        <w:spacing w:before="0" w:after="60"/>
      </w:pPr>
    </w:p>
    <w:p>
      <w:pPr>
        <w:pStyle w:val="Heading3"/>
        <w:keepNext/>
      </w:pPr>
      <w:r>
        <w:t>DG3.03  中性粒子分析器：逃逸中性谱与离子分布</w:t>
      </w:r>
    </w:p>
    <w:p>
      <w:pPr>
        <w:keepNext/>
        <w:spacing w:after="80"/>
      </w:pPr>
      <w:r>
        <w:rPr>
          <w:rFonts w:ascii="Calibri" w:hAnsi="Calibri" w:eastAsia="Microsoft YaHei"/>
          <w:i/>
          <w:color w:val="566573"/>
          <w:sz w:val="18"/>
        </w:rPr>
        <w:t>Neutral-particle analysis of escaping neutrals and ion distributions</w:t>
      </w:r>
    </w:p>
    <w:tbl>
      <w:tblPr>
        <w:tblStyle w:val="TableGrid"/>
        <w:tblW w:type="dxa" w:w="9360"/>
        <w:jc w:val="left"/>
        <w:tblLayout w:type="fixed"/>
        <w:tblLook w:firstColumn="1" w:firstRow="1" w:lastColumn="0" w:lastRow="0" w:noHBand="0" w:noVBand="1" w:val="04A0"/>
        <w:tblInd w:w="120" w:type="dxa"/>
      </w:tblPr>
      <w:tblGrid>
        <w:gridCol w:w="1200"/>
        <w:gridCol w:w="750"/>
        <w:gridCol w:w="750"/>
        <w:gridCol w:w="2100"/>
        <w:gridCol w:w="4560"/>
      </w:tblGrid>
      <w:tr>
        <w:trPr>
          <w:tblHeader w:val="true"/>
        </w:trPr>
        <w:tc>
          <w:tcPr>
            <w:tcW w:type="dxa" w:w="12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工作 ID</w:t>
            </w:r>
          </w:p>
        </w:tc>
        <w:tc>
          <w:tcPr>
            <w:tcW w:type="dxa" w:w="7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证据</w:t>
            </w:r>
          </w:p>
        </w:tc>
        <w:tc>
          <w:tcPr>
            <w:tcW w:type="dxa" w:w="7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部署</w:t>
            </w:r>
          </w:p>
        </w:tc>
        <w:tc>
          <w:tcPr>
            <w:tcW w:type="dxa" w:w="21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技术族</w:t>
            </w:r>
          </w:p>
        </w:tc>
        <w:tc>
          <w:tcPr>
            <w:tcW w:type="dxa" w:w="456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装置</w:t>
            </w:r>
          </w:p>
        </w:tc>
      </w:tr>
      <w:tr>
        <w:trPr>
          <w:cantSplit/>
        </w:trPr>
        <w:tc>
          <w:tcPr>
            <w:tcW w:type="dxa" w:w="1200"/>
          </w:tcPr>
          <w:p>
            <w:pPr>
              <w:keepLines/>
              <w:spacing w:after="0" w:line="276" w:lineRule="auto"/>
            </w:pPr>
            <w:r>
              <w:rPr>
                <w:rFonts w:ascii="Calibri" w:hAnsi="Calibri" w:eastAsia="Microsoft YaHei"/>
                <w:color w:val="0B2545"/>
                <w:sz w:val="15"/>
              </w:rPr>
              <w:t>DG3-013</w:t>
            </w:r>
          </w:p>
        </w:tc>
        <w:tc>
          <w:tcPr>
            <w:tcW w:type="dxa" w:w="750"/>
          </w:tcPr>
          <w:p>
            <w:pPr>
              <w:keepLines/>
              <w:spacing w:after="0" w:line="276" w:lineRule="auto"/>
            </w:pPr>
            <w:r>
              <w:rPr>
                <w:rFonts w:ascii="Calibri" w:hAnsi="Calibri" w:eastAsia="Microsoft YaHei"/>
                <w:color w:val="0B2545"/>
                <w:sz w:val="15"/>
              </w:rPr>
              <w:t>E3</w:t>
            </w:r>
          </w:p>
        </w:tc>
        <w:tc>
          <w:tcPr>
            <w:tcW w:type="dxa" w:w="750"/>
          </w:tcPr>
          <w:p>
            <w:pPr>
              <w:keepLines/>
              <w:spacing w:after="0" w:line="276" w:lineRule="auto"/>
            </w:pPr>
            <w:r>
              <w:rPr>
                <w:rFonts w:ascii="Calibri" w:hAnsi="Calibri" w:eastAsia="Microsoft YaHei"/>
                <w:color w:val="0B2545"/>
                <w:sz w:val="15"/>
              </w:rPr>
              <w:t>D3</w:t>
            </w:r>
          </w:p>
        </w:tc>
        <w:tc>
          <w:tcPr>
            <w:tcW w:type="dxa" w:w="2100"/>
          </w:tcPr>
          <w:p>
            <w:pPr>
              <w:keepLines/>
              <w:spacing w:after="0" w:line="276" w:lineRule="auto"/>
            </w:pPr>
            <w:r>
              <w:rPr>
                <w:rFonts w:ascii="Calibri" w:hAnsi="Calibri" w:eastAsia="Microsoft YaHei"/>
                <w:color w:val="0B2545"/>
                <w:sz w:val="15"/>
              </w:rPr>
              <w:t>NUCLEAR_PARTICLE</w:t>
            </w:r>
          </w:p>
        </w:tc>
        <w:tc>
          <w:tcPr>
            <w:tcW w:type="dxa" w:w="4560"/>
          </w:tcPr>
          <w:p>
            <w:pPr>
              <w:keepLines/>
              <w:spacing w:after="0" w:line="276" w:lineRule="auto"/>
            </w:pPr>
            <w:r>
              <w:rPr>
                <w:rFonts w:ascii="Calibri" w:hAnsi="Calibri" w:eastAsia="Microsoft YaHei"/>
                <w:color w:val="0B2545"/>
                <w:sz w:val="15"/>
              </w:rPr>
              <w:t>ST40；ITER；EAST；LHD</w:t>
            </w:r>
          </w:p>
        </w:tc>
      </w:tr>
    </w:tbl>
    <w:p>
      <w:pPr>
        <w:spacing w:before="0" w:after="60"/>
      </w:pPr>
    </w:p>
    <w:p>
      <w:pPr>
        <w:widowControl/>
      </w:pPr>
      <w:r>
        <w:rPr>
          <w:rFonts w:ascii="Calibri" w:hAnsi="Calibri" w:eastAsia="Microsoft YaHei"/>
          <w:b/>
          <w:color w:val="1F4D78"/>
        </w:rPr>
        <w:t>解决问题：</w:t>
      </w:r>
      <w:r>
        <w:rPr>
          <w:rFonts w:ascii="Calibri" w:hAnsi="Calibri" w:eastAsia="Microsoft YaHei"/>
        </w:rPr>
        <w:t>从电荷交换逃逸中性约束离子能谱、燃料离子比例和快离子尾部。</w:t>
      </w:r>
    </w:p>
    <w:p>
      <w:pPr>
        <w:widowControl/>
      </w:pPr>
      <w:r>
        <w:rPr>
          <w:rFonts w:ascii="Calibri" w:hAnsi="Calibri" w:eastAsia="Microsoft YaHei"/>
          <w:b/>
          <w:color w:val="1F4D78"/>
        </w:rPr>
        <w:t>测量原理：</w:t>
      </w:r>
      <w:r>
        <w:rPr>
          <w:rFonts w:ascii="Calibri" w:hAnsi="Calibri" w:eastAsia="Microsoft YaHei"/>
        </w:rPr>
        <w:t>离子电荷交换后成为不受磁场约束的中性粒子；能量/质量分析器测其谱。</w:t>
      </w:r>
    </w:p>
    <w:p>
      <w:pPr>
        <w:widowControl/>
      </w:pPr>
      <w:r>
        <w:rPr>
          <w:rFonts w:ascii="Calibri" w:hAnsi="Calibri" w:eastAsia="Microsoft YaHei"/>
          <w:b/>
          <w:color w:val="1F4D78"/>
        </w:rPr>
        <w:t>测量产品：</w:t>
      </w:r>
      <w:r>
        <w:rPr>
          <w:rFonts w:ascii="Calibri" w:hAnsi="Calibri" w:eastAsia="Microsoft YaHei"/>
        </w:rPr>
        <w:t>neutral energy spectrum；ion distribution；fuel ratio；fast-ion tail</w:t>
      </w:r>
    </w:p>
    <w:p>
      <w:pPr>
        <w:widowControl/>
      </w:pPr>
      <w:r>
        <w:rPr>
          <w:rFonts w:ascii="Calibri" w:hAnsi="Calibri" w:eastAsia="Microsoft YaHei"/>
          <w:b/>
          <w:color w:val="1F4D78"/>
        </w:rPr>
        <w:t>时空分辨与覆盖：</w:t>
      </w:r>
      <w:r>
        <w:rPr>
          <w:rFonts w:ascii="Calibri" w:hAnsi="Calibri" w:eastAsia="Microsoft YaHei"/>
        </w:rPr>
        <w:t>时间：因装置、采集和分析链而异；原始来源未给出统一数值。；空间：由视线、几何和反演设定；原始来源未给出统一数值。</w:t>
      </w:r>
    </w:p>
    <w:p>
      <w:pPr>
        <w:widowControl/>
      </w:pPr>
      <w:r>
        <w:rPr>
          <w:rFonts w:ascii="Calibri" w:hAnsi="Calibri" w:eastAsia="Microsoft YaHei"/>
          <w:b/>
          <w:color w:val="1F4D78"/>
        </w:rPr>
        <w:t>仪器与传感器：</w:t>
      </w:r>
      <w:r>
        <w:rPr>
          <w:rFonts w:ascii="Calibri" w:hAnsi="Calibri" w:eastAsia="Microsoft YaHei"/>
        </w:rPr>
        <w:t>electrostatic/magnetic analyzer；diamond/scintillator detectors；collimators；flight path</w:t>
      </w:r>
    </w:p>
    <w:p>
      <w:pPr>
        <w:widowControl/>
      </w:pPr>
      <w:r>
        <w:rPr>
          <w:rFonts w:ascii="Calibri" w:hAnsi="Calibri" w:eastAsia="Microsoft YaHei"/>
          <w:b/>
          <w:color w:val="1F4D78"/>
        </w:rPr>
        <w:t>标定与质量：</w:t>
      </w:r>
      <w:r>
        <w:rPr>
          <w:rFonts w:ascii="Calibri" w:hAnsi="Calibri" w:eastAsia="Microsoft YaHei"/>
        </w:rPr>
        <w:t>用单能离子束/源标定能量、质量、效率和几何因子；评估背景。</w:t>
      </w:r>
    </w:p>
    <w:p>
      <w:pPr>
        <w:widowControl/>
      </w:pPr>
      <w:r>
        <w:rPr>
          <w:rFonts w:ascii="Calibri" w:hAnsi="Calibri" w:eastAsia="Microsoft YaHei"/>
          <w:b/>
          <w:color w:val="1F4D78"/>
        </w:rPr>
        <w:t>反演与分析：</w:t>
      </w:r>
      <w:r>
        <w:rPr>
          <w:rFonts w:ascii="Calibri" w:hAnsi="Calibri" w:eastAsia="Microsoft YaHei"/>
        </w:rPr>
        <w:t>用响应矩阵反演能谱；定量分布需要中性密度、电荷交换截面和轨道前向模型。</w:t>
      </w:r>
    </w:p>
    <w:p>
      <w:pPr>
        <w:widowControl/>
      </w:pPr>
      <w:r>
        <w:rPr>
          <w:rFonts w:ascii="Calibri" w:hAnsi="Calibri" w:eastAsia="Microsoft YaHei"/>
          <w:b/>
          <w:color w:val="1F4D78"/>
        </w:rPr>
        <w:t>验证与应用：</w:t>
      </w:r>
      <w:r>
        <w:rPr>
          <w:rFonts w:ascii="Calibri" w:hAnsi="Calibri" w:eastAsia="Microsoft YaHei"/>
        </w:rPr>
        <w:t>ST40给出装置谱；ITER样机以离子束和高通量台架验证。</w:t>
      </w:r>
    </w:p>
    <w:p>
      <w:pPr>
        <w:widowControl/>
      </w:pPr>
      <w:r>
        <w:rPr>
          <w:rFonts w:ascii="Calibri" w:hAnsi="Calibri" w:eastAsia="Microsoft YaHei"/>
          <w:b/>
          <w:color w:val="1F4D78"/>
        </w:rPr>
        <w:t>局限与边界：</w:t>
      </w:r>
      <w:r>
        <w:rPr>
          <w:rFonts w:ascii="Calibri" w:hAnsi="Calibri" w:eastAsia="Microsoft YaHei"/>
        </w:rPr>
        <w:t>强依赖未知中性密度；视线积分、再电离、饱和及中子/伽马背景限制绝对反演。</w:t>
      </w:r>
    </w:p>
    <w:tbl>
      <w:tblPr>
        <w:tblStyle w:val="TableGrid"/>
        <w:tblW w:type="dxa" w:w="9360"/>
        <w:jc w:val="left"/>
        <w:tblLayout w:type="fixed"/>
        <w:tblLook w:firstColumn="1" w:firstRow="1" w:lastColumn="0" w:lastRow="0" w:noHBand="0" w:noVBand="1" w:val="04A0"/>
        <w:tblInd w:w="120" w:type="dxa"/>
      </w:tblPr>
      <w:tblGrid>
        <w:gridCol w:w="9360"/>
      </w:tblGrid>
      <w:tr>
        <w:trPr>
          <w:cantSplit/>
        </w:trPr>
        <w:tc>
          <w:tcPr>
            <w:tcW w:type="dxa" w:w="9360"/>
            <w:tcMar>
              <w:top w:w="80" w:type="dxa"/>
              <w:bottom w:w="80" w:type="dxa"/>
              <w:start w:w="120" w:type="dxa"/>
              <w:end w:w="120" w:type="dxa"/>
            </w:tcMar>
            <w:vAlign w:val="center"/>
            <w:shd w:fill="EEF7F7"/>
          </w:tcPr>
          <w:p>
            <w:pPr>
              <w:keepNext/>
              <w:keepLines/>
              <w:spacing w:after="40"/>
            </w:pPr>
            <w:r>
              <w:rPr>
                <w:rFonts w:ascii="Calibri" w:hAnsi="Calibri" w:eastAsia="Microsoft YaHei"/>
                <w:b/>
                <w:color w:val="008C95"/>
                <w:sz w:val="17"/>
              </w:rPr>
              <w:t>DIGITAL-TWIN RELEVANCE</w:t>
            </w:r>
          </w:p>
          <w:p>
            <w:pPr>
              <w:spacing w:after="0"/>
            </w:pPr>
            <w:r>
              <w:rPr>
                <w:rFonts w:ascii="Calibri" w:hAnsi="Calibri" w:eastAsia="Microsoft YaHei"/>
                <w:color w:val="0B2545"/>
                <w:sz w:val="20"/>
              </w:rPr>
              <w:t>应以带响应矩阵的观测算子接入快离子孪生，不能把能谱直接等同局部分布。</w:t>
            </w:r>
          </w:p>
        </w:tc>
      </w:tr>
    </w:tbl>
    <w:p>
      <w:pPr>
        <w:spacing w:after="40"/>
      </w:pPr>
    </w:p>
    <w:tbl>
      <w:tblPr>
        <w:tblStyle w:val="TableGrid"/>
        <w:tblW w:type="dxa" w:w="9360"/>
        <w:jc w:val="left"/>
        <w:tblLayout w:type="fixed"/>
        <w:tblLook w:firstColumn="1" w:firstRow="1" w:lastColumn="0" w:lastRow="0" w:noHBand="0" w:noVBand="1" w:val="04A0"/>
        <w:tblInd w:w="120" w:type="dxa"/>
      </w:tblPr>
      <w:tblGrid>
        <w:gridCol w:w="850"/>
        <w:gridCol w:w="2500"/>
        <w:gridCol w:w="1600"/>
        <w:gridCol w:w="2300"/>
        <w:gridCol w:w="2110"/>
      </w:tblGrid>
      <w:tr>
        <w:trPr>
          <w:tblHeader w:val="true"/>
        </w:trPr>
        <w:tc>
          <w:tcPr>
            <w:tcW w:type="dxa" w:w="8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年份/类型</w:t>
            </w:r>
          </w:p>
        </w:tc>
        <w:tc>
          <w:tcPr>
            <w:tcW w:type="dxa" w:w="25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论文或软件</w:t>
            </w:r>
          </w:p>
        </w:tc>
        <w:tc>
          <w:tcPr>
            <w:tcW w:type="dxa" w:w="16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期刊/开放性</w:t>
            </w:r>
          </w:p>
        </w:tc>
        <w:tc>
          <w:tcPr>
            <w:tcW w:type="dxa" w:w="23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来源类型/关系</w:t>
            </w:r>
          </w:p>
        </w:tc>
        <w:tc>
          <w:tcPr>
            <w:tcW w:type="dxa" w:w="211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链接</w:t>
            </w:r>
          </w:p>
        </w:tc>
      </w:tr>
      <w:tr>
        <w:trPr>
          <w:cantSplit/>
        </w:trPr>
        <w:tc>
          <w:tcPr>
            <w:tcW w:type="dxa" w:w="850"/>
          </w:tcPr>
          <w:p>
            <w:pPr>
              <w:keepLines/>
              <w:spacing w:after="0" w:line="276" w:lineRule="auto"/>
            </w:pPr>
            <w:r>
              <w:rPr>
                <w:rFonts w:ascii="Calibri" w:hAnsi="Calibri" w:eastAsia="Microsoft YaHei"/>
                <w:color w:val="0B2545"/>
                <w:sz w:val="14"/>
              </w:rPr>
              <w:t>2025</w:t>
            </w:r>
          </w:p>
        </w:tc>
        <w:tc>
          <w:tcPr>
            <w:tcW w:type="dxa" w:w="2500"/>
          </w:tcPr>
          <w:p>
            <w:pPr>
              <w:keepLines/>
              <w:spacing w:after="0" w:line="276" w:lineRule="auto"/>
            </w:pPr>
            <w:r>
              <w:rPr>
                <w:rFonts w:ascii="Calibri" w:hAnsi="Calibri" w:eastAsia="Microsoft YaHei"/>
                <w:color w:val="0B2545"/>
                <w:sz w:val="14"/>
              </w:rPr>
              <w:t>Neutral particle analyzer for plasma diagnostics on tokamak ST40</w:t>
            </w:r>
          </w:p>
        </w:tc>
        <w:tc>
          <w:tcPr>
            <w:tcW w:type="dxa" w:w="1600"/>
          </w:tcPr>
          <w:p>
            <w:pPr>
              <w:keepLines/>
              <w:spacing w:after="0" w:line="276" w:lineRule="auto"/>
            </w:pPr>
            <w:r>
              <w:rPr>
                <w:rFonts w:ascii="Calibri" w:hAnsi="Calibri" w:eastAsia="Microsoft YaHei"/>
                <w:color w:val="0B2545"/>
                <w:sz w:val="14"/>
              </w:rPr>
              <w:t>Review of Scientific Instruments</w:t>
            </w:r>
          </w:p>
        </w:tc>
        <w:tc>
          <w:tcPr>
            <w:tcW w:type="dxa" w:w="2300"/>
          </w:tcPr>
          <w:p>
            <w:pPr>
              <w:keepLines/>
              <w:spacing w:after="0" w:line="276" w:lineRule="auto"/>
            </w:pPr>
            <w:r>
              <w:rPr>
                <w:rFonts w:ascii="Calibri" w:hAnsi="Calibri" w:eastAsia="Microsoft YaHei"/>
                <w:color w:val="0B2545"/>
                <w:sz w:val="14"/>
              </w:rPr>
              <w:t>peer-reviewed-journal</w:t>
            </w:r>
          </w:p>
        </w:tc>
        <w:tc>
          <w:tcPr>
            <w:tcW w:type="dxa" w:w="2110"/>
          </w:tcPr>
          <w:p>
            <w:pPr>
              <w:keepLines/>
              <w:spacing w:after="0" w:line="276" w:lineRule="auto"/>
            </w:pPr>
            <w:hyperlink r:id="rId64">
              <w:r>
                <w:rPr>
                  <w:rFonts w:ascii="Calibri" w:hAnsi="Calibri" w:eastAsia="Microsoft YaHei"/>
                  <w:color w:val="008C95"/>
                  <w:u w:val="single"/>
                </w:rPr>
                <w:t>打开原始来源 ↗</w:t>
              </w:r>
            </w:hyperlink>
          </w:p>
        </w:tc>
      </w:tr>
      <w:tr>
        <w:trPr>
          <w:cantSplit/>
        </w:trPr>
        <w:tc>
          <w:tcPr>
            <w:tcW w:type="dxa" w:w="850"/>
          </w:tcPr>
          <w:p>
            <w:pPr>
              <w:keepLines/>
              <w:spacing w:after="0" w:line="276" w:lineRule="auto"/>
            </w:pPr>
            <w:r>
              <w:rPr>
                <w:rFonts w:ascii="Calibri" w:hAnsi="Calibri" w:eastAsia="Microsoft YaHei"/>
                <w:color w:val="0B2545"/>
                <w:sz w:val="14"/>
              </w:rPr>
              <w:t>2020</w:t>
            </w:r>
          </w:p>
        </w:tc>
        <w:tc>
          <w:tcPr>
            <w:tcW w:type="dxa" w:w="2500"/>
          </w:tcPr>
          <w:p>
            <w:pPr>
              <w:keepLines/>
              <w:spacing w:after="0" w:line="276" w:lineRule="auto"/>
            </w:pPr>
            <w:r>
              <w:rPr>
                <w:rFonts w:ascii="Calibri" w:hAnsi="Calibri" w:eastAsia="Microsoft YaHei"/>
                <w:color w:val="0B2545"/>
                <w:sz w:val="14"/>
              </w:rPr>
              <w:t>Bench tests of a helium ion source for the neutral particle diagnostic system of the ITER tokamak</w:t>
            </w:r>
          </w:p>
        </w:tc>
        <w:tc>
          <w:tcPr>
            <w:tcW w:type="dxa" w:w="1600"/>
          </w:tcPr>
          <w:p>
            <w:pPr>
              <w:keepLines/>
              <w:spacing w:after="0" w:line="276" w:lineRule="auto"/>
            </w:pPr>
            <w:r>
              <w:rPr>
                <w:rFonts w:ascii="Calibri" w:hAnsi="Calibri" w:eastAsia="Microsoft YaHei"/>
                <w:color w:val="0B2545"/>
                <w:sz w:val="14"/>
              </w:rPr>
              <w:t>Review of Scientific Instruments</w:t>
            </w:r>
          </w:p>
        </w:tc>
        <w:tc>
          <w:tcPr>
            <w:tcW w:type="dxa" w:w="2300"/>
          </w:tcPr>
          <w:p>
            <w:pPr>
              <w:keepLines/>
              <w:spacing w:after="0" w:line="276" w:lineRule="auto"/>
            </w:pPr>
            <w:r>
              <w:rPr>
                <w:rFonts w:ascii="Calibri" w:hAnsi="Calibri" w:eastAsia="Microsoft YaHei"/>
                <w:color w:val="0B2545"/>
                <w:sz w:val="14"/>
              </w:rPr>
              <w:t>peer-reviewed-journal</w:t>
            </w:r>
          </w:p>
        </w:tc>
        <w:tc>
          <w:tcPr>
            <w:tcW w:type="dxa" w:w="2110"/>
          </w:tcPr>
          <w:p>
            <w:pPr>
              <w:keepLines/>
              <w:spacing w:after="0" w:line="276" w:lineRule="auto"/>
            </w:pPr>
            <w:hyperlink r:id="rId65">
              <w:r>
                <w:rPr>
                  <w:rFonts w:ascii="Calibri" w:hAnsi="Calibri" w:eastAsia="Microsoft YaHei"/>
                  <w:color w:val="008C95"/>
                  <w:u w:val="single"/>
                </w:rPr>
                <w:t>打开原始来源 ↗</w:t>
              </w:r>
            </w:hyperlink>
          </w:p>
        </w:tc>
      </w:tr>
      <w:tr>
        <w:trPr>
          <w:cantSplit/>
        </w:trPr>
        <w:tc>
          <w:tcPr>
            <w:tcW w:type="dxa" w:w="850"/>
          </w:tcPr>
          <w:p>
            <w:pPr>
              <w:keepLines/>
              <w:spacing w:after="0" w:line="276" w:lineRule="auto"/>
            </w:pPr>
            <w:r>
              <w:rPr>
                <w:rFonts w:ascii="Calibri" w:hAnsi="Calibri" w:eastAsia="Microsoft YaHei"/>
                <w:color w:val="0B2545"/>
                <w:sz w:val="14"/>
              </w:rPr>
              <w:t>软件</w:t>
            </w:r>
          </w:p>
        </w:tc>
        <w:tc>
          <w:tcPr>
            <w:tcW w:type="dxa" w:w="2500"/>
          </w:tcPr>
          <w:p>
            <w:pPr>
              <w:keepLines/>
              <w:spacing w:after="0" w:line="276" w:lineRule="auto"/>
            </w:pPr>
            <w:r>
              <w:rPr>
                <w:rFonts w:ascii="Calibri" w:hAnsi="Calibri" w:eastAsia="Microsoft YaHei"/>
                <w:color w:val="0B2545"/>
                <w:sz w:val="14"/>
              </w:rPr>
              <w:t>FIDASIM</w:t>
            </w:r>
          </w:p>
        </w:tc>
        <w:tc>
          <w:tcPr>
            <w:tcW w:type="dxa" w:w="1600"/>
          </w:tcPr>
          <w:p>
            <w:pPr>
              <w:keepLines/>
              <w:spacing w:after="0" w:line="276" w:lineRule="auto"/>
            </w:pPr>
            <w:r>
              <w:rPr>
                <w:rFonts w:ascii="Calibri" w:hAnsi="Calibri" w:eastAsia="Microsoft YaHei"/>
                <w:color w:val="0B2545"/>
                <w:sz w:val="14"/>
              </w:rPr>
              <w:t>official-direct</w:t>
            </w:r>
          </w:p>
        </w:tc>
        <w:tc>
          <w:tcPr>
            <w:tcW w:type="dxa" w:w="2300"/>
          </w:tcPr>
          <w:p>
            <w:pPr>
              <w:keepLines/>
              <w:spacing w:after="0" w:line="276" w:lineRule="auto"/>
            </w:pPr>
            <w:r>
              <w:rPr>
                <w:rFonts w:ascii="Calibri" w:hAnsi="Calibri" w:eastAsia="Microsoft YaHei"/>
                <w:color w:val="0B2545"/>
                <w:sz w:val="14"/>
              </w:rPr>
              <w:t>NPA/FIDA合成观测与中性响应。</w:t>
            </w:r>
          </w:p>
        </w:tc>
        <w:tc>
          <w:tcPr>
            <w:tcW w:type="dxa" w:w="2110"/>
          </w:tcPr>
          <w:p>
            <w:pPr>
              <w:keepLines/>
              <w:spacing w:after="0" w:line="276" w:lineRule="auto"/>
            </w:pPr>
            <w:hyperlink r:id="rId66">
              <w:r>
                <w:rPr>
                  <w:rFonts w:ascii="Calibri" w:hAnsi="Calibri" w:eastAsia="Microsoft YaHei"/>
                  <w:color w:val="008C95"/>
                  <w:u w:val="single"/>
                </w:rPr>
                <w:t>打开原始来源 ↗</w:t>
              </w:r>
            </w:hyperlink>
          </w:p>
        </w:tc>
      </w:tr>
      <w:tr>
        <w:trPr>
          <w:cantSplit/>
        </w:trPr>
        <w:tc>
          <w:tcPr>
            <w:tcW w:type="dxa" w:w="850"/>
          </w:tcPr>
          <w:p>
            <w:pPr>
              <w:keepLines/>
              <w:spacing w:after="0" w:line="276" w:lineRule="auto"/>
            </w:pPr>
            <w:r>
              <w:rPr>
                <w:rFonts w:ascii="Calibri" w:hAnsi="Calibri" w:eastAsia="Microsoft YaHei"/>
                <w:color w:val="0B2545"/>
                <w:sz w:val="14"/>
              </w:rPr>
              <w:t>软件</w:t>
            </w:r>
          </w:p>
        </w:tc>
        <w:tc>
          <w:tcPr>
            <w:tcW w:type="dxa" w:w="2500"/>
          </w:tcPr>
          <w:p>
            <w:pPr>
              <w:keepLines/>
              <w:spacing w:after="0" w:line="276" w:lineRule="auto"/>
            </w:pPr>
            <w:r>
              <w:rPr>
                <w:rFonts w:ascii="Calibri" w:hAnsi="Calibri" w:eastAsia="Microsoft YaHei"/>
                <w:color w:val="0B2545"/>
                <w:sz w:val="14"/>
              </w:rPr>
              <w:t>装置专有分析/标定软件</w:t>
            </w:r>
          </w:p>
        </w:tc>
        <w:tc>
          <w:tcPr>
            <w:tcW w:type="dxa" w:w="1600"/>
          </w:tcPr>
          <w:p>
            <w:pPr>
              <w:keepLines/>
              <w:spacing w:after="0" w:line="276" w:lineRule="auto"/>
            </w:pPr>
            <w:r>
              <w:rPr>
                <w:rFonts w:ascii="Calibri" w:hAnsi="Calibri" w:eastAsia="Microsoft YaHei"/>
                <w:color w:val="0B2545"/>
                <w:sz w:val="14"/>
              </w:rPr>
              <w:t>not-public</w:t>
            </w:r>
          </w:p>
        </w:tc>
        <w:tc>
          <w:tcPr>
            <w:tcW w:type="dxa" w:w="2300"/>
          </w:tcPr>
          <w:p>
            <w:pPr>
              <w:keepLines/>
              <w:spacing w:after="0" w:line="276" w:lineRule="auto"/>
            </w:pPr>
            <w:r>
              <w:rPr>
                <w:rFonts w:ascii="Calibri" w:hAnsi="Calibri" w:eastAsia="Microsoft YaHei"/>
                <w:color w:val="0B2545"/>
                <w:sz w:val="14"/>
              </w:rPr>
              <w:t>硬件控制和生产反演未公开。</w:t>
            </w:r>
          </w:p>
        </w:tc>
        <w:tc>
          <w:tcPr>
            <w:tcW w:type="dxa" w:w="2110"/>
          </w:tcPr>
          <w:p>
            <w:pPr>
              <w:keepLines/>
              <w:spacing w:after="0" w:line="276" w:lineRule="auto"/>
            </w:pPr>
            <w:r>
              <w:rPr>
                <w:rFonts w:ascii="Calibri" w:hAnsi="Calibri" w:eastAsia="Microsoft YaHei"/>
                <w:color w:val="0B2545"/>
                <w:sz w:val="14"/>
              </w:rPr>
              <w:t>未公开</w:t>
            </w:r>
          </w:p>
        </w:tc>
      </w:tr>
    </w:tbl>
    <w:p>
      <w:pPr>
        <w:spacing w:before="0" w:after="60"/>
      </w:pPr>
    </w:p>
    <w:p>
      <w:pPr>
        <w:pStyle w:val="Heading3"/>
        <w:keepNext/>
      </w:pPr>
      <w:r>
        <w:t>DG3.04  主离子电荷交换谱：DIII-D氢同位素比例</w:t>
      </w:r>
    </w:p>
    <w:p>
      <w:pPr>
        <w:keepNext/>
        <w:spacing w:after="80"/>
      </w:pPr>
      <w:r>
        <w:rPr>
          <w:rFonts w:ascii="Calibri" w:hAnsi="Calibri" w:eastAsia="Microsoft YaHei"/>
          <w:i/>
          <w:color w:val="566573"/>
          <w:sz w:val="18"/>
        </w:rPr>
        <w:t>Main-ion charge-exchange spectroscopy for isotope fraction</w:t>
      </w:r>
    </w:p>
    <w:tbl>
      <w:tblPr>
        <w:tblStyle w:val="TableGrid"/>
        <w:tblW w:type="dxa" w:w="9360"/>
        <w:jc w:val="left"/>
        <w:tblLayout w:type="fixed"/>
        <w:tblLook w:firstColumn="1" w:firstRow="1" w:lastColumn="0" w:lastRow="0" w:noHBand="0" w:noVBand="1" w:val="04A0"/>
        <w:tblInd w:w="120" w:type="dxa"/>
      </w:tblPr>
      <w:tblGrid>
        <w:gridCol w:w="1200"/>
        <w:gridCol w:w="750"/>
        <w:gridCol w:w="750"/>
        <w:gridCol w:w="2100"/>
        <w:gridCol w:w="4560"/>
      </w:tblGrid>
      <w:tr>
        <w:trPr>
          <w:tblHeader w:val="true"/>
        </w:trPr>
        <w:tc>
          <w:tcPr>
            <w:tcW w:type="dxa" w:w="12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工作 ID</w:t>
            </w:r>
          </w:p>
        </w:tc>
        <w:tc>
          <w:tcPr>
            <w:tcW w:type="dxa" w:w="7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证据</w:t>
            </w:r>
          </w:p>
        </w:tc>
        <w:tc>
          <w:tcPr>
            <w:tcW w:type="dxa" w:w="7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部署</w:t>
            </w:r>
          </w:p>
        </w:tc>
        <w:tc>
          <w:tcPr>
            <w:tcW w:type="dxa" w:w="21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技术族</w:t>
            </w:r>
          </w:p>
        </w:tc>
        <w:tc>
          <w:tcPr>
            <w:tcW w:type="dxa" w:w="456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装置</w:t>
            </w:r>
          </w:p>
        </w:tc>
      </w:tr>
      <w:tr>
        <w:trPr>
          <w:cantSplit/>
        </w:trPr>
        <w:tc>
          <w:tcPr>
            <w:tcW w:type="dxa" w:w="1200"/>
          </w:tcPr>
          <w:p>
            <w:pPr>
              <w:keepLines/>
              <w:spacing w:after="0" w:line="276" w:lineRule="auto"/>
            </w:pPr>
            <w:r>
              <w:rPr>
                <w:rFonts w:ascii="Calibri" w:hAnsi="Calibri" w:eastAsia="Microsoft YaHei"/>
                <w:color w:val="0B2545"/>
                <w:sz w:val="15"/>
              </w:rPr>
              <w:t>DG3-014</w:t>
            </w:r>
          </w:p>
        </w:tc>
        <w:tc>
          <w:tcPr>
            <w:tcW w:type="dxa" w:w="750"/>
          </w:tcPr>
          <w:p>
            <w:pPr>
              <w:keepLines/>
              <w:spacing w:after="0" w:line="276" w:lineRule="auto"/>
            </w:pPr>
            <w:r>
              <w:rPr>
                <w:rFonts w:ascii="Calibri" w:hAnsi="Calibri" w:eastAsia="Microsoft YaHei"/>
                <w:color w:val="0B2545"/>
                <w:sz w:val="15"/>
              </w:rPr>
              <w:t>E3</w:t>
            </w:r>
          </w:p>
        </w:tc>
        <w:tc>
          <w:tcPr>
            <w:tcW w:type="dxa" w:w="750"/>
          </w:tcPr>
          <w:p>
            <w:pPr>
              <w:keepLines/>
              <w:spacing w:after="0" w:line="276" w:lineRule="auto"/>
            </w:pPr>
            <w:r>
              <w:rPr>
                <w:rFonts w:ascii="Calibri" w:hAnsi="Calibri" w:eastAsia="Microsoft YaHei"/>
                <w:color w:val="0B2545"/>
                <w:sz w:val="15"/>
              </w:rPr>
              <w:t>D3</w:t>
            </w:r>
          </w:p>
        </w:tc>
        <w:tc>
          <w:tcPr>
            <w:tcW w:type="dxa" w:w="2100"/>
          </w:tcPr>
          <w:p>
            <w:pPr>
              <w:keepLines/>
              <w:spacing w:after="0" w:line="276" w:lineRule="auto"/>
            </w:pPr>
            <w:r>
              <w:rPr>
                <w:rFonts w:ascii="Calibri" w:hAnsi="Calibri" w:eastAsia="Microsoft YaHei"/>
                <w:color w:val="0B2545"/>
                <w:sz w:val="15"/>
              </w:rPr>
              <w:t>OPTICAL</w:t>
            </w:r>
          </w:p>
        </w:tc>
        <w:tc>
          <w:tcPr>
            <w:tcW w:type="dxa" w:w="4560"/>
          </w:tcPr>
          <w:p>
            <w:pPr>
              <w:keepLines/>
              <w:spacing w:after="0" w:line="276" w:lineRule="auto"/>
            </w:pPr>
            <w:r>
              <w:rPr>
                <w:rFonts w:ascii="Calibri" w:hAnsi="Calibri" w:eastAsia="Microsoft YaHei"/>
                <w:color w:val="0B2545"/>
                <w:sz w:val="15"/>
              </w:rPr>
              <w:t>DIII-D；JET relevance；ITER relevance</w:t>
            </w:r>
          </w:p>
        </w:tc>
      </w:tr>
    </w:tbl>
    <w:p>
      <w:pPr>
        <w:spacing w:before="0" w:after="60"/>
      </w:pPr>
    </w:p>
    <w:p>
      <w:pPr>
        <w:widowControl/>
      </w:pPr>
      <w:r>
        <w:rPr>
          <w:rFonts w:ascii="Calibri" w:hAnsi="Calibri" w:eastAsia="Microsoft YaHei"/>
          <w:b/>
          <w:color w:val="1F4D78"/>
        </w:rPr>
        <w:t>解决问题：</w:t>
      </w:r>
      <w:r>
        <w:rPr>
          <w:rFonts w:ascii="Calibri" w:hAnsi="Calibri" w:eastAsia="Microsoft YaHei"/>
        </w:rPr>
        <w:t>测量主离子Ti、流速及H/D比例，服务燃料控制和同位素输运。</w:t>
      </w:r>
    </w:p>
    <w:p>
      <w:pPr>
        <w:widowControl/>
      </w:pPr>
      <w:r>
        <w:rPr>
          <w:rFonts w:ascii="Calibri" w:hAnsi="Calibri" w:eastAsia="Microsoft YaHei"/>
          <w:b/>
          <w:color w:val="1F4D78"/>
        </w:rPr>
        <w:t>测量原理：</w:t>
      </w:r>
      <w:r>
        <w:rPr>
          <w:rFonts w:ascii="Calibri" w:hAnsi="Calibri" w:eastAsia="Microsoft YaHei"/>
        </w:rPr>
        <w:t>主动Hα/Dα谱的同位素移位、宽度和强度由束—主离子电荷交换及原子模型决定。</w:t>
      </w:r>
    </w:p>
    <w:p>
      <w:pPr>
        <w:widowControl/>
      </w:pPr>
      <w:r>
        <w:rPr>
          <w:rFonts w:ascii="Calibri" w:hAnsi="Calibri" w:eastAsia="Microsoft YaHei"/>
          <w:b/>
          <w:color w:val="1F4D78"/>
        </w:rPr>
        <w:t>测量产品：</w:t>
      </w:r>
      <w:r>
        <w:rPr>
          <w:rFonts w:ascii="Calibri" w:hAnsi="Calibri" w:eastAsia="Microsoft YaHei"/>
        </w:rPr>
        <w:t>main-ion temperature；main-ion rotation；isotope fraction</w:t>
      </w:r>
    </w:p>
    <w:p>
      <w:pPr>
        <w:widowControl/>
      </w:pPr>
      <w:r>
        <w:rPr>
          <w:rFonts w:ascii="Calibri" w:hAnsi="Calibri" w:eastAsia="Microsoft YaHei"/>
          <w:b/>
          <w:color w:val="1F4D78"/>
        </w:rPr>
        <w:t>时空分辨与覆盖：</w:t>
      </w:r>
      <w:r>
        <w:rPr>
          <w:rFonts w:ascii="Calibri" w:hAnsi="Calibri" w:eastAsia="Microsoft YaHei"/>
        </w:rPr>
        <w:t>时间：因装置、采集和分析链而异；原始来源未给出统一数值。；空间：由视线、几何和反演设定；原始来源未给出统一数值。</w:t>
      </w:r>
    </w:p>
    <w:p>
      <w:pPr>
        <w:widowControl/>
      </w:pPr>
      <w:r>
        <w:rPr>
          <w:rFonts w:ascii="Calibri" w:hAnsi="Calibri" w:eastAsia="Microsoft YaHei"/>
          <w:b/>
          <w:color w:val="1F4D78"/>
        </w:rPr>
        <w:t>仪器与传感器：</w:t>
      </w:r>
      <w:r>
        <w:rPr>
          <w:rFonts w:ascii="Calibri" w:hAnsi="Calibri" w:eastAsia="Microsoft YaHei"/>
        </w:rPr>
        <w:t>MICER spectrometer；neutral beam；high-resolution visible optics；fast CCD</w:t>
      </w:r>
    </w:p>
    <w:p>
      <w:pPr>
        <w:widowControl/>
      </w:pPr>
      <w:r>
        <w:rPr>
          <w:rFonts w:ascii="Calibri" w:hAnsi="Calibri" w:eastAsia="Microsoft YaHei"/>
          <w:b/>
          <w:color w:val="1F4D78"/>
        </w:rPr>
        <w:t>标定与质量：</w:t>
      </w:r>
      <w:r>
        <w:rPr>
          <w:rFonts w:ascii="Calibri" w:hAnsi="Calibri" w:eastAsia="Microsoft YaHei"/>
        </w:rPr>
        <w:t>标定波长、仪器函数和相对响应；束调制分离被动背景。</w:t>
      </w:r>
    </w:p>
    <w:p>
      <w:pPr>
        <w:widowControl/>
      </w:pPr>
      <w:r>
        <w:rPr>
          <w:rFonts w:ascii="Calibri" w:hAnsi="Calibri" w:eastAsia="Microsoft YaHei"/>
          <w:b/>
          <w:color w:val="1F4D78"/>
        </w:rPr>
        <w:t>反演与分析：</w:t>
      </w:r>
      <w:r>
        <w:rPr>
          <w:rFonts w:ascii="Calibri" w:hAnsi="Calibri" w:eastAsia="Microsoft YaHei"/>
        </w:rPr>
        <w:t>多同位素谱联合拟合，并用FIDASIM计算束组分、有限寿命和光子发射。</w:t>
      </w:r>
    </w:p>
    <w:p>
      <w:pPr>
        <w:widowControl/>
      </w:pPr>
      <w:r>
        <w:rPr>
          <w:rFonts w:ascii="Calibri" w:hAnsi="Calibri" w:eastAsia="Microsoft YaHei"/>
          <w:b/>
          <w:color w:val="1F4D78"/>
        </w:rPr>
        <w:t>验证与应用：</w:t>
      </w:r>
      <w:r>
        <w:rPr>
          <w:rFonts w:ascii="Calibri" w:hAnsi="Calibri" w:eastAsia="Microsoft YaHei"/>
        </w:rPr>
        <w:t>DIII-D通过改变注气/束组分扫描，并与其他燃料指标和合成谱比对。</w:t>
      </w:r>
    </w:p>
    <w:p>
      <w:pPr>
        <w:widowControl/>
      </w:pPr>
      <w:r>
        <w:rPr>
          <w:rFonts w:ascii="Calibri" w:hAnsi="Calibri" w:eastAsia="Microsoft YaHei"/>
          <w:b/>
          <w:color w:val="1F4D78"/>
        </w:rPr>
        <w:t>局限与边界：</w:t>
      </w:r>
      <w:r>
        <w:rPr>
          <w:rFonts w:ascii="Calibri" w:hAnsi="Calibri" w:eastAsia="Microsoft YaHei"/>
        </w:rPr>
        <w:t>同位素线重叠、回收光和束组分不确定度导致模型依赖。</w:t>
      </w:r>
    </w:p>
    <w:tbl>
      <w:tblPr>
        <w:tblStyle w:val="TableGrid"/>
        <w:tblW w:type="dxa" w:w="9360"/>
        <w:jc w:val="left"/>
        <w:tblLayout w:type="fixed"/>
        <w:tblLook w:firstColumn="1" w:firstRow="1" w:lastColumn="0" w:lastRow="0" w:noHBand="0" w:noVBand="1" w:val="04A0"/>
        <w:tblInd w:w="120" w:type="dxa"/>
      </w:tblPr>
      <w:tblGrid>
        <w:gridCol w:w="9360"/>
      </w:tblGrid>
      <w:tr>
        <w:trPr>
          <w:cantSplit/>
        </w:trPr>
        <w:tc>
          <w:tcPr>
            <w:tcW w:type="dxa" w:w="9360"/>
            <w:tcMar>
              <w:top w:w="80" w:type="dxa"/>
              <w:bottom w:w="80" w:type="dxa"/>
              <w:start w:w="120" w:type="dxa"/>
              <w:end w:w="120" w:type="dxa"/>
            </w:tcMar>
            <w:vAlign w:val="center"/>
            <w:shd w:fill="EEF7F7"/>
          </w:tcPr>
          <w:p>
            <w:pPr>
              <w:keepNext/>
              <w:keepLines/>
              <w:spacing w:after="40"/>
            </w:pPr>
            <w:r>
              <w:rPr>
                <w:rFonts w:ascii="Calibri" w:hAnsi="Calibri" w:eastAsia="Microsoft YaHei"/>
                <w:b/>
                <w:color w:val="008C95"/>
                <w:sz w:val="17"/>
              </w:rPr>
              <w:t>DIGITAL-TWIN RELEVANCE</w:t>
            </w:r>
          </w:p>
          <w:p>
            <w:pPr>
              <w:spacing w:after="0"/>
            </w:pPr>
            <w:r>
              <w:rPr>
                <w:rFonts w:ascii="Calibri" w:hAnsi="Calibri" w:eastAsia="Microsoft YaHei"/>
                <w:color w:val="0B2545"/>
                <w:sz w:val="20"/>
              </w:rPr>
              <w:t>为空间分辨燃料组成提供约束；原子数据和束状态必须可审计。</w:t>
            </w:r>
          </w:p>
        </w:tc>
      </w:tr>
    </w:tbl>
    <w:p>
      <w:pPr>
        <w:spacing w:after="40"/>
      </w:pPr>
    </w:p>
    <w:tbl>
      <w:tblPr>
        <w:tblStyle w:val="TableGrid"/>
        <w:tblW w:type="dxa" w:w="9360"/>
        <w:jc w:val="left"/>
        <w:tblLayout w:type="fixed"/>
        <w:tblLook w:firstColumn="1" w:firstRow="1" w:lastColumn="0" w:lastRow="0" w:noHBand="0" w:noVBand="1" w:val="04A0"/>
        <w:tblInd w:w="120" w:type="dxa"/>
      </w:tblPr>
      <w:tblGrid>
        <w:gridCol w:w="850"/>
        <w:gridCol w:w="2500"/>
        <w:gridCol w:w="1600"/>
        <w:gridCol w:w="2300"/>
        <w:gridCol w:w="2110"/>
      </w:tblGrid>
      <w:tr>
        <w:trPr>
          <w:tblHeader w:val="true"/>
        </w:trPr>
        <w:tc>
          <w:tcPr>
            <w:tcW w:type="dxa" w:w="8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年份/类型</w:t>
            </w:r>
          </w:p>
        </w:tc>
        <w:tc>
          <w:tcPr>
            <w:tcW w:type="dxa" w:w="25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论文或软件</w:t>
            </w:r>
          </w:p>
        </w:tc>
        <w:tc>
          <w:tcPr>
            <w:tcW w:type="dxa" w:w="16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期刊/开放性</w:t>
            </w:r>
          </w:p>
        </w:tc>
        <w:tc>
          <w:tcPr>
            <w:tcW w:type="dxa" w:w="23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来源类型/关系</w:t>
            </w:r>
          </w:p>
        </w:tc>
        <w:tc>
          <w:tcPr>
            <w:tcW w:type="dxa" w:w="211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链接</w:t>
            </w:r>
          </w:p>
        </w:tc>
      </w:tr>
      <w:tr>
        <w:trPr>
          <w:cantSplit/>
        </w:trPr>
        <w:tc>
          <w:tcPr>
            <w:tcW w:type="dxa" w:w="850"/>
          </w:tcPr>
          <w:p>
            <w:pPr>
              <w:keepLines/>
              <w:spacing w:after="0" w:line="276" w:lineRule="auto"/>
            </w:pPr>
            <w:r>
              <w:rPr>
                <w:rFonts w:ascii="Calibri" w:hAnsi="Calibri" w:eastAsia="Microsoft YaHei"/>
                <w:color w:val="0B2545"/>
                <w:sz w:val="14"/>
              </w:rPr>
              <w:t>2021</w:t>
            </w:r>
          </w:p>
        </w:tc>
        <w:tc>
          <w:tcPr>
            <w:tcW w:type="dxa" w:w="2500"/>
          </w:tcPr>
          <w:p>
            <w:pPr>
              <w:keepLines/>
              <w:spacing w:after="0" w:line="276" w:lineRule="auto"/>
            </w:pPr>
            <w:r>
              <w:rPr>
                <w:rFonts w:ascii="Calibri" w:hAnsi="Calibri" w:eastAsia="Microsoft YaHei"/>
                <w:color w:val="0B2545"/>
                <w:sz w:val="14"/>
              </w:rPr>
              <w:t>Radially resolved active charge exchange measurements of the hydrogenic isotope fraction on DIII-D</w:t>
            </w:r>
          </w:p>
        </w:tc>
        <w:tc>
          <w:tcPr>
            <w:tcW w:type="dxa" w:w="1600"/>
          </w:tcPr>
          <w:p>
            <w:pPr>
              <w:keepLines/>
              <w:spacing w:after="0" w:line="276" w:lineRule="auto"/>
            </w:pPr>
            <w:r>
              <w:rPr>
                <w:rFonts w:ascii="Calibri" w:hAnsi="Calibri" w:eastAsia="Microsoft YaHei"/>
                <w:color w:val="0B2545"/>
                <w:sz w:val="14"/>
              </w:rPr>
              <w:t>Review of Scientific Instruments</w:t>
            </w:r>
          </w:p>
        </w:tc>
        <w:tc>
          <w:tcPr>
            <w:tcW w:type="dxa" w:w="2300"/>
          </w:tcPr>
          <w:p>
            <w:pPr>
              <w:keepLines/>
              <w:spacing w:after="0" w:line="276" w:lineRule="auto"/>
            </w:pPr>
            <w:r>
              <w:rPr>
                <w:rFonts w:ascii="Calibri" w:hAnsi="Calibri" w:eastAsia="Microsoft YaHei"/>
                <w:color w:val="0B2545"/>
                <w:sz w:val="14"/>
              </w:rPr>
              <w:t>peer-reviewed-journal</w:t>
            </w:r>
          </w:p>
        </w:tc>
        <w:tc>
          <w:tcPr>
            <w:tcW w:type="dxa" w:w="2110"/>
          </w:tcPr>
          <w:p>
            <w:pPr>
              <w:keepLines/>
              <w:spacing w:after="0" w:line="276" w:lineRule="auto"/>
            </w:pPr>
            <w:hyperlink r:id="rId67">
              <w:r>
                <w:rPr>
                  <w:rFonts w:ascii="Calibri" w:hAnsi="Calibri" w:eastAsia="Microsoft YaHei"/>
                  <w:color w:val="008C95"/>
                  <w:u w:val="single"/>
                </w:rPr>
                <w:t>打开原始来源 ↗</w:t>
              </w:r>
            </w:hyperlink>
          </w:p>
        </w:tc>
      </w:tr>
      <w:tr>
        <w:trPr>
          <w:cantSplit/>
        </w:trPr>
        <w:tc>
          <w:tcPr>
            <w:tcW w:type="dxa" w:w="850"/>
          </w:tcPr>
          <w:p>
            <w:pPr>
              <w:keepLines/>
              <w:spacing w:after="0" w:line="276" w:lineRule="auto"/>
            </w:pPr>
            <w:r>
              <w:rPr>
                <w:rFonts w:ascii="Calibri" w:hAnsi="Calibri" w:eastAsia="Microsoft YaHei"/>
                <w:color w:val="0B2545"/>
                <w:sz w:val="14"/>
              </w:rPr>
              <w:t>2020</w:t>
            </w:r>
          </w:p>
        </w:tc>
        <w:tc>
          <w:tcPr>
            <w:tcW w:type="dxa" w:w="2500"/>
          </w:tcPr>
          <w:p>
            <w:pPr>
              <w:keepLines/>
              <w:spacing w:after="0" w:line="276" w:lineRule="auto"/>
            </w:pPr>
            <w:r>
              <w:rPr>
                <w:rFonts w:ascii="Calibri" w:hAnsi="Calibri" w:eastAsia="Microsoft YaHei"/>
                <w:color w:val="0B2545"/>
                <w:sz w:val="14"/>
              </w:rPr>
              <w:t>Progress in modelling fast-ion D-alpha spectra and neutral particle analyzer fluxes using FIDASIM</w:t>
            </w:r>
          </w:p>
        </w:tc>
        <w:tc>
          <w:tcPr>
            <w:tcW w:type="dxa" w:w="1600"/>
          </w:tcPr>
          <w:p>
            <w:pPr>
              <w:keepLines/>
              <w:spacing w:after="0" w:line="276" w:lineRule="auto"/>
            </w:pPr>
            <w:r>
              <w:rPr>
                <w:rFonts w:ascii="Calibri" w:hAnsi="Calibri" w:eastAsia="Microsoft YaHei"/>
                <w:color w:val="0B2545"/>
                <w:sz w:val="14"/>
              </w:rPr>
              <w:t>Plasma Physics and Controlled Fusion</w:t>
            </w:r>
          </w:p>
        </w:tc>
        <w:tc>
          <w:tcPr>
            <w:tcW w:type="dxa" w:w="2300"/>
          </w:tcPr>
          <w:p>
            <w:pPr>
              <w:keepLines/>
              <w:spacing w:after="0" w:line="276" w:lineRule="auto"/>
            </w:pPr>
            <w:r>
              <w:rPr>
                <w:rFonts w:ascii="Calibri" w:hAnsi="Calibri" w:eastAsia="Microsoft YaHei"/>
                <w:color w:val="0B2545"/>
                <w:sz w:val="14"/>
              </w:rPr>
              <w:t>peer-reviewed-journal</w:t>
            </w:r>
          </w:p>
        </w:tc>
        <w:tc>
          <w:tcPr>
            <w:tcW w:type="dxa" w:w="2110"/>
          </w:tcPr>
          <w:p>
            <w:pPr>
              <w:keepLines/>
              <w:spacing w:after="0" w:line="276" w:lineRule="auto"/>
            </w:pPr>
            <w:hyperlink r:id="rId68">
              <w:r>
                <w:rPr>
                  <w:rFonts w:ascii="Calibri" w:hAnsi="Calibri" w:eastAsia="Microsoft YaHei"/>
                  <w:color w:val="008C95"/>
                  <w:u w:val="single"/>
                </w:rPr>
                <w:t>打开原始来源 ↗</w:t>
              </w:r>
            </w:hyperlink>
          </w:p>
        </w:tc>
      </w:tr>
      <w:tr>
        <w:trPr>
          <w:cantSplit/>
        </w:trPr>
        <w:tc>
          <w:tcPr>
            <w:tcW w:type="dxa" w:w="850"/>
          </w:tcPr>
          <w:p>
            <w:pPr>
              <w:keepLines/>
              <w:spacing w:after="0" w:line="276" w:lineRule="auto"/>
            </w:pPr>
            <w:r>
              <w:rPr>
                <w:rFonts w:ascii="Calibri" w:hAnsi="Calibri" w:eastAsia="Microsoft YaHei"/>
                <w:color w:val="0B2545"/>
                <w:sz w:val="14"/>
              </w:rPr>
              <w:t>软件</w:t>
            </w:r>
          </w:p>
        </w:tc>
        <w:tc>
          <w:tcPr>
            <w:tcW w:type="dxa" w:w="2500"/>
          </w:tcPr>
          <w:p>
            <w:pPr>
              <w:keepLines/>
              <w:spacing w:after="0" w:line="276" w:lineRule="auto"/>
            </w:pPr>
            <w:r>
              <w:rPr>
                <w:rFonts w:ascii="Calibri" w:hAnsi="Calibri" w:eastAsia="Microsoft YaHei"/>
                <w:color w:val="0B2545"/>
                <w:sz w:val="14"/>
              </w:rPr>
              <w:t>FIDASIM</w:t>
            </w:r>
          </w:p>
        </w:tc>
        <w:tc>
          <w:tcPr>
            <w:tcW w:type="dxa" w:w="1600"/>
          </w:tcPr>
          <w:p>
            <w:pPr>
              <w:keepLines/>
              <w:spacing w:after="0" w:line="276" w:lineRule="auto"/>
            </w:pPr>
            <w:r>
              <w:rPr>
                <w:rFonts w:ascii="Calibri" w:hAnsi="Calibri" w:eastAsia="Microsoft YaHei"/>
                <w:color w:val="0B2545"/>
                <w:sz w:val="14"/>
              </w:rPr>
              <w:t>official-direct</w:t>
            </w:r>
          </w:p>
        </w:tc>
        <w:tc>
          <w:tcPr>
            <w:tcW w:type="dxa" w:w="2300"/>
          </w:tcPr>
          <w:p>
            <w:pPr>
              <w:keepLines/>
              <w:spacing w:after="0" w:line="276" w:lineRule="auto"/>
            </w:pPr>
            <w:r>
              <w:rPr>
                <w:rFonts w:ascii="Calibri" w:hAnsi="Calibri" w:eastAsia="Microsoft YaHei"/>
                <w:color w:val="0B2545"/>
                <w:sz w:val="14"/>
              </w:rPr>
              <w:t>MICER/CER合成谱。</w:t>
            </w:r>
          </w:p>
        </w:tc>
        <w:tc>
          <w:tcPr>
            <w:tcW w:type="dxa" w:w="2110"/>
          </w:tcPr>
          <w:p>
            <w:pPr>
              <w:keepLines/>
              <w:spacing w:after="0" w:line="276" w:lineRule="auto"/>
            </w:pPr>
            <w:hyperlink r:id="rId66">
              <w:r>
                <w:rPr>
                  <w:rFonts w:ascii="Calibri" w:hAnsi="Calibri" w:eastAsia="Microsoft YaHei"/>
                  <w:color w:val="008C95"/>
                  <w:u w:val="single"/>
                </w:rPr>
                <w:t>打开原始来源 ↗</w:t>
              </w:r>
            </w:hyperlink>
          </w:p>
        </w:tc>
      </w:tr>
      <w:tr>
        <w:trPr>
          <w:cantSplit/>
        </w:trPr>
        <w:tc>
          <w:tcPr>
            <w:tcW w:type="dxa" w:w="850"/>
          </w:tcPr>
          <w:p>
            <w:pPr>
              <w:keepLines/>
              <w:spacing w:after="0" w:line="276" w:lineRule="auto"/>
            </w:pPr>
            <w:r>
              <w:rPr>
                <w:rFonts w:ascii="Calibri" w:hAnsi="Calibri" w:eastAsia="Microsoft YaHei"/>
                <w:color w:val="0B2545"/>
                <w:sz w:val="14"/>
              </w:rPr>
              <w:t>软件</w:t>
            </w:r>
          </w:p>
        </w:tc>
        <w:tc>
          <w:tcPr>
            <w:tcW w:type="dxa" w:w="2500"/>
          </w:tcPr>
          <w:p>
            <w:pPr>
              <w:keepLines/>
              <w:spacing w:after="0" w:line="276" w:lineRule="auto"/>
            </w:pPr>
            <w:r>
              <w:rPr>
                <w:rFonts w:ascii="Calibri" w:hAnsi="Calibri" w:eastAsia="Microsoft YaHei"/>
                <w:color w:val="0B2545"/>
                <w:sz w:val="14"/>
              </w:rPr>
              <w:t>OpenADAS</w:t>
            </w:r>
          </w:p>
        </w:tc>
        <w:tc>
          <w:tcPr>
            <w:tcW w:type="dxa" w:w="1600"/>
          </w:tcPr>
          <w:p>
            <w:pPr>
              <w:keepLines/>
              <w:spacing w:after="0" w:line="276" w:lineRule="auto"/>
            </w:pPr>
            <w:r>
              <w:rPr>
                <w:rFonts w:ascii="Calibri" w:hAnsi="Calibri" w:eastAsia="Microsoft YaHei"/>
                <w:color w:val="0B2545"/>
                <w:sz w:val="14"/>
              </w:rPr>
              <w:t>official-enabling</w:t>
            </w:r>
          </w:p>
        </w:tc>
        <w:tc>
          <w:tcPr>
            <w:tcW w:type="dxa" w:w="2300"/>
          </w:tcPr>
          <w:p>
            <w:pPr>
              <w:keepLines/>
              <w:spacing w:after="0" w:line="276" w:lineRule="auto"/>
            </w:pPr>
            <w:r>
              <w:rPr>
                <w:rFonts w:ascii="Calibri" w:hAnsi="Calibri" w:eastAsia="Microsoft YaHei"/>
                <w:color w:val="0B2545"/>
                <w:sz w:val="14"/>
              </w:rPr>
              <w:t>原子速率。</w:t>
            </w:r>
          </w:p>
        </w:tc>
        <w:tc>
          <w:tcPr>
            <w:tcW w:type="dxa" w:w="2110"/>
          </w:tcPr>
          <w:p>
            <w:pPr>
              <w:keepLines/>
              <w:spacing w:after="0" w:line="276" w:lineRule="auto"/>
            </w:pPr>
            <w:hyperlink r:id="rId60">
              <w:r>
                <w:rPr>
                  <w:rFonts w:ascii="Calibri" w:hAnsi="Calibri" w:eastAsia="Microsoft YaHei"/>
                  <w:color w:val="008C95"/>
                  <w:u w:val="single"/>
                </w:rPr>
                <w:t>打开原始来源 ↗</w:t>
              </w:r>
            </w:hyperlink>
          </w:p>
        </w:tc>
      </w:tr>
    </w:tbl>
    <w:p>
      <w:pPr>
        <w:spacing w:before="0" w:after="60"/>
      </w:pPr>
    </w:p>
    <w:p>
      <w:pPr>
        <w:pStyle w:val="Heading3"/>
        <w:keepNext/>
      </w:pPr>
      <w:r>
        <w:t>DG3.05  ITER诊断中性束与氦灰CXRS</w:t>
      </w:r>
    </w:p>
    <w:p>
      <w:pPr>
        <w:keepNext/>
        <w:spacing w:after="80"/>
      </w:pPr>
      <w:r>
        <w:rPr>
          <w:rFonts w:ascii="Calibri" w:hAnsi="Calibri" w:eastAsia="Microsoft YaHei"/>
          <w:i/>
          <w:color w:val="566573"/>
          <w:sz w:val="18"/>
        </w:rPr>
        <w:t>ITER diagnostic neutral beam and helium-ash CXRS</w:t>
      </w:r>
    </w:p>
    <w:tbl>
      <w:tblPr>
        <w:tblStyle w:val="TableGrid"/>
        <w:tblW w:type="dxa" w:w="9360"/>
        <w:jc w:val="left"/>
        <w:tblLayout w:type="fixed"/>
        <w:tblLook w:firstColumn="1" w:firstRow="1" w:lastColumn="0" w:lastRow="0" w:noHBand="0" w:noVBand="1" w:val="04A0"/>
        <w:tblInd w:w="120" w:type="dxa"/>
      </w:tblPr>
      <w:tblGrid>
        <w:gridCol w:w="1200"/>
        <w:gridCol w:w="750"/>
        <w:gridCol w:w="750"/>
        <w:gridCol w:w="2100"/>
        <w:gridCol w:w="4560"/>
      </w:tblGrid>
      <w:tr>
        <w:trPr>
          <w:tblHeader w:val="true"/>
        </w:trPr>
        <w:tc>
          <w:tcPr>
            <w:tcW w:type="dxa" w:w="12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工作 ID</w:t>
            </w:r>
          </w:p>
        </w:tc>
        <w:tc>
          <w:tcPr>
            <w:tcW w:type="dxa" w:w="7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证据</w:t>
            </w:r>
          </w:p>
        </w:tc>
        <w:tc>
          <w:tcPr>
            <w:tcW w:type="dxa" w:w="7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部署</w:t>
            </w:r>
          </w:p>
        </w:tc>
        <w:tc>
          <w:tcPr>
            <w:tcW w:type="dxa" w:w="21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技术族</w:t>
            </w:r>
          </w:p>
        </w:tc>
        <w:tc>
          <w:tcPr>
            <w:tcW w:type="dxa" w:w="456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装置</w:t>
            </w:r>
          </w:p>
        </w:tc>
      </w:tr>
      <w:tr>
        <w:trPr>
          <w:cantSplit/>
        </w:trPr>
        <w:tc>
          <w:tcPr>
            <w:tcW w:type="dxa" w:w="1200"/>
          </w:tcPr>
          <w:p>
            <w:pPr>
              <w:keepLines/>
              <w:spacing w:after="0" w:line="276" w:lineRule="auto"/>
            </w:pPr>
            <w:r>
              <w:rPr>
                <w:rFonts w:ascii="Calibri" w:hAnsi="Calibri" w:eastAsia="Microsoft YaHei"/>
                <w:color w:val="0B2545"/>
                <w:sz w:val="15"/>
              </w:rPr>
              <w:t>DG3-015</w:t>
            </w:r>
          </w:p>
        </w:tc>
        <w:tc>
          <w:tcPr>
            <w:tcW w:type="dxa" w:w="750"/>
          </w:tcPr>
          <w:p>
            <w:pPr>
              <w:keepLines/>
              <w:spacing w:after="0" w:line="276" w:lineRule="auto"/>
            </w:pPr>
            <w:r>
              <w:rPr>
                <w:rFonts w:ascii="Calibri" w:hAnsi="Calibri" w:eastAsia="Microsoft YaHei"/>
                <w:color w:val="0B2545"/>
                <w:sz w:val="15"/>
              </w:rPr>
              <w:t>E2</w:t>
            </w:r>
          </w:p>
        </w:tc>
        <w:tc>
          <w:tcPr>
            <w:tcW w:type="dxa" w:w="750"/>
          </w:tcPr>
          <w:p>
            <w:pPr>
              <w:keepLines/>
              <w:spacing w:after="0" w:line="276" w:lineRule="auto"/>
            </w:pPr>
            <w:r>
              <w:rPr>
                <w:rFonts w:ascii="Calibri" w:hAnsi="Calibri" w:eastAsia="Microsoft YaHei"/>
                <w:color w:val="0B2545"/>
                <w:sz w:val="15"/>
              </w:rPr>
              <w:t>D2</w:t>
            </w:r>
          </w:p>
        </w:tc>
        <w:tc>
          <w:tcPr>
            <w:tcW w:type="dxa" w:w="2100"/>
          </w:tcPr>
          <w:p>
            <w:pPr>
              <w:keepLines/>
              <w:spacing w:after="0" w:line="276" w:lineRule="auto"/>
            </w:pPr>
            <w:r>
              <w:rPr>
                <w:rFonts w:ascii="Calibri" w:hAnsi="Calibri" w:eastAsia="Microsoft YaHei"/>
                <w:color w:val="0B2545"/>
                <w:sz w:val="15"/>
              </w:rPr>
              <w:t>OPTICAL</w:t>
            </w:r>
          </w:p>
        </w:tc>
        <w:tc>
          <w:tcPr>
            <w:tcW w:type="dxa" w:w="4560"/>
          </w:tcPr>
          <w:p>
            <w:pPr>
              <w:keepLines/>
              <w:spacing w:after="0" w:line="276" w:lineRule="auto"/>
            </w:pPr>
            <w:r>
              <w:rPr>
                <w:rFonts w:ascii="Calibri" w:hAnsi="Calibri" w:eastAsia="Microsoft YaHei"/>
                <w:color w:val="0B2545"/>
                <w:sz w:val="15"/>
              </w:rPr>
              <w:t>ITER；DIII-D/JET method heritage</w:t>
            </w:r>
          </w:p>
        </w:tc>
      </w:tr>
    </w:tbl>
    <w:p>
      <w:pPr>
        <w:spacing w:before="0" w:after="60"/>
      </w:pPr>
    </w:p>
    <w:p>
      <w:pPr>
        <w:widowControl/>
      </w:pPr>
      <w:r>
        <w:rPr>
          <w:rFonts w:ascii="Calibri" w:hAnsi="Calibri" w:eastAsia="Microsoft YaHei"/>
          <w:b/>
          <w:color w:val="1F4D78"/>
        </w:rPr>
        <w:t>解决问题：</w:t>
      </w:r>
      <w:r>
        <w:rPr>
          <w:rFonts w:ascii="Calibri" w:hAnsi="Calibri" w:eastAsia="Microsoft YaHei"/>
        </w:rPr>
        <w:t>在燃烧等离子体测氦灰、杂质、Ti和转动。</w:t>
      </w:r>
    </w:p>
    <w:p>
      <w:pPr>
        <w:widowControl/>
      </w:pPr>
      <w:r>
        <w:rPr>
          <w:rFonts w:ascii="Calibri" w:hAnsi="Calibri" w:eastAsia="Microsoft YaHei"/>
          <w:b/>
          <w:color w:val="1F4D78"/>
        </w:rPr>
        <w:t>测量原理：</w:t>
      </w:r>
      <w:r>
        <w:rPr>
          <w:rFonts w:ascii="Calibri" w:hAnsi="Calibri" w:eastAsia="Microsoft YaHei"/>
        </w:rPr>
        <w:t>专用中性束提供可控电荷交换靶；He/杂质复合谱结合束衰减和原子速率给密度。</w:t>
      </w:r>
    </w:p>
    <w:p>
      <w:pPr>
        <w:widowControl/>
      </w:pPr>
      <w:r>
        <w:rPr>
          <w:rFonts w:ascii="Calibri" w:hAnsi="Calibri" w:eastAsia="Microsoft YaHei"/>
          <w:b/>
          <w:color w:val="1F4D78"/>
        </w:rPr>
        <w:t>测量产品：</w:t>
      </w:r>
      <w:r>
        <w:rPr>
          <w:rFonts w:ascii="Calibri" w:hAnsi="Calibri" w:eastAsia="Microsoft YaHei"/>
        </w:rPr>
        <w:t>helium-ash density；impurity density；ion temperature；rotation</w:t>
      </w:r>
    </w:p>
    <w:p>
      <w:pPr>
        <w:widowControl/>
      </w:pPr>
      <w:r>
        <w:rPr>
          <w:rFonts w:ascii="Calibri" w:hAnsi="Calibri" w:eastAsia="Microsoft YaHei"/>
          <w:b/>
          <w:color w:val="1F4D78"/>
        </w:rPr>
        <w:t>时空分辨与覆盖：</w:t>
      </w:r>
      <w:r>
        <w:rPr>
          <w:rFonts w:ascii="Calibri" w:hAnsi="Calibri" w:eastAsia="Microsoft YaHei"/>
        </w:rPr>
        <w:t>时间：因装置、采集和分析链而异；原始来源未给出统一数值。；空间：由视线、几何和反演设定；原始来源未给出统一数值。</w:t>
      </w:r>
    </w:p>
    <w:p>
      <w:pPr>
        <w:widowControl/>
      </w:pPr>
      <w:r>
        <w:rPr>
          <w:rFonts w:ascii="Calibri" w:hAnsi="Calibri" w:eastAsia="Microsoft YaHei"/>
          <w:b/>
          <w:color w:val="1F4D78"/>
        </w:rPr>
        <w:t>仪器与传感器：</w:t>
      </w:r>
      <w:r>
        <w:rPr>
          <w:rFonts w:ascii="Calibri" w:hAnsi="Calibri" w:eastAsia="Microsoft YaHei"/>
        </w:rPr>
        <w:t>diagnostic neutral beam；CXRS optics；high-etendue spectrometers；beam-emission monitor</w:t>
      </w:r>
    </w:p>
    <w:p>
      <w:pPr>
        <w:widowControl/>
      </w:pPr>
      <w:r>
        <w:rPr>
          <w:rFonts w:ascii="Calibri" w:hAnsi="Calibri" w:eastAsia="Microsoft YaHei"/>
          <w:b/>
          <w:color w:val="1F4D78"/>
        </w:rPr>
        <w:t>标定与质量：</w:t>
      </w:r>
      <w:r>
        <w:rPr>
          <w:rFonts w:ascii="Calibri" w:hAnsi="Calibri" w:eastAsia="Microsoft YaHei"/>
        </w:rPr>
        <w:t>标定束能量/组分、视线几何和绝对光谱响应；束发射监控衰减。</w:t>
      </w:r>
    </w:p>
    <w:p>
      <w:pPr>
        <w:widowControl/>
      </w:pPr>
      <w:r>
        <w:rPr>
          <w:rFonts w:ascii="Calibri" w:hAnsi="Calibri" w:eastAsia="Microsoft YaHei"/>
          <w:b/>
          <w:color w:val="1F4D78"/>
        </w:rPr>
        <w:t>反演与分析：</w:t>
      </w:r>
      <w:r>
        <w:rPr>
          <w:rFonts w:ascii="Calibri" w:hAnsi="Calibri" w:eastAsia="Microsoft YaHei"/>
        </w:rPr>
        <w:t>分离主动/被动谱，联合束传播、halo中性、有限寿命和原子数据前向模型。</w:t>
      </w:r>
    </w:p>
    <w:p>
      <w:pPr>
        <w:widowControl/>
      </w:pPr>
      <w:r>
        <w:rPr>
          <w:rFonts w:ascii="Calibri" w:hAnsi="Calibri" w:eastAsia="Microsoft YaHei"/>
          <w:b/>
          <w:color w:val="1F4D78"/>
        </w:rPr>
        <w:t>验证与应用：</w:t>
      </w:r>
      <w:r>
        <w:rPr>
          <w:rFonts w:ascii="Calibri" w:hAnsi="Calibri" w:eastAsia="Microsoft YaHei"/>
        </w:rPr>
        <w:t>以束源试验、光学吞吐和合成信号评估；现役装置验证方法，但ITER氦灰闭环尚无运行证据。</w:t>
      </w:r>
    </w:p>
    <w:p>
      <w:pPr>
        <w:widowControl/>
      </w:pPr>
      <w:r>
        <w:rPr>
          <w:rFonts w:ascii="Calibri" w:hAnsi="Calibri" w:eastAsia="Microsoft YaHei"/>
          <w:b/>
          <w:color w:val="1F4D78"/>
        </w:rPr>
        <w:t>局限与边界：</w:t>
      </w:r>
      <w:r>
        <w:rPr>
          <w:rFonts w:ascii="Calibri" w:hAnsi="Calibri" w:eastAsia="Microsoft YaHei"/>
        </w:rPr>
        <w:t>氦线弱、被动背景强；束衰减、辐照退化和端口可达性是风险。</w:t>
      </w:r>
    </w:p>
    <w:tbl>
      <w:tblPr>
        <w:tblStyle w:val="TableGrid"/>
        <w:tblW w:type="dxa" w:w="9360"/>
        <w:jc w:val="left"/>
        <w:tblLayout w:type="fixed"/>
        <w:tblLook w:firstColumn="1" w:firstRow="1" w:lastColumn="0" w:lastRow="0" w:noHBand="0" w:noVBand="1" w:val="04A0"/>
        <w:tblInd w:w="120" w:type="dxa"/>
      </w:tblPr>
      <w:tblGrid>
        <w:gridCol w:w="9360"/>
      </w:tblGrid>
      <w:tr>
        <w:trPr>
          <w:cantSplit/>
        </w:trPr>
        <w:tc>
          <w:tcPr>
            <w:tcW w:type="dxa" w:w="9360"/>
            <w:tcMar>
              <w:top w:w="80" w:type="dxa"/>
              <w:bottom w:w="80" w:type="dxa"/>
              <w:start w:w="120" w:type="dxa"/>
              <w:end w:w="120" w:type="dxa"/>
            </w:tcMar>
            <w:vAlign w:val="center"/>
            <w:shd w:fill="EEF7F7"/>
          </w:tcPr>
          <w:p>
            <w:pPr>
              <w:keepNext/>
              <w:keepLines/>
              <w:spacing w:after="40"/>
            </w:pPr>
            <w:r>
              <w:rPr>
                <w:rFonts w:ascii="Calibri" w:hAnsi="Calibri" w:eastAsia="Microsoft YaHei"/>
                <w:b/>
                <w:color w:val="008C95"/>
                <w:sz w:val="17"/>
              </w:rPr>
              <w:t>DIGITAL-TWIN RELEVANCE</w:t>
            </w:r>
          </w:p>
          <w:p>
            <w:pPr>
              <w:spacing w:after="0"/>
            </w:pPr>
            <w:r>
              <w:rPr>
                <w:rFonts w:ascii="Calibri" w:hAnsi="Calibri" w:eastAsia="Microsoft YaHei"/>
                <w:color w:val="0B2545"/>
                <w:sz w:val="20"/>
              </w:rPr>
              <w:t>将诊断束建模为带健康状态的执行器—传感器，是燃烧颗粒孪生关键。</w:t>
            </w:r>
          </w:p>
        </w:tc>
      </w:tr>
    </w:tbl>
    <w:p>
      <w:pPr>
        <w:spacing w:after="40"/>
      </w:pPr>
    </w:p>
    <w:tbl>
      <w:tblPr>
        <w:tblStyle w:val="TableGrid"/>
        <w:tblW w:type="dxa" w:w="9360"/>
        <w:jc w:val="left"/>
        <w:tblLayout w:type="fixed"/>
        <w:tblLook w:firstColumn="1" w:firstRow="1" w:lastColumn="0" w:lastRow="0" w:noHBand="0" w:noVBand="1" w:val="04A0"/>
        <w:tblInd w:w="120" w:type="dxa"/>
      </w:tblPr>
      <w:tblGrid>
        <w:gridCol w:w="850"/>
        <w:gridCol w:w="2500"/>
        <w:gridCol w:w="1600"/>
        <w:gridCol w:w="2300"/>
        <w:gridCol w:w="2110"/>
      </w:tblGrid>
      <w:tr>
        <w:trPr>
          <w:tblHeader w:val="true"/>
        </w:trPr>
        <w:tc>
          <w:tcPr>
            <w:tcW w:type="dxa" w:w="8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年份/类型</w:t>
            </w:r>
          </w:p>
        </w:tc>
        <w:tc>
          <w:tcPr>
            <w:tcW w:type="dxa" w:w="25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论文或软件</w:t>
            </w:r>
          </w:p>
        </w:tc>
        <w:tc>
          <w:tcPr>
            <w:tcW w:type="dxa" w:w="16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期刊/开放性</w:t>
            </w:r>
          </w:p>
        </w:tc>
        <w:tc>
          <w:tcPr>
            <w:tcW w:type="dxa" w:w="23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来源类型/关系</w:t>
            </w:r>
          </w:p>
        </w:tc>
        <w:tc>
          <w:tcPr>
            <w:tcW w:type="dxa" w:w="211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链接</w:t>
            </w:r>
          </w:p>
        </w:tc>
      </w:tr>
      <w:tr>
        <w:trPr>
          <w:cantSplit/>
        </w:trPr>
        <w:tc>
          <w:tcPr>
            <w:tcW w:type="dxa" w:w="850"/>
          </w:tcPr>
          <w:p>
            <w:pPr>
              <w:keepLines/>
              <w:spacing w:after="0" w:line="276" w:lineRule="auto"/>
            </w:pPr>
            <w:r>
              <w:rPr>
                <w:rFonts w:ascii="Calibri" w:hAnsi="Calibri" w:eastAsia="Microsoft YaHei"/>
                <w:color w:val="0B2545"/>
                <w:sz w:val="14"/>
              </w:rPr>
              <w:t>2015</w:t>
            </w:r>
          </w:p>
        </w:tc>
        <w:tc>
          <w:tcPr>
            <w:tcW w:type="dxa" w:w="2500"/>
          </w:tcPr>
          <w:p>
            <w:pPr>
              <w:keepLines/>
              <w:spacing w:after="0" w:line="276" w:lineRule="auto"/>
            </w:pPr>
            <w:r>
              <w:rPr>
                <w:rFonts w:ascii="Calibri" w:hAnsi="Calibri" w:eastAsia="Microsoft YaHei"/>
                <w:color w:val="0B2545"/>
                <w:sz w:val="14"/>
              </w:rPr>
              <w:t>Status of the R&amp;D activities to the design of an ITER core CXRS diagnostic system</w:t>
            </w:r>
          </w:p>
        </w:tc>
        <w:tc>
          <w:tcPr>
            <w:tcW w:type="dxa" w:w="1600"/>
          </w:tcPr>
          <w:p>
            <w:pPr>
              <w:keepLines/>
              <w:spacing w:after="0" w:line="276" w:lineRule="auto"/>
            </w:pPr>
            <w:r>
              <w:rPr>
                <w:rFonts w:ascii="Calibri" w:hAnsi="Calibri" w:eastAsia="Microsoft YaHei"/>
                <w:color w:val="0B2545"/>
                <w:sz w:val="14"/>
              </w:rPr>
              <w:t>Fusion Engineering and Design</w:t>
            </w:r>
          </w:p>
        </w:tc>
        <w:tc>
          <w:tcPr>
            <w:tcW w:type="dxa" w:w="2300"/>
          </w:tcPr>
          <w:p>
            <w:pPr>
              <w:keepLines/>
              <w:spacing w:after="0" w:line="276" w:lineRule="auto"/>
            </w:pPr>
            <w:r>
              <w:rPr>
                <w:rFonts w:ascii="Calibri" w:hAnsi="Calibri" w:eastAsia="Microsoft YaHei"/>
                <w:color w:val="0B2545"/>
                <w:sz w:val="14"/>
              </w:rPr>
              <w:t>peer-reviewed-journal</w:t>
            </w:r>
          </w:p>
        </w:tc>
        <w:tc>
          <w:tcPr>
            <w:tcW w:type="dxa" w:w="2110"/>
          </w:tcPr>
          <w:p>
            <w:pPr>
              <w:keepLines/>
              <w:spacing w:after="0" w:line="276" w:lineRule="auto"/>
            </w:pPr>
            <w:hyperlink r:id="rId69">
              <w:r>
                <w:rPr>
                  <w:rFonts w:ascii="Calibri" w:hAnsi="Calibri" w:eastAsia="Microsoft YaHei"/>
                  <w:color w:val="008C95"/>
                  <w:u w:val="single"/>
                </w:rPr>
                <w:t>打开原始来源 ↗</w:t>
              </w:r>
            </w:hyperlink>
          </w:p>
        </w:tc>
      </w:tr>
      <w:tr>
        <w:trPr>
          <w:cantSplit/>
        </w:trPr>
        <w:tc>
          <w:tcPr>
            <w:tcW w:type="dxa" w:w="850"/>
          </w:tcPr>
          <w:p>
            <w:pPr>
              <w:keepLines/>
              <w:spacing w:after="0" w:line="276" w:lineRule="auto"/>
            </w:pPr>
            <w:r>
              <w:rPr>
                <w:rFonts w:ascii="Calibri" w:hAnsi="Calibri" w:eastAsia="Microsoft YaHei"/>
                <w:color w:val="0B2545"/>
                <w:sz w:val="14"/>
              </w:rPr>
              <w:t>2001</w:t>
            </w:r>
          </w:p>
        </w:tc>
        <w:tc>
          <w:tcPr>
            <w:tcW w:type="dxa" w:w="2500"/>
          </w:tcPr>
          <w:p>
            <w:pPr>
              <w:keepLines/>
              <w:spacing w:after="0" w:line="276" w:lineRule="auto"/>
            </w:pPr>
            <w:r>
              <w:rPr>
                <w:rFonts w:ascii="Calibri" w:hAnsi="Calibri" w:eastAsia="Microsoft YaHei"/>
                <w:color w:val="0B2545"/>
                <w:sz w:val="14"/>
              </w:rPr>
              <w:t>Conceptual design and integration of a diagnostic neutral beam in ITER</w:t>
            </w:r>
          </w:p>
        </w:tc>
        <w:tc>
          <w:tcPr>
            <w:tcW w:type="dxa" w:w="1600"/>
          </w:tcPr>
          <w:p>
            <w:pPr>
              <w:keepLines/>
              <w:spacing w:after="0" w:line="276" w:lineRule="auto"/>
            </w:pPr>
            <w:r>
              <w:rPr>
                <w:rFonts w:ascii="Calibri" w:hAnsi="Calibri" w:eastAsia="Microsoft YaHei"/>
                <w:color w:val="0B2545"/>
                <w:sz w:val="14"/>
              </w:rPr>
              <w:t>Fusion Engineering and Design</w:t>
            </w:r>
          </w:p>
        </w:tc>
        <w:tc>
          <w:tcPr>
            <w:tcW w:type="dxa" w:w="2300"/>
          </w:tcPr>
          <w:p>
            <w:pPr>
              <w:keepLines/>
              <w:spacing w:after="0" w:line="276" w:lineRule="auto"/>
            </w:pPr>
            <w:r>
              <w:rPr>
                <w:rFonts w:ascii="Calibri" w:hAnsi="Calibri" w:eastAsia="Microsoft YaHei"/>
                <w:color w:val="0B2545"/>
                <w:sz w:val="14"/>
              </w:rPr>
              <w:t>peer-reviewed-journal</w:t>
            </w:r>
          </w:p>
        </w:tc>
        <w:tc>
          <w:tcPr>
            <w:tcW w:type="dxa" w:w="2110"/>
          </w:tcPr>
          <w:p>
            <w:pPr>
              <w:keepLines/>
              <w:spacing w:after="0" w:line="276" w:lineRule="auto"/>
            </w:pPr>
            <w:hyperlink r:id="rId70">
              <w:r>
                <w:rPr>
                  <w:rFonts w:ascii="Calibri" w:hAnsi="Calibri" w:eastAsia="Microsoft YaHei"/>
                  <w:color w:val="008C95"/>
                  <w:u w:val="single"/>
                </w:rPr>
                <w:t>打开原始来源 ↗</w:t>
              </w:r>
            </w:hyperlink>
          </w:p>
        </w:tc>
      </w:tr>
      <w:tr>
        <w:trPr>
          <w:cantSplit/>
        </w:trPr>
        <w:tc>
          <w:tcPr>
            <w:tcW w:type="dxa" w:w="850"/>
          </w:tcPr>
          <w:p>
            <w:pPr>
              <w:keepLines/>
              <w:spacing w:after="0" w:line="276" w:lineRule="auto"/>
            </w:pPr>
            <w:r>
              <w:rPr>
                <w:rFonts w:ascii="Calibri" w:hAnsi="Calibri" w:eastAsia="Microsoft YaHei"/>
                <w:color w:val="0B2545"/>
                <w:sz w:val="14"/>
              </w:rPr>
              <w:t>2023</w:t>
            </w:r>
          </w:p>
        </w:tc>
        <w:tc>
          <w:tcPr>
            <w:tcW w:type="dxa" w:w="2500"/>
          </w:tcPr>
          <w:p>
            <w:pPr>
              <w:keepLines/>
              <w:spacing w:after="0" w:line="276" w:lineRule="auto"/>
            </w:pPr>
            <w:r>
              <w:rPr>
                <w:rFonts w:ascii="Calibri" w:hAnsi="Calibri" w:eastAsia="Microsoft YaHei"/>
                <w:color w:val="0B2545"/>
                <w:sz w:val="14"/>
              </w:rPr>
              <w:t>Testing neutral beam diagnostics</w:t>
            </w:r>
          </w:p>
        </w:tc>
        <w:tc>
          <w:tcPr>
            <w:tcW w:type="dxa" w:w="1600"/>
          </w:tcPr>
          <w:p>
            <w:pPr>
              <w:keepLines/>
              <w:spacing w:after="0" w:line="276" w:lineRule="auto"/>
            </w:pPr>
            <w:r>
              <w:rPr>
                <w:rFonts w:ascii="Calibri" w:hAnsi="Calibri" w:eastAsia="Microsoft YaHei"/>
                <w:color w:val="0B2545"/>
                <w:sz w:val="14"/>
              </w:rPr>
              <w:t>ITER official website</w:t>
            </w:r>
          </w:p>
        </w:tc>
        <w:tc>
          <w:tcPr>
            <w:tcW w:type="dxa" w:w="2300"/>
          </w:tcPr>
          <w:p>
            <w:pPr>
              <w:keepLines/>
              <w:spacing w:after="0" w:line="276" w:lineRule="auto"/>
            </w:pPr>
            <w:r>
              <w:rPr>
                <w:rFonts w:ascii="Calibri" w:hAnsi="Calibri" w:eastAsia="Microsoft YaHei"/>
                <w:color w:val="0B2545"/>
                <w:sz w:val="14"/>
              </w:rPr>
              <w:t>official-facility-page</w:t>
            </w:r>
          </w:p>
        </w:tc>
        <w:tc>
          <w:tcPr>
            <w:tcW w:type="dxa" w:w="2110"/>
          </w:tcPr>
          <w:p>
            <w:pPr>
              <w:keepLines/>
              <w:spacing w:after="0" w:line="276" w:lineRule="auto"/>
            </w:pPr>
            <w:hyperlink r:id="rId71">
              <w:r>
                <w:rPr>
                  <w:rFonts w:ascii="Calibri" w:hAnsi="Calibri" w:eastAsia="Microsoft YaHei"/>
                  <w:color w:val="008C95"/>
                  <w:u w:val="single"/>
                </w:rPr>
                <w:t>打开原始来源 ↗</w:t>
              </w:r>
            </w:hyperlink>
          </w:p>
        </w:tc>
      </w:tr>
      <w:tr>
        <w:trPr>
          <w:cantSplit/>
        </w:trPr>
        <w:tc>
          <w:tcPr>
            <w:tcW w:type="dxa" w:w="850"/>
          </w:tcPr>
          <w:p>
            <w:pPr>
              <w:keepLines/>
              <w:spacing w:after="0" w:line="276" w:lineRule="auto"/>
            </w:pPr>
            <w:r>
              <w:rPr>
                <w:rFonts w:ascii="Calibri" w:hAnsi="Calibri" w:eastAsia="Microsoft YaHei"/>
                <w:color w:val="0B2545"/>
                <w:sz w:val="14"/>
              </w:rPr>
              <w:t>软件</w:t>
            </w:r>
          </w:p>
        </w:tc>
        <w:tc>
          <w:tcPr>
            <w:tcW w:type="dxa" w:w="2500"/>
          </w:tcPr>
          <w:p>
            <w:pPr>
              <w:keepLines/>
              <w:spacing w:after="0" w:line="276" w:lineRule="auto"/>
            </w:pPr>
            <w:r>
              <w:rPr>
                <w:rFonts w:ascii="Calibri" w:hAnsi="Calibri" w:eastAsia="Microsoft YaHei"/>
                <w:color w:val="0B2545"/>
                <w:sz w:val="14"/>
              </w:rPr>
              <w:t>FIDASIM</w:t>
            </w:r>
          </w:p>
        </w:tc>
        <w:tc>
          <w:tcPr>
            <w:tcW w:type="dxa" w:w="1600"/>
          </w:tcPr>
          <w:p>
            <w:pPr>
              <w:keepLines/>
              <w:spacing w:after="0" w:line="276" w:lineRule="auto"/>
            </w:pPr>
            <w:r>
              <w:rPr>
                <w:rFonts w:ascii="Calibri" w:hAnsi="Calibri" w:eastAsia="Microsoft YaHei"/>
                <w:color w:val="0B2545"/>
                <w:sz w:val="14"/>
              </w:rPr>
              <w:t>official-enabling</w:t>
            </w:r>
          </w:p>
        </w:tc>
        <w:tc>
          <w:tcPr>
            <w:tcW w:type="dxa" w:w="2300"/>
          </w:tcPr>
          <w:p>
            <w:pPr>
              <w:keepLines/>
              <w:spacing w:after="0" w:line="276" w:lineRule="auto"/>
            </w:pPr>
            <w:r>
              <w:rPr>
                <w:rFonts w:ascii="Calibri" w:hAnsi="Calibri" w:eastAsia="Microsoft YaHei"/>
                <w:color w:val="0B2545"/>
                <w:sz w:val="14"/>
              </w:rPr>
              <w:t>束传播与CXRS合成信号；非ITER控制软件。</w:t>
            </w:r>
          </w:p>
        </w:tc>
        <w:tc>
          <w:tcPr>
            <w:tcW w:type="dxa" w:w="2110"/>
          </w:tcPr>
          <w:p>
            <w:pPr>
              <w:keepLines/>
              <w:spacing w:after="0" w:line="276" w:lineRule="auto"/>
            </w:pPr>
            <w:hyperlink r:id="rId66">
              <w:r>
                <w:rPr>
                  <w:rFonts w:ascii="Calibri" w:hAnsi="Calibri" w:eastAsia="Microsoft YaHei"/>
                  <w:color w:val="008C95"/>
                  <w:u w:val="single"/>
                </w:rPr>
                <w:t>打开原始来源 ↗</w:t>
              </w:r>
            </w:hyperlink>
          </w:p>
        </w:tc>
      </w:tr>
      <w:tr>
        <w:trPr>
          <w:cantSplit/>
        </w:trPr>
        <w:tc>
          <w:tcPr>
            <w:tcW w:type="dxa" w:w="850"/>
          </w:tcPr>
          <w:p>
            <w:pPr>
              <w:keepLines/>
              <w:spacing w:after="0" w:line="276" w:lineRule="auto"/>
            </w:pPr>
            <w:r>
              <w:rPr>
                <w:rFonts w:ascii="Calibri" w:hAnsi="Calibri" w:eastAsia="Microsoft YaHei"/>
                <w:color w:val="0B2545"/>
                <w:sz w:val="14"/>
              </w:rPr>
              <w:t>软件</w:t>
            </w:r>
          </w:p>
        </w:tc>
        <w:tc>
          <w:tcPr>
            <w:tcW w:type="dxa" w:w="2500"/>
          </w:tcPr>
          <w:p>
            <w:pPr>
              <w:keepLines/>
              <w:spacing w:after="0" w:line="276" w:lineRule="auto"/>
            </w:pPr>
            <w:r>
              <w:rPr>
                <w:rFonts w:ascii="Calibri" w:hAnsi="Calibri" w:eastAsia="Microsoft YaHei"/>
                <w:color w:val="0B2545"/>
                <w:sz w:val="14"/>
              </w:rPr>
              <w:t>装置专有分析/标定软件</w:t>
            </w:r>
          </w:p>
        </w:tc>
        <w:tc>
          <w:tcPr>
            <w:tcW w:type="dxa" w:w="1600"/>
          </w:tcPr>
          <w:p>
            <w:pPr>
              <w:keepLines/>
              <w:spacing w:after="0" w:line="276" w:lineRule="auto"/>
            </w:pPr>
            <w:r>
              <w:rPr>
                <w:rFonts w:ascii="Calibri" w:hAnsi="Calibri" w:eastAsia="Microsoft YaHei"/>
                <w:color w:val="0B2545"/>
                <w:sz w:val="14"/>
              </w:rPr>
              <w:t>not-public</w:t>
            </w:r>
          </w:p>
        </w:tc>
        <w:tc>
          <w:tcPr>
            <w:tcW w:type="dxa" w:w="2300"/>
          </w:tcPr>
          <w:p>
            <w:pPr>
              <w:keepLines/>
              <w:spacing w:after="0" w:line="276" w:lineRule="auto"/>
            </w:pPr>
            <w:r>
              <w:rPr>
                <w:rFonts w:ascii="Calibri" w:hAnsi="Calibri" w:eastAsia="Microsoft YaHei"/>
                <w:color w:val="0B2545"/>
                <w:sz w:val="14"/>
              </w:rPr>
              <w:t>ITER DNB控制/CXRS反演未公开。</w:t>
            </w:r>
          </w:p>
        </w:tc>
        <w:tc>
          <w:tcPr>
            <w:tcW w:type="dxa" w:w="2110"/>
          </w:tcPr>
          <w:p>
            <w:pPr>
              <w:keepLines/>
              <w:spacing w:after="0" w:line="276" w:lineRule="auto"/>
            </w:pPr>
            <w:r>
              <w:rPr>
                <w:rFonts w:ascii="Calibri" w:hAnsi="Calibri" w:eastAsia="Microsoft YaHei"/>
                <w:color w:val="0B2545"/>
                <w:sz w:val="14"/>
              </w:rPr>
              <w:t>未公开</w:t>
            </w:r>
          </w:p>
        </w:tc>
      </w:tr>
    </w:tbl>
    <w:p>
      <w:pPr>
        <w:spacing w:before="0" w:after="60"/>
      </w:pPr>
    </w:p>
    <w:p>
      <w:pPr>
        <w:pStyle w:val="Heading2"/>
      </w:pPr>
      <w:r>
        <w:t>关联工作速查</w:t>
      </w:r>
    </w:p>
    <w:tbl>
      <w:tblPr>
        <w:tblStyle w:val="TableGrid"/>
        <w:tblW w:type="dxa" w:w="9360"/>
        <w:jc w:val="left"/>
        <w:tblLayout w:type="fixed"/>
        <w:tblLook w:firstColumn="1" w:firstRow="1" w:lastColumn="0" w:lastRow="0" w:noHBand="0" w:noVBand="1" w:val="04A0"/>
        <w:tblInd w:w="120" w:type="dxa"/>
      </w:tblPr>
      <w:tblGrid>
        <w:gridCol w:w="1000"/>
        <w:gridCol w:w="900"/>
        <w:gridCol w:w="3760"/>
        <w:gridCol w:w="800"/>
        <w:gridCol w:w="2900"/>
      </w:tblGrid>
      <w:tr>
        <w:trPr>
          <w:tblHeader w:val="true"/>
        </w:trPr>
        <w:tc>
          <w:tcPr>
            <w:tcW w:type="dxa" w:w="1000"/>
            <w:tcMar>
              <w:top w:w="55" w:type="dxa"/>
              <w:bottom w:w="55" w:type="dxa"/>
              <w:start w:w="100" w:type="dxa"/>
              <w:end w:w="100" w:type="dxa"/>
            </w:tcMar>
            <w:vAlign w:val="center"/>
            <w:shd w:fill="E8EEF5"/>
          </w:tcPr>
          <w:p>
            <w:pPr>
              <w:keepNext/>
              <w:spacing w:after="0"/>
              <w:jc w:val="center"/>
            </w:pPr>
            <w:r>
              <w:rPr>
                <w:rFonts w:ascii="Calibri" w:hAnsi="Calibri" w:eastAsia="Microsoft YaHei"/>
                <w:b/>
                <w:color w:val="0B2545"/>
                <w:sz w:val="14"/>
              </w:rPr>
              <w:t>ID</w:t>
            </w:r>
          </w:p>
        </w:tc>
        <w:tc>
          <w:tcPr>
            <w:tcW w:type="dxa" w:w="900"/>
            <w:tcMar>
              <w:top w:w="55" w:type="dxa"/>
              <w:bottom w:w="55" w:type="dxa"/>
              <w:start w:w="100" w:type="dxa"/>
              <w:end w:w="100" w:type="dxa"/>
            </w:tcMar>
            <w:vAlign w:val="center"/>
            <w:shd w:fill="E8EEF5"/>
          </w:tcPr>
          <w:p>
            <w:pPr>
              <w:keepNext/>
              <w:spacing w:after="0"/>
              <w:jc w:val="center"/>
            </w:pPr>
            <w:r>
              <w:rPr>
                <w:rFonts w:ascii="Calibri" w:hAnsi="Calibri" w:eastAsia="Microsoft YaHei"/>
                <w:b/>
                <w:color w:val="0B2545"/>
                <w:sz w:val="14"/>
              </w:rPr>
              <w:t>主任务</w:t>
            </w:r>
          </w:p>
        </w:tc>
        <w:tc>
          <w:tcPr>
            <w:tcW w:type="dxa" w:w="3760"/>
            <w:tcMar>
              <w:top w:w="55" w:type="dxa"/>
              <w:bottom w:w="55" w:type="dxa"/>
              <w:start w:w="100" w:type="dxa"/>
              <w:end w:w="100" w:type="dxa"/>
            </w:tcMar>
            <w:vAlign w:val="center"/>
            <w:shd w:fill="E8EEF5"/>
          </w:tcPr>
          <w:p>
            <w:pPr>
              <w:keepNext/>
              <w:spacing w:after="0"/>
              <w:jc w:val="center"/>
            </w:pPr>
            <w:r>
              <w:rPr>
                <w:rFonts w:ascii="Calibri" w:hAnsi="Calibri" w:eastAsia="Microsoft YaHei"/>
                <w:b/>
                <w:color w:val="0B2545"/>
                <w:sz w:val="14"/>
              </w:rPr>
              <w:t>标题</w:t>
            </w:r>
          </w:p>
        </w:tc>
        <w:tc>
          <w:tcPr>
            <w:tcW w:type="dxa" w:w="800"/>
            <w:tcMar>
              <w:top w:w="55" w:type="dxa"/>
              <w:bottom w:w="55" w:type="dxa"/>
              <w:start w:w="100" w:type="dxa"/>
              <w:end w:w="100" w:type="dxa"/>
            </w:tcMar>
            <w:vAlign w:val="center"/>
            <w:shd w:fill="E8EEF5"/>
          </w:tcPr>
          <w:p>
            <w:pPr>
              <w:keepNext/>
              <w:spacing w:after="0"/>
              <w:jc w:val="center"/>
            </w:pPr>
            <w:r>
              <w:rPr>
                <w:rFonts w:ascii="Calibri" w:hAnsi="Calibri" w:eastAsia="Microsoft YaHei"/>
                <w:b/>
                <w:color w:val="0B2545"/>
                <w:sz w:val="14"/>
              </w:rPr>
              <w:t>证据</w:t>
            </w:r>
          </w:p>
        </w:tc>
        <w:tc>
          <w:tcPr>
            <w:tcW w:type="dxa" w:w="2900"/>
            <w:tcMar>
              <w:top w:w="55" w:type="dxa"/>
              <w:bottom w:w="55" w:type="dxa"/>
              <w:start w:w="100" w:type="dxa"/>
              <w:end w:w="100" w:type="dxa"/>
            </w:tcMar>
            <w:vAlign w:val="center"/>
            <w:shd w:fill="E8EEF5"/>
          </w:tcPr>
          <w:p>
            <w:pPr>
              <w:keepNext/>
              <w:spacing w:after="0"/>
              <w:jc w:val="center"/>
            </w:pPr>
            <w:r>
              <w:rPr>
                <w:rFonts w:ascii="Calibri" w:hAnsi="Calibri" w:eastAsia="Microsoft YaHei"/>
                <w:b/>
                <w:color w:val="0B2545"/>
                <w:sz w:val="14"/>
              </w:rPr>
              <w:t>装置</w:t>
            </w:r>
          </w:p>
        </w:tc>
      </w:tr>
      <w:tr>
        <w:trPr>
          <w:cantSplit/>
        </w:trPr>
        <w:tc>
          <w:tcPr>
            <w:tcW w:type="dxa" w:w="1000"/>
            <w:tcMar>
              <w:top w:w="45" w:type="dxa"/>
              <w:bottom w:w="45" w:type="dxa"/>
              <w:start w:w="100" w:type="dxa"/>
              <w:end w:w="100" w:type="dxa"/>
            </w:tcMar>
          </w:tcPr>
          <w:p>
            <w:pPr>
              <w:keepLines/>
              <w:spacing w:after="0" w:line="252" w:lineRule="auto"/>
            </w:pPr>
            <w:r>
              <w:rPr>
                <w:rFonts w:ascii="Calibri" w:hAnsi="Calibri" w:eastAsia="Microsoft YaHei"/>
                <w:color w:val="0B2545"/>
                <w:sz w:val="14"/>
              </w:rPr>
              <w:t>DSI-001</w:t>
            </w:r>
          </w:p>
        </w:tc>
        <w:tc>
          <w:tcPr>
            <w:tcW w:type="dxa" w:w="900"/>
            <w:tcMar>
              <w:top w:w="45" w:type="dxa"/>
              <w:bottom w:w="45" w:type="dxa"/>
              <w:start w:w="100" w:type="dxa"/>
              <w:end w:w="100" w:type="dxa"/>
            </w:tcMar>
          </w:tcPr>
          <w:p>
            <w:pPr>
              <w:keepLines/>
              <w:spacing w:after="0" w:line="252" w:lineRule="auto"/>
            </w:pPr>
            <w:r>
              <w:rPr>
                <w:rFonts w:ascii="Calibri" w:hAnsi="Calibri" w:eastAsia="Microsoft YaHei"/>
                <w:color w:val="0B2545"/>
                <w:sz w:val="14"/>
              </w:rPr>
              <w:t>DG0</w:t>
            </w:r>
          </w:p>
        </w:tc>
        <w:tc>
          <w:tcPr>
            <w:tcW w:type="dxa" w:w="3760"/>
            <w:tcMar>
              <w:top w:w="45" w:type="dxa"/>
              <w:bottom w:w="45" w:type="dxa"/>
              <w:start w:w="100" w:type="dxa"/>
              <w:end w:w="100" w:type="dxa"/>
            </w:tcMar>
          </w:tcPr>
          <w:p>
            <w:pPr>
              <w:keepLines/>
              <w:spacing w:after="0" w:line="252" w:lineRule="auto"/>
            </w:pPr>
            <w:r>
              <w:rPr>
                <w:rFonts w:ascii="Calibri" w:hAnsi="Calibri" w:eastAsia="Microsoft YaHei"/>
                <w:color w:val="0B2545"/>
                <w:sz w:val="14"/>
              </w:rPr>
              <w:t>IMAS 接口数据结构与数据字典</w:t>
            </w:r>
          </w:p>
        </w:tc>
        <w:tc>
          <w:tcPr>
            <w:tcW w:type="dxa" w:w="800"/>
            <w:tcMar>
              <w:top w:w="45" w:type="dxa"/>
              <w:bottom w:w="45" w:type="dxa"/>
              <w:start w:w="100" w:type="dxa"/>
              <w:end w:w="100" w:type="dxa"/>
            </w:tcMar>
          </w:tcPr>
          <w:p>
            <w:pPr>
              <w:keepLines/>
              <w:spacing w:after="0" w:line="252" w:lineRule="auto"/>
            </w:pPr>
            <w:r>
              <w:rPr>
                <w:rFonts w:ascii="Calibri" w:hAnsi="Calibri" w:eastAsia="Microsoft YaHei"/>
                <w:color w:val="0B2545"/>
                <w:sz w:val="14"/>
              </w:rPr>
              <w:t>E3</w:t>
            </w:r>
          </w:p>
        </w:tc>
        <w:tc>
          <w:tcPr>
            <w:tcW w:type="dxa" w:w="2900"/>
            <w:tcMar>
              <w:top w:w="45" w:type="dxa"/>
              <w:bottom w:w="45" w:type="dxa"/>
              <w:start w:w="100" w:type="dxa"/>
              <w:end w:w="100" w:type="dxa"/>
            </w:tcMar>
          </w:tcPr>
          <w:p>
            <w:pPr>
              <w:keepLines/>
              <w:spacing w:after="0" w:line="252" w:lineRule="auto"/>
            </w:pPr>
            <w:r>
              <w:rPr>
                <w:rFonts w:ascii="Calibri" w:hAnsi="Calibri" w:eastAsia="Microsoft YaHei"/>
                <w:color w:val="0B2545"/>
                <w:sz w:val="14"/>
              </w:rPr>
              <w:t>ITER；EUROfusion devices；JET；ASDEX Upgrade；WEST；TCV；W7-X</w:t>
            </w:r>
          </w:p>
        </w:tc>
      </w:tr>
      <w:tr>
        <w:trPr>
          <w:cantSplit/>
        </w:trPr>
        <w:tc>
          <w:tcPr>
            <w:tcW w:type="dxa" w:w="1000"/>
            <w:tcMar>
              <w:top w:w="45" w:type="dxa"/>
              <w:bottom w:w="45" w:type="dxa"/>
              <w:start w:w="100" w:type="dxa"/>
              <w:end w:w="100" w:type="dxa"/>
            </w:tcMar>
          </w:tcPr>
          <w:p>
            <w:pPr>
              <w:keepLines/>
              <w:spacing w:after="0" w:line="252" w:lineRule="auto"/>
            </w:pPr>
            <w:r>
              <w:rPr>
                <w:rFonts w:ascii="Calibri" w:hAnsi="Calibri" w:eastAsia="Microsoft YaHei"/>
                <w:color w:val="0B2545"/>
                <w:sz w:val="14"/>
              </w:rPr>
              <w:t>DSI-002</w:t>
            </w:r>
          </w:p>
        </w:tc>
        <w:tc>
          <w:tcPr>
            <w:tcW w:type="dxa" w:w="900"/>
            <w:tcMar>
              <w:top w:w="45" w:type="dxa"/>
              <w:bottom w:w="45" w:type="dxa"/>
              <w:start w:w="100" w:type="dxa"/>
              <w:end w:w="100" w:type="dxa"/>
            </w:tcMar>
          </w:tcPr>
          <w:p>
            <w:pPr>
              <w:keepLines/>
              <w:spacing w:after="0" w:line="252" w:lineRule="auto"/>
            </w:pPr>
            <w:r>
              <w:rPr>
                <w:rFonts w:ascii="Calibri" w:hAnsi="Calibri" w:eastAsia="Microsoft YaHei"/>
                <w:color w:val="0B2545"/>
                <w:sz w:val="14"/>
              </w:rPr>
              <w:t>DG0</w:t>
            </w:r>
          </w:p>
        </w:tc>
        <w:tc>
          <w:tcPr>
            <w:tcW w:type="dxa" w:w="3760"/>
            <w:tcMar>
              <w:top w:w="45" w:type="dxa"/>
              <w:bottom w:w="45" w:type="dxa"/>
              <w:start w:w="100" w:type="dxa"/>
              <w:end w:w="100" w:type="dxa"/>
            </w:tcMar>
          </w:tcPr>
          <w:p>
            <w:pPr>
              <w:keepLines/>
              <w:spacing w:after="0" w:line="252" w:lineRule="auto"/>
            </w:pPr>
            <w:r>
              <w:rPr>
                <w:rFonts w:ascii="Calibri" w:hAnsi="Calibri" w:eastAsia="Microsoft YaHei"/>
                <w:color w:val="0B2545"/>
                <w:sz w:val="14"/>
              </w:rPr>
              <w:t>MDSplus 脉冲树、数据采集与时序数据管理</w:t>
            </w:r>
          </w:p>
        </w:tc>
        <w:tc>
          <w:tcPr>
            <w:tcW w:type="dxa" w:w="800"/>
            <w:tcMar>
              <w:top w:w="45" w:type="dxa"/>
              <w:bottom w:w="45" w:type="dxa"/>
              <w:start w:w="100" w:type="dxa"/>
              <w:end w:w="100" w:type="dxa"/>
            </w:tcMar>
          </w:tcPr>
          <w:p>
            <w:pPr>
              <w:keepLines/>
              <w:spacing w:after="0" w:line="252" w:lineRule="auto"/>
            </w:pPr>
            <w:r>
              <w:rPr>
                <w:rFonts w:ascii="Calibri" w:hAnsi="Calibri" w:eastAsia="Microsoft YaHei"/>
                <w:color w:val="0B2545"/>
                <w:sz w:val="14"/>
              </w:rPr>
              <w:t>E4</w:t>
            </w:r>
          </w:p>
        </w:tc>
        <w:tc>
          <w:tcPr>
            <w:tcW w:type="dxa" w:w="2900"/>
            <w:tcMar>
              <w:top w:w="45" w:type="dxa"/>
              <w:bottom w:w="45" w:type="dxa"/>
              <w:start w:w="100" w:type="dxa"/>
              <w:end w:w="100" w:type="dxa"/>
            </w:tcMar>
          </w:tcPr>
          <w:p>
            <w:pPr>
              <w:keepLines/>
              <w:spacing w:after="0" w:line="252" w:lineRule="auto"/>
            </w:pPr>
            <w:r>
              <w:rPr>
                <w:rFonts w:ascii="Calibri" w:hAnsi="Calibri" w:eastAsia="Microsoft YaHei"/>
                <w:color w:val="0B2545"/>
                <w:sz w:val="14"/>
              </w:rPr>
              <w:t>Alcator C-Mod；RFX-mod；TCV；DIII-D；KSTAR；EAST；NSTX-U；SPIDER</w:t>
            </w:r>
          </w:p>
        </w:tc>
      </w:tr>
      <w:tr>
        <w:trPr>
          <w:cantSplit/>
        </w:trPr>
        <w:tc>
          <w:tcPr>
            <w:tcW w:type="dxa" w:w="1000"/>
            <w:tcMar>
              <w:top w:w="45" w:type="dxa"/>
              <w:bottom w:w="45" w:type="dxa"/>
              <w:start w:w="100" w:type="dxa"/>
              <w:end w:w="100" w:type="dxa"/>
            </w:tcMar>
          </w:tcPr>
          <w:p>
            <w:pPr>
              <w:keepLines/>
              <w:spacing w:after="0" w:line="252" w:lineRule="auto"/>
            </w:pPr>
            <w:r>
              <w:rPr>
                <w:rFonts w:ascii="Calibri" w:hAnsi="Calibri" w:eastAsia="Microsoft YaHei"/>
                <w:color w:val="0B2545"/>
                <w:sz w:val="14"/>
              </w:rPr>
              <w:t>DSI-003</w:t>
            </w:r>
          </w:p>
        </w:tc>
        <w:tc>
          <w:tcPr>
            <w:tcW w:type="dxa" w:w="900"/>
            <w:tcMar>
              <w:top w:w="45" w:type="dxa"/>
              <w:bottom w:w="45" w:type="dxa"/>
              <w:start w:w="100" w:type="dxa"/>
              <w:end w:w="100" w:type="dxa"/>
            </w:tcMar>
          </w:tcPr>
          <w:p>
            <w:pPr>
              <w:keepLines/>
              <w:spacing w:after="0" w:line="252" w:lineRule="auto"/>
            </w:pPr>
            <w:r>
              <w:rPr>
                <w:rFonts w:ascii="Calibri" w:hAnsi="Calibri" w:eastAsia="Microsoft YaHei"/>
                <w:color w:val="0B2545"/>
                <w:sz w:val="14"/>
              </w:rPr>
              <w:t>DG0</w:t>
            </w:r>
          </w:p>
        </w:tc>
        <w:tc>
          <w:tcPr>
            <w:tcW w:type="dxa" w:w="3760"/>
            <w:tcMar>
              <w:top w:w="45" w:type="dxa"/>
              <w:bottom w:w="45" w:type="dxa"/>
              <w:start w:w="100" w:type="dxa"/>
              <w:end w:w="100" w:type="dxa"/>
            </w:tcMar>
          </w:tcPr>
          <w:p>
            <w:pPr>
              <w:keepLines/>
              <w:spacing w:after="0" w:line="252" w:lineRule="auto"/>
            </w:pPr>
            <w:r>
              <w:rPr>
                <w:rFonts w:ascii="Calibri" w:hAnsi="Calibri" w:eastAsia="Microsoft YaHei"/>
                <w:color w:val="0B2545"/>
                <w:sz w:val="14"/>
              </w:rPr>
              <w:t>UDA 统一数据访问层</w:t>
            </w:r>
          </w:p>
        </w:tc>
        <w:tc>
          <w:tcPr>
            <w:tcW w:type="dxa" w:w="800"/>
            <w:tcMar>
              <w:top w:w="45" w:type="dxa"/>
              <w:bottom w:w="45" w:type="dxa"/>
              <w:start w:w="100" w:type="dxa"/>
              <w:end w:w="100" w:type="dxa"/>
            </w:tcMar>
          </w:tcPr>
          <w:p>
            <w:pPr>
              <w:keepLines/>
              <w:spacing w:after="0" w:line="252" w:lineRule="auto"/>
            </w:pPr>
            <w:r>
              <w:rPr>
                <w:rFonts w:ascii="Calibri" w:hAnsi="Calibri" w:eastAsia="Microsoft YaHei"/>
                <w:color w:val="0B2545"/>
                <w:sz w:val="14"/>
              </w:rPr>
              <w:t>E3</w:t>
            </w:r>
          </w:p>
        </w:tc>
        <w:tc>
          <w:tcPr>
            <w:tcW w:type="dxa" w:w="2900"/>
            <w:tcMar>
              <w:top w:w="45" w:type="dxa"/>
              <w:bottom w:w="45" w:type="dxa"/>
              <w:start w:w="100" w:type="dxa"/>
              <w:end w:w="100" w:type="dxa"/>
            </w:tcMar>
          </w:tcPr>
          <w:p>
            <w:pPr>
              <w:keepLines/>
              <w:spacing w:after="0" w:line="252" w:lineRule="auto"/>
            </w:pPr>
            <w:r>
              <w:rPr>
                <w:rFonts w:ascii="Calibri" w:hAnsi="Calibri" w:eastAsia="Microsoft YaHei"/>
                <w:color w:val="0B2545"/>
                <w:sz w:val="14"/>
              </w:rPr>
              <w:t>JET；MAST Upgrade；ITER/IMAS workflows；UKAEA facilities</w:t>
            </w:r>
          </w:p>
        </w:tc>
      </w:tr>
      <w:tr>
        <w:trPr>
          <w:cantSplit/>
        </w:trPr>
        <w:tc>
          <w:tcPr>
            <w:tcW w:type="dxa" w:w="1000"/>
            <w:tcMar>
              <w:top w:w="45" w:type="dxa"/>
              <w:bottom w:w="45" w:type="dxa"/>
              <w:start w:w="100" w:type="dxa"/>
              <w:end w:w="100" w:type="dxa"/>
            </w:tcMar>
          </w:tcPr>
          <w:p>
            <w:pPr>
              <w:keepLines/>
              <w:spacing w:after="0" w:line="252" w:lineRule="auto"/>
            </w:pPr>
            <w:r>
              <w:rPr>
                <w:rFonts w:ascii="Calibri" w:hAnsi="Calibri" w:eastAsia="Microsoft YaHei"/>
                <w:color w:val="0B2545"/>
                <w:sz w:val="14"/>
              </w:rPr>
              <w:t>DSI-004</w:t>
            </w:r>
          </w:p>
        </w:tc>
        <w:tc>
          <w:tcPr>
            <w:tcW w:type="dxa" w:w="900"/>
            <w:tcMar>
              <w:top w:w="45" w:type="dxa"/>
              <w:bottom w:w="45" w:type="dxa"/>
              <w:start w:w="100" w:type="dxa"/>
              <w:end w:w="100" w:type="dxa"/>
            </w:tcMar>
          </w:tcPr>
          <w:p>
            <w:pPr>
              <w:keepLines/>
              <w:spacing w:after="0" w:line="252" w:lineRule="auto"/>
            </w:pPr>
            <w:r>
              <w:rPr>
                <w:rFonts w:ascii="Calibri" w:hAnsi="Calibri" w:eastAsia="Microsoft YaHei"/>
                <w:color w:val="0B2545"/>
                <w:sz w:val="14"/>
              </w:rPr>
              <w:t>DG0</w:t>
            </w:r>
          </w:p>
        </w:tc>
        <w:tc>
          <w:tcPr>
            <w:tcW w:type="dxa" w:w="3760"/>
            <w:tcMar>
              <w:top w:w="45" w:type="dxa"/>
              <w:bottom w:w="45" w:type="dxa"/>
              <w:start w:w="100" w:type="dxa"/>
              <w:end w:w="100" w:type="dxa"/>
            </w:tcMar>
          </w:tcPr>
          <w:p>
            <w:pPr>
              <w:keepLines/>
              <w:spacing w:after="0" w:line="252" w:lineRule="auto"/>
            </w:pPr>
            <w:r>
              <w:rPr>
                <w:rFonts w:ascii="Calibri" w:hAnsi="Calibri" w:eastAsia="Microsoft YaHei"/>
                <w:color w:val="0B2545"/>
                <w:sz w:val="14"/>
              </w:rPr>
              <w:t>OMAS：轻量 IMAS 兼容数据对象与装置映射</w:t>
            </w:r>
          </w:p>
        </w:tc>
        <w:tc>
          <w:tcPr>
            <w:tcW w:type="dxa" w:w="800"/>
            <w:tcMar>
              <w:top w:w="45" w:type="dxa"/>
              <w:bottom w:w="45" w:type="dxa"/>
              <w:start w:w="100" w:type="dxa"/>
              <w:end w:w="100" w:type="dxa"/>
            </w:tcMar>
          </w:tcPr>
          <w:p>
            <w:pPr>
              <w:keepLines/>
              <w:spacing w:after="0" w:line="252" w:lineRule="auto"/>
            </w:pPr>
            <w:r>
              <w:rPr>
                <w:rFonts w:ascii="Calibri" w:hAnsi="Calibri" w:eastAsia="Microsoft YaHei"/>
                <w:color w:val="0B2545"/>
                <w:sz w:val="14"/>
              </w:rPr>
              <w:t>E2</w:t>
            </w:r>
          </w:p>
        </w:tc>
        <w:tc>
          <w:tcPr>
            <w:tcW w:type="dxa" w:w="2900"/>
            <w:tcMar>
              <w:top w:w="45" w:type="dxa"/>
              <w:bottom w:w="45" w:type="dxa"/>
              <w:start w:w="100" w:type="dxa"/>
              <w:end w:w="100" w:type="dxa"/>
            </w:tcMar>
          </w:tcPr>
          <w:p>
            <w:pPr>
              <w:keepLines/>
              <w:spacing w:after="0" w:line="252" w:lineRule="auto"/>
            </w:pPr>
            <w:r>
              <w:rPr>
                <w:rFonts w:ascii="Calibri" w:hAnsi="Calibri" w:eastAsia="Microsoft YaHei"/>
                <w:color w:val="0B2545"/>
                <w:sz w:val="14"/>
              </w:rPr>
              <w:t>DIII-D；NSTX-U；ITER scenario studies；GA workflows</w:t>
            </w:r>
          </w:p>
        </w:tc>
      </w:tr>
      <w:tr>
        <w:trPr>
          <w:cantSplit/>
        </w:trPr>
        <w:tc>
          <w:tcPr>
            <w:tcW w:type="dxa" w:w="1000"/>
            <w:tcMar>
              <w:top w:w="45" w:type="dxa"/>
              <w:bottom w:w="45" w:type="dxa"/>
              <w:start w:w="100" w:type="dxa"/>
              <w:end w:w="100" w:type="dxa"/>
            </w:tcMar>
          </w:tcPr>
          <w:p>
            <w:pPr>
              <w:keepLines/>
              <w:spacing w:after="0" w:line="252" w:lineRule="auto"/>
            </w:pPr>
            <w:r>
              <w:rPr>
                <w:rFonts w:ascii="Calibri" w:hAnsi="Calibri" w:eastAsia="Microsoft YaHei"/>
                <w:color w:val="0B2545"/>
                <w:sz w:val="14"/>
              </w:rPr>
              <w:t>DSI-005</w:t>
            </w:r>
          </w:p>
        </w:tc>
        <w:tc>
          <w:tcPr>
            <w:tcW w:type="dxa" w:w="900"/>
            <w:tcMar>
              <w:top w:w="45" w:type="dxa"/>
              <w:bottom w:w="45" w:type="dxa"/>
              <w:start w:w="100" w:type="dxa"/>
              <w:end w:w="100" w:type="dxa"/>
            </w:tcMar>
          </w:tcPr>
          <w:p>
            <w:pPr>
              <w:keepLines/>
              <w:spacing w:after="0" w:line="252" w:lineRule="auto"/>
            </w:pPr>
            <w:r>
              <w:rPr>
                <w:rFonts w:ascii="Calibri" w:hAnsi="Calibri" w:eastAsia="Microsoft YaHei"/>
                <w:color w:val="0B2545"/>
                <w:sz w:val="14"/>
              </w:rPr>
              <w:t>DG0</w:t>
            </w:r>
          </w:p>
        </w:tc>
        <w:tc>
          <w:tcPr>
            <w:tcW w:type="dxa" w:w="3760"/>
            <w:tcMar>
              <w:top w:w="45" w:type="dxa"/>
              <w:bottom w:w="45" w:type="dxa"/>
              <w:start w:w="100" w:type="dxa"/>
              <w:end w:w="100" w:type="dxa"/>
            </w:tcMar>
          </w:tcPr>
          <w:p>
            <w:pPr>
              <w:keepLines/>
              <w:spacing w:after="0" w:line="252" w:lineRule="auto"/>
            </w:pPr>
            <w:r>
              <w:rPr>
                <w:rFonts w:ascii="Calibri" w:hAnsi="Calibri" w:eastAsia="Microsoft YaHei"/>
                <w:color w:val="0B2545"/>
                <w:sz w:val="14"/>
              </w:rPr>
              <w:t>FAIR4Fusion 数据治理蓝图</w:t>
            </w:r>
          </w:p>
        </w:tc>
        <w:tc>
          <w:tcPr>
            <w:tcW w:type="dxa" w:w="800"/>
            <w:tcMar>
              <w:top w:w="45" w:type="dxa"/>
              <w:bottom w:w="45" w:type="dxa"/>
              <w:start w:w="100" w:type="dxa"/>
              <w:end w:w="100" w:type="dxa"/>
            </w:tcMar>
          </w:tcPr>
          <w:p>
            <w:pPr>
              <w:keepLines/>
              <w:spacing w:after="0" w:line="252" w:lineRule="auto"/>
            </w:pPr>
            <w:r>
              <w:rPr>
                <w:rFonts w:ascii="Calibri" w:hAnsi="Calibri" w:eastAsia="Microsoft YaHei"/>
                <w:color w:val="0B2545"/>
                <w:sz w:val="14"/>
              </w:rPr>
              <w:t>E1</w:t>
            </w:r>
          </w:p>
        </w:tc>
        <w:tc>
          <w:tcPr>
            <w:tcW w:type="dxa" w:w="2900"/>
            <w:tcMar>
              <w:top w:w="45" w:type="dxa"/>
              <w:bottom w:w="45" w:type="dxa"/>
              <w:start w:w="100" w:type="dxa"/>
              <w:end w:w="100" w:type="dxa"/>
            </w:tcMar>
          </w:tcPr>
          <w:p>
            <w:pPr>
              <w:keepLines/>
              <w:spacing w:after="0" w:line="252" w:lineRule="auto"/>
            </w:pPr>
            <w:r>
              <w:rPr>
                <w:rFonts w:ascii="Calibri" w:hAnsi="Calibri" w:eastAsia="Microsoft YaHei"/>
                <w:color w:val="0B2545"/>
                <w:sz w:val="14"/>
              </w:rPr>
              <w:t>EUROfusion facilities；ITER-adjacent research ecosystem</w:t>
            </w:r>
          </w:p>
        </w:tc>
      </w:tr>
      <w:tr>
        <w:trPr>
          <w:cantSplit/>
        </w:trPr>
        <w:tc>
          <w:tcPr>
            <w:tcW w:type="dxa" w:w="1000"/>
            <w:tcMar>
              <w:top w:w="45" w:type="dxa"/>
              <w:bottom w:w="45" w:type="dxa"/>
              <w:start w:w="100" w:type="dxa"/>
              <w:end w:w="100" w:type="dxa"/>
            </w:tcMar>
          </w:tcPr>
          <w:p>
            <w:pPr>
              <w:keepLines/>
              <w:spacing w:after="0" w:line="252" w:lineRule="auto"/>
            </w:pPr>
            <w:r>
              <w:rPr>
                <w:rFonts w:ascii="Calibri" w:hAnsi="Calibri" w:eastAsia="Microsoft YaHei"/>
                <w:color w:val="0B2545"/>
                <w:sz w:val="14"/>
              </w:rPr>
              <w:t>DG4-018</w:t>
            </w:r>
          </w:p>
        </w:tc>
        <w:tc>
          <w:tcPr>
            <w:tcW w:type="dxa" w:w="900"/>
            <w:tcMar>
              <w:top w:w="45" w:type="dxa"/>
              <w:bottom w:w="45" w:type="dxa"/>
              <w:start w:w="100" w:type="dxa"/>
              <w:end w:w="100" w:type="dxa"/>
            </w:tcMar>
          </w:tcPr>
          <w:p>
            <w:pPr>
              <w:keepLines/>
              <w:spacing w:after="0" w:line="252" w:lineRule="auto"/>
            </w:pPr>
            <w:r>
              <w:rPr>
                <w:rFonts w:ascii="Calibri" w:hAnsi="Calibri" w:eastAsia="Microsoft YaHei"/>
                <w:color w:val="0B2545"/>
                <w:sz w:val="14"/>
              </w:rPr>
              <w:t>DG4</w:t>
            </w:r>
          </w:p>
        </w:tc>
        <w:tc>
          <w:tcPr>
            <w:tcW w:type="dxa" w:w="3760"/>
            <w:tcMar>
              <w:top w:w="45" w:type="dxa"/>
              <w:bottom w:w="45" w:type="dxa"/>
              <w:start w:w="100" w:type="dxa"/>
              <w:end w:w="100" w:type="dxa"/>
            </w:tcMar>
          </w:tcPr>
          <w:p>
            <w:pPr>
              <w:keepLines/>
              <w:spacing w:after="0" w:line="252" w:lineRule="auto"/>
            </w:pPr>
            <w:r>
              <w:rPr>
                <w:rFonts w:ascii="Calibri" w:hAnsi="Calibri" w:eastAsia="Microsoft YaHei"/>
                <w:color w:val="0B2545"/>
                <w:sz w:val="14"/>
              </w:rPr>
              <w:t>真空紫外杂质谱：电荷态与杂质输运</w:t>
            </w:r>
          </w:p>
        </w:tc>
        <w:tc>
          <w:tcPr>
            <w:tcW w:type="dxa" w:w="800"/>
            <w:tcMar>
              <w:top w:w="45" w:type="dxa"/>
              <w:bottom w:w="45" w:type="dxa"/>
              <w:start w:w="100" w:type="dxa"/>
              <w:end w:w="100" w:type="dxa"/>
            </w:tcMar>
          </w:tcPr>
          <w:p>
            <w:pPr>
              <w:keepLines/>
              <w:spacing w:after="0" w:line="252" w:lineRule="auto"/>
            </w:pPr>
            <w:r>
              <w:rPr>
                <w:rFonts w:ascii="Calibri" w:hAnsi="Calibri" w:eastAsia="Microsoft YaHei"/>
                <w:color w:val="0B2545"/>
                <w:sz w:val="14"/>
              </w:rPr>
              <w:t>E3</w:t>
            </w:r>
          </w:p>
        </w:tc>
        <w:tc>
          <w:tcPr>
            <w:tcW w:type="dxa" w:w="2900"/>
            <w:tcMar>
              <w:top w:w="45" w:type="dxa"/>
              <w:bottom w:w="45" w:type="dxa"/>
              <w:start w:w="100" w:type="dxa"/>
              <w:end w:w="100" w:type="dxa"/>
            </w:tcMar>
          </w:tcPr>
          <w:p>
            <w:pPr>
              <w:keepLines/>
              <w:spacing w:after="0" w:line="252" w:lineRule="auto"/>
            </w:pPr>
            <w:r>
              <w:rPr>
                <w:rFonts w:ascii="Calibri" w:hAnsi="Calibri" w:eastAsia="Microsoft YaHei"/>
                <w:color w:val="0B2545"/>
                <w:sz w:val="14"/>
              </w:rPr>
              <w:t>KSTAR；ITER；EAST；JET</w:t>
            </w:r>
          </w:p>
        </w:tc>
      </w:tr>
      <w:tr>
        <w:trPr>
          <w:cantSplit/>
        </w:trPr>
        <w:tc>
          <w:tcPr>
            <w:tcW w:type="dxa" w:w="1000"/>
            <w:tcMar>
              <w:top w:w="45" w:type="dxa"/>
              <w:bottom w:w="45" w:type="dxa"/>
              <w:start w:w="100" w:type="dxa"/>
              <w:end w:w="100" w:type="dxa"/>
            </w:tcMar>
          </w:tcPr>
          <w:p>
            <w:pPr>
              <w:keepLines/>
              <w:spacing w:after="0" w:line="252" w:lineRule="auto"/>
            </w:pPr>
            <w:r>
              <w:rPr>
                <w:rFonts w:ascii="Calibri" w:hAnsi="Calibri" w:eastAsia="Microsoft YaHei"/>
                <w:color w:val="0B2545"/>
                <w:sz w:val="14"/>
              </w:rPr>
              <w:t>DG4-019</w:t>
            </w:r>
          </w:p>
        </w:tc>
        <w:tc>
          <w:tcPr>
            <w:tcW w:type="dxa" w:w="900"/>
            <w:tcMar>
              <w:top w:w="45" w:type="dxa"/>
              <w:bottom w:w="45" w:type="dxa"/>
              <w:start w:w="100" w:type="dxa"/>
              <w:end w:w="100" w:type="dxa"/>
            </w:tcMar>
          </w:tcPr>
          <w:p>
            <w:pPr>
              <w:keepLines/>
              <w:spacing w:after="0" w:line="252" w:lineRule="auto"/>
            </w:pPr>
            <w:r>
              <w:rPr>
                <w:rFonts w:ascii="Calibri" w:hAnsi="Calibri" w:eastAsia="Microsoft YaHei"/>
                <w:color w:val="0B2545"/>
                <w:sz w:val="14"/>
              </w:rPr>
              <w:t>DG4</w:t>
            </w:r>
          </w:p>
        </w:tc>
        <w:tc>
          <w:tcPr>
            <w:tcW w:type="dxa" w:w="3760"/>
            <w:tcMar>
              <w:top w:w="45" w:type="dxa"/>
              <w:bottom w:w="45" w:type="dxa"/>
              <w:start w:w="100" w:type="dxa"/>
              <w:end w:w="100" w:type="dxa"/>
            </w:tcMar>
          </w:tcPr>
          <w:p>
            <w:pPr>
              <w:keepLines/>
              <w:spacing w:after="0" w:line="252" w:lineRule="auto"/>
            </w:pPr>
            <w:r>
              <w:rPr>
                <w:rFonts w:ascii="Calibri" w:hAnsi="Calibri" w:eastAsia="Microsoft YaHei"/>
                <w:color w:val="0B2545"/>
                <w:sz w:val="14"/>
              </w:rPr>
              <w:t>可见光杂质/燃料谱：Zeff、流入与回收</w:t>
            </w:r>
          </w:p>
        </w:tc>
        <w:tc>
          <w:tcPr>
            <w:tcW w:type="dxa" w:w="800"/>
            <w:tcMar>
              <w:top w:w="45" w:type="dxa"/>
              <w:bottom w:w="45" w:type="dxa"/>
              <w:start w:w="100" w:type="dxa"/>
              <w:end w:w="100" w:type="dxa"/>
            </w:tcMar>
          </w:tcPr>
          <w:p>
            <w:pPr>
              <w:keepLines/>
              <w:spacing w:after="0" w:line="252" w:lineRule="auto"/>
            </w:pPr>
            <w:r>
              <w:rPr>
                <w:rFonts w:ascii="Calibri" w:hAnsi="Calibri" w:eastAsia="Microsoft YaHei"/>
                <w:color w:val="0B2545"/>
                <w:sz w:val="14"/>
              </w:rPr>
              <w:t>E4</w:t>
            </w:r>
          </w:p>
        </w:tc>
        <w:tc>
          <w:tcPr>
            <w:tcW w:type="dxa" w:w="2900"/>
            <w:tcMar>
              <w:top w:w="45" w:type="dxa"/>
              <w:bottom w:w="45" w:type="dxa"/>
              <w:start w:w="100" w:type="dxa"/>
              <w:end w:w="100" w:type="dxa"/>
            </w:tcMar>
          </w:tcPr>
          <w:p>
            <w:pPr>
              <w:keepLines/>
              <w:spacing w:after="0" w:line="252" w:lineRule="auto"/>
            </w:pPr>
            <w:r>
              <w:rPr>
                <w:rFonts w:ascii="Calibri" w:hAnsi="Calibri" w:eastAsia="Microsoft YaHei"/>
                <w:color w:val="0B2545"/>
                <w:sz w:val="14"/>
              </w:rPr>
              <w:t>JET；EAST；DIII-D；ITER</w:t>
            </w:r>
          </w:p>
        </w:tc>
      </w:tr>
      <w:tr>
        <w:trPr>
          <w:cantSplit/>
        </w:trPr>
        <w:tc>
          <w:tcPr>
            <w:tcW w:type="dxa" w:w="1000"/>
            <w:tcMar>
              <w:top w:w="45" w:type="dxa"/>
              <w:bottom w:w="45" w:type="dxa"/>
              <w:start w:w="100" w:type="dxa"/>
              <w:end w:w="100" w:type="dxa"/>
            </w:tcMar>
          </w:tcPr>
          <w:p>
            <w:pPr>
              <w:keepLines/>
              <w:spacing w:after="0" w:line="252" w:lineRule="auto"/>
            </w:pPr>
            <w:r>
              <w:rPr>
                <w:rFonts w:ascii="Calibri" w:hAnsi="Calibri" w:eastAsia="Microsoft YaHei"/>
                <w:color w:val="0B2545"/>
                <w:sz w:val="14"/>
              </w:rPr>
              <w:t>DG5-023</w:t>
            </w:r>
          </w:p>
        </w:tc>
        <w:tc>
          <w:tcPr>
            <w:tcW w:type="dxa" w:w="900"/>
            <w:tcMar>
              <w:top w:w="45" w:type="dxa"/>
              <w:bottom w:w="45" w:type="dxa"/>
              <w:start w:w="100" w:type="dxa"/>
              <w:end w:w="100" w:type="dxa"/>
            </w:tcMar>
          </w:tcPr>
          <w:p>
            <w:pPr>
              <w:keepLines/>
              <w:spacing w:after="0" w:line="252" w:lineRule="auto"/>
            </w:pPr>
            <w:r>
              <w:rPr>
                <w:rFonts w:ascii="Calibri" w:hAnsi="Calibri" w:eastAsia="Microsoft YaHei"/>
                <w:color w:val="0B2545"/>
                <w:sz w:val="14"/>
              </w:rPr>
              <w:t>DG5</w:t>
            </w:r>
          </w:p>
        </w:tc>
        <w:tc>
          <w:tcPr>
            <w:tcW w:type="dxa" w:w="3760"/>
            <w:tcMar>
              <w:top w:w="45" w:type="dxa"/>
              <w:bottom w:w="45" w:type="dxa"/>
              <w:start w:w="100" w:type="dxa"/>
              <w:end w:w="100" w:type="dxa"/>
            </w:tcMar>
          </w:tcPr>
          <w:p>
            <w:pPr>
              <w:keepLines/>
              <w:spacing w:after="0" w:line="252" w:lineRule="auto"/>
            </w:pPr>
            <w:r>
              <w:rPr>
                <w:rFonts w:ascii="Calibri" w:hAnsi="Calibri" w:eastAsia="Microsoft YaHei"/>
                <w:color w:val="0B2545"/>
                <w:sz w:val="14"/>
              </w:rPr>
              <w:t>高分辨中子能谱：燃料离子与快离子</w:t>
            </w:r>
          </w:p>
        </w:tc>
        <w:tc>
          <w:tcPr>
            <w:tcW w:type="dxa" w:w="800"/>
            <w:tcMar>
              <w:top w:w="45" w:type="dxa"/>
              <w:bottom w:w="45" w:type="dxa"/>
              <w:start w:w="100" w:type="dxa"/>
              <w:end w:w="100" w:type="dxa"/>
            </w:tcMar>
          </w:tcPr>
          <w:p>
            <w:pPr>
              <w:keepLines/>
              <w:spacing w:after="0" w:line="252" w:lineRule="auto"/>
            </w:pPr>
            <w:r>
              <w:rPr>
                <w:rFonts w:ascii="Calibri" w:hAnsi="Calibri" w:eastAsia="Microsoft YaHei"/>
                <w:color w:val="0B2545"/>
                <w:sz w:val="14"/>
              </w:rPr>
              <w:t>E4</w:t>
            </w:r>
          </w:p>
        </w:tc>
        <w:tc>
          <w:tcPr>
            <w:tcW w:type="dxa" w:w="2900"/>
            <w:tcMar>
              <w:top w:w="45" w:type="dxa"/>
              <w:bottom w:w="45" w:type="dxa"/>
              <w:start w:w="100" w:type="dxa"/>
              <w:end w:w="100" w:type="dxa"/>
            </w:tcMar>
          </w:tcPr>
          <w:p>
            <w:pPr>
              <w:keepLines/>
              <w:spacing w:after="0" w:line="252" w:lineRule="auto"/>
            </w:pPr>
            <w:r>
              <w:rPr>
                <w:rFonts w:ascii="Calibri" w:hAnsi="Calibri" w:eastAsia="Microsoft YaHei"/>
                <w:color w:val="0B2545"/>
                <w:sz w:val="14"/>
              </w:rPr>
              <w:t>JET TOFOR/MPR；ITER HRNS</w:t>
            </w:r>
          </w:p>
        </w:tc>
      </w:tr>
      <w:tr>
        <w:trPr>
          <w:cantSplit/>
        </w:trPr>
        <w:tc>
          <w:tcPr>
            <w:tcW w:type="dxa" w:w="1000"/>
            <w:tcMar>
              <w:top w:w="45" w:type="dxa"/>
              <w:bottom w:w="45" w:type="dxa"/>
              <w:start w:w="100" w:type="dxa"/>
              <w:end w:w="100" w:type="dxa"/>
            </w:tcMar>
          </w:tcPr>
          <w:p>
            <w:pPr>
              <w:keepLines/>
              <w:spacing w:after="0" w:line="252" w:lineRule="auto"/>
            </w:pPr>
            <w:r>
              <w:rPr>
                <w:rFonts w:ascii="Calibri" w:hAnsi="Calibri" w:eastAsia="Microsoft YaHei"/>
                <w:color w:val="0B2545"/>
                <w:sz w:val="14"/>
              </w:rPr>
              <w:t>DG5-025</w:t>
            </w:r>
          </w:p>
        </w:tc>
        <w:tc>
          <w:tcPr>
            <w:tcW w:type="dxa" w:w="900"/>
            <w:tcMar>
              <w:top w:w="45" w:type="dxa"/>
              <w:bottom w:w="45" w:type="dxa"/>
              <w:start w:w="100" w:type="dxa"/>
              <w:end w:w="100" w:type="dxa"/>
            </w:tcMar>
          </w:tcPr>
          <w:p>
            <w:pPr>
              <w:keepLines/>
              <w:spacing w:after="0" w:line="252" w:lineRule="auto"/>
            </w:pPr>
            <w:r>
              <w:rPr>
                <w:rFonts w:ascii="Calibri" w:hAnsi="Calibri" w:eastAsia="Microsoft YaHei"/>
                <w:color w:val="0B2545"/>
                <w:sz w:val="14"/>
              </w:rPr>
              <w:t>DG5</w:t>
            </w:r>
          </w:p>
        </w:tc>
        <w:tc>
          <w:tcPr>
            <w:tcW w:type="dxa" w:w="3760"/>
            <w:tcMar>
              <w:top w:w="45" w:type="dxa"/>
              <w:bottom w:w="45" w:type="dxa"/>
              <w:start w:w="100" w:type="dxa"/>
              <w:end w:w="100" w:type="dxa"/>
            </w:tcMar>
          </w:tcPr>
          <w:p>
            <w:pPr>
              <w:keepLines/>
              <w:spacing w:after="0" w:line="252" w:lineRule="auto"/>
            </w:pPr>
            <w:r>
              <w:rPr>
                <w:rFonts w:ascii="Calibri" w:hAnsi="Calibri" w:eastAsia="Microsoft YaHei"/>
                <w:color w:val="0B2545"/>
                <w:sz w:val="14"/>
              </w:rPr>
              <w:t>伽马射线能谱：快离子核反应与逃逸电子</w:t>
            </w:r>
          </w:p>
        </w:tc>
        <w:tc>
          <w:tcPr>
            <w:tcW w:type="dxa" w:w="800"/>
            <w:tcMar>
              <w:top w:w="45" w:type="dxa"/>
              <w:bottom w:w="45" w:type="dxa"/>
              <w:start w:w="100" w:type="dxa"/>
              <w:end w:w="100" w:type="dxa"/>
            </w:tcMar>
          </w:tcPr>
          <w:p>
            <w:pPr>
              <w:keepLines/>
              <w:spacing w:after="0" w:line="252" w:lineRule="auto"/>
            </w:pPr>
            <w:r>
              <w:rPr>
                <w:rFonts w:ascii="Calibri" w:hAnsi="Calibri" w:eastAsia="Microsoft YaHei"/>
                <w:color w:val="0B2545"/>
                <w:sz w:val="14"/>
              </w:rPr>
              <w:t>E4</w:t>
            </w:r>
          </w:p>
        </w:tc>
        <w:tc>
          <w:tcPr>
            <w:tcW w:type="dxa" w:w="2900"/>
            <w:tcMar>
              <w:top w:w="45" w:type="dxa"/>
              <w:bottom w:w="45" w:type="dxa"/>
              <w:start w:w="100" w:type="dxa"/>
              <w:end w:w="100" w:type="dxa"/>
            </w:tcMar>
          </w:tcPr>
          <w:p>
            <w:pPr>
              <w:keepLines/>
              <w:spacing w:after="0" w:line="252" w:lineRule="auto"/>
            </w:pPr>
            <w:r>
              <w:rPr>
                <w:rFonts w:ascii="Calibri" w:hAnsi="Calibri" w:eastAsia="Microsoft YaHei"/>
                <w:color w:val="0B2545"/>
                <w:sz w:val="14"/>
              </w:rPr>
              <w:t>JET；ITER relevance</w:t>
            </w:r>
          </w:p>
        </w:tc>
      </w:tr>
      <w:tr>
        <w:trPr>
          <w:cantSplit/>
        </w:trPr>
        <w:tc>
          <w:tcPr>
            <w:tcW w:type="dxa" w:w="1000"/>
            <w:tcMar>
              <w:top w:w="45" w:type="dxa"/>
              <w:bottom w:w="45" w:type="dxa"/>
              <w:start w:w="100" w:type="dxa"/>
              <w:end w:w="100" w:type="dxa"/>
            </w:tcMar>
          </w:tcPr>
          <w:p>
            <w:pPr>
              <w:keepLines/>
              <w:spacing w:after="0" w:line="252" w:lineRule="auto"/>
            </w:pPr>
            <w:r>
              <w:rPr>
                <w:rFonts w:ascii="Calibri" w:hAnsi="Calibri" w:eastAsia="Microsoft YaHei"/>
                <w:color w:val="0B2545"/>
                <w:sz w:val="14"/>
              </w:rPr>
              <w:t>DG5-026</w:t>
            </w:r>
          </w:p>
        </w:tc>
        <w:tc>
          <w:tcPr>
            <w:tcW w:type="dxa" w:w="900"/>
            <w:tcMar>
              <w:top w:w="45" w:type="dxa"/>
              <w:bottom w:w="45" w:type="dxa"/>
              <w:start w:w="100" w:type="dxa"/>
              <w:end w:w="100" w:type="dxa"/>
            </w:tcMar>
          </w:tcPr>
          <w:p>
            <w:pPr>
              <w:keepLines/>
              <w:spacing w:after="0" w:line="252" w:lineRule="auto"/>
            </w:pPr>
            <w:r>
              <w:rPr>
                <w:rFonts w:ascii="Calibri" w:hAnsi="Calibri" w:eastAsia="Microsoft YaHei"/>
                <w:color w:val="0B2545"/>
                <w:sz w:val="14"/>
              </w:rPr>
              <w:t>DG5</w:t>
            </w:r>
          </w:p>
        </w:tc>
        <w:tc>
          <w:tcPr>
            <w:tcW w:type="dxa" w:w="3760"/>
            <w:tcMar>
              <w:top w:w="45" w:type="dxa"/>
              <w:bottom w:w="45" w:type="dxa"/>
              <w:start w:w="100" w:type="dxa"/>
              <w:end w:w="100" w:type="dxa"/>
            </w:tcMar>
          </w:tcPr>
          <w:p>
            <w:pPr>
              <w:keepLines/>
              <w:spacing w:after="0" w:line="252" w:lineRule="auto"/>
            </w:pPr>
            <w:r>
              <w:rPr>
                <w:rFonts w:ascii="Calibri" w:hAnsi="Calibri" w:eastAsia="Microsoft YaHei"/>
                <w:color w:val="0B2545"/>
                <w:sz w:val="14"/>
              </w:rPr>
              <w:t>FIDA与成像FIDA：快离子相空间</w:t>
            </w:r>
          </w:p>
        </w:tc>
        <w:tc>
          <w:tcPr>
            <w:tcW w:type="dxa" w:w="800"/>
            <w:tcMar>
              <w:top w:w="45" w:type="dxa"/>
              <w:bottom w:w="45" w:type="dxa"/>
              <w:start w:w="100" w:type="dxa"/>
              <w:end w:w="100" w:type="dxa"/>
            </w:tcMar>
          </w:tcPr>
          <w:p>
            <w:pPr>
              <w:keepLines/>
              <w:spacing w:after="0" w:line="252" w:lineRule="auto"/>
            </w:pPr>
            <w:r>
              <w:rPr>
                <w:rFonts w:ascii="Calibri" w:hAnsi="Calibri" w:eastAsia="Microsoft YaHei"/>
                <w:color w:val="0B2545"/>
                <w:sz w:val="14"/>
              </w:rPr>
              <w:t>E4</w:t>
            </w:r>
          </w:p>
        </w:tc>
        <w:tc>
          <w:tcPr>
            <w:tcW w:type="dxa" w:w="2900"/>
            <w:tcMar>
              <w:top w:w="45" w:type="dxa"/>
              <w:bottom w:w="45" w:type="dxa"/>
              <w:start w:w="100" w:type="dxa"/>
              <w:end w:w="100" w:type="dxa"/>
            </w:tcMar>
          </w:tcPr>
          <w:p>
            <w:pPr>
              <w:keepLines/>
              <w:spacing w:after="0" w:line="252" w:lineRule="auto"/>
            </w:pPr>
            <w:r>
              <w:rPr>
                <w:rFonts w:ascii="Calibri" w:hAnsi="Calibri" w:eastAsia="Microsoft YaHei"/>
                <w:color w:val="0B2545"/>
                <w:sz w:val="14"/>
              </w:rPr>
              <w:t>DIII-D；MAST；ASDEX Upgrade；LHD</w:t>
            </w:r>
          </w:p>
        </w:tc>
      </w:tr>
      <w:tr>
        <w:trPr>
          <w:cantSplit/>
        </w:trPr>
        <w:tc>
          <w:tcPr>
            <w:tcW w:type="dxa" w:w="1000"/>
            <w:tcMar>
              <w:top w:w="45" w:type="dxa"/>
              <w:bottom w:w="45" w:type="dxa"/>
              <w:start w:w="100" w:type="dxa"/>
              <w:end w:w="100" w:type="dxa"/>
            </w:tcMar>
          </w:tcPr>
          <w:p>
            <w:pPr>
              <w:keepLines/>
              <w:spacing w:after="0" w:line="252" w:lineRule="auto"/>
            </w:pPr>
            <w:r>
              <w:rPr>
                <w:rFonts w:ascii="Calibri" w:hAnsi="Calibri" w:eastAsia="Microsoft YaHei"/>
                <w:color w:val="0B2545"/>
                <w:sz w:val="14"/>
              </w:rPr>
              <w:t>DG7-036</w:t>
            </w:r>
          </w:p>
        </w:tc>
        <w:tc>
          <w:tcPr>
            <w:tcW w:type="dxa" w:w="900"/>
            <w:tcMar>
              <w:top w:w="45" w:type="dxa"/>
              <w:bottom w:w="45" w:type="dxa"/>
              <w:start w:w="100" w:type="dxa"/>
              <w:end w:w="100" w:type="dxa"/>
            </w:tcMar>
          </w:tcPr>
          <w:p>
            <w:pPr>
              <w:keepLines/>
              <w:spacing w:after="0" w:line="252" w:lineRule="auto"/>
            </w:pPr>
            <w:r>
              <w:rPr>
                <w:rFonts w:ascii="Calibri" w:hAnsi="Calibri" w:eastAsia="Microsoft YaHei"/>
                <w:color w:val="0B2545"/>
                <w:sz w:val="14"/>
              </w:rPr>
              <w:t>DG7</w:t>
            </w:r>
          </w:p>
        </w:tc>
        <w:tc>
          <w:tcPr>
            <w:tcW w:type="dxa" w:w="3760"/>
            <w:tcMar>
              <w:top w:w="45" w:type="dxa"/>
              <w:bottom w:w="45" w:type="dxa"/>
              <w:start w:w="100" w:type="dxa"/>
              <w:end w:w="100" w:type="dxa"/>
            </w:tcMar>
          </w:tcPr>
          <w:p>
            <w:pPr>
              <w:keepLines/>
              <w:spacing w:after="0" w:line="252" w:lineRule="auto"/>
            </w:pPr>
            <w:r>
              <w:rPr>
                <w:rFonts w:ascii="Calibri" w:hAnsi="Calibri" w:eastAsia="Microsoft YaHei"/>
                <w:color w:val="0B2545"/>
                <w:sz w:val="14"/>
              </w:rPr>
              <w:t>固定/往复式朗缪尔探针：SOL与偏滤器局部参数</w:t>
            </w:r>
          </w:p>
        </w:tc>
        <w:tc>
          <w:tcPr>
            <w:tcW w:type="dxa" w:w="800"/>
            <w:tcMar>
              <w:top w:w="45" w:type="dxa"/>
              <w:bottom w:w="45" w:type="dxa"/>
              <w:start w:w="100" w:type="dxa"/>
              <w:end w:w="100" w:type="dxa"/>
            </w:tcMar>
          </w:tcPr>
          <w:p>
            <w:pPr>
              <w:keepLines/>
              <w:spacing w:after="0" w:line="252" w:lineRule="auto"/>
            </w:pPr>
            <w:r>
              <w:rPr>
                <w:rFonts w:ascii="Calibri" w:hAnsi="Calibri" w:eastAsia="Microsoft YaHei"/>
                <w:color w:val="0B2545"/>
                <w:sz w:val="14"/>
              </w:rPr>
              <w:t>E4</w:t>
            </w:r>
          </w:p>
        </w:tc>
        <w:tc>
          <w:tcPr>
            <w:tcW w:type="dxa" w:w="2900"/>
            <w:tcMar>
              <w:top w:w="45" w:type="dxa"/>
              <w:bottom w:w="45" w:type="dxa"/>
              <w:start w:w="100" w:type="dxa"/>
              <w:end w:w="100" w:type="dxa"/>
            </w:tcMar>
          </w:tcPr>
          <w:p>
            <w:pPr>
              <w:keepLines/>
              <w:spacing w:after="0" w:line="252" w:lineRule="auto"/>
            </w:pPr>
            <w:r>
              <w:rPr>
                <w:rFonts w:ascii="Calibri" w:hAnsi="Calibri" w:eastAsia="Microsoft YaHei"/>
                <w:color w:val="0B2545"/>
                <w:sz w:val="14"/>
              </w:rPr>
              <w:t>EAST；DIII-D；ASDEX Upgrade；MAST-U</w:t>
            </w:r>
          </w:p>
        </w:tc>
      </w:tr>
      <w:tr>
        <w:trPr>
          <w:cantSplit/>
        </w:trPr>
        <w:tc>
          <w:tcPr>
            <w:tcW w:type="dxa" w:w="1000"/>
            <w:tcMar>
              <w:top w:w="45" w:type="dxa"/>
              <w:bottom w:w="45" w:type="dxa"/>
              <w:start w:w="100" w:type="dxa"/>
              <w:end w:w="100" w:type="dxa"/>
            </w:tcMar>
          </w:tcPr>
          <w:p>
            <w:pPr>
              <w:keepLines/>
              <w:spacing w:after="0" w:line="252" w:lineRule="auto"/>
            </w:pPr>
            <w:r>
              <w:rPr>
                <w:rFonts w:ascii="Calibri" w:hAnsi="Calibri" w:eastAsia="Microsoft YaHei"/>
                <w:color w:val="0B2545"/>
                <w:sz w:val="14"/>
              </w:rPr>
              <w:t>DG7-039</w:t>
            </w:r>
          </w:p>
        </w:tc>
        <w:tc>
          <w:tcPr>
            <w:tcW w:type="dxa" w:w="900"/>
            <w:tcMar>
              <w:top w:w="45" w:type="dxa"/>
              <w:bottom w:w="45" w:type="dxa"/>
              <w:start w:w="100" w:type="dxa"/>
              <w:end w:w="100" w:type="dxa"/>
            </w:tcMar>
          </w:tcPr>
          <w:p>
            <w:pPr>
              <w:keepLines/>
              <w:spacing w:after="0" w:line="252" w:lineRule="auto"/>
            </w:pPr>
            <w:r>
              <w:rPr>
                <w:rFonts w:ascii="Calibri" w:hAnsi="Calibri" w:eastAsia="Microsoft YaHei"/>
                <w:color w:val="0B2545"/>
                <w:sz w:val="14"/>
              </w:rPr>
              <w:t>DG7</w:t>
            </w:r>
          </w:p>
        </w:tc>
        <w:tc>
          <w:tcPr>
            <w:tcW w:type="dxa" w:w="3760"/>
            <w:tcMar>
              <w:top w:w="45" w:type="dxa"/>
              <w:bottom w:w="45" w:type="dxa"/>
              <w:start w:w="100" w:type="dxa"/>
              <w:end w:w="100" w:type="dxa"/>
            </w:tcMar>
          </w:tcPr>
          <w:p>
            <w:pPr>
              <w:keepLines/>
              <w:spacing w:after="0" w:line="252" w:lineRule="auto"/>
            </w:pPr>
            <w:r>
              <w:rPr>
                <w:rFonts w:ascii="Calibri" w:hAnsi="Calibri" w:eastAsia="Microsoft YaHei"/>
                <w:color w:val="0B2545"/>
                <w:sz w:val="14"/>
              </w:rPr>
              <w:t>Balmer/Stark偏滤器谱：脱靶、再结合与中性压力</w:t>
            </w:r>
          </w:p>
        </w:tc>
        <w:tc>
          <w:tcPr>
            <w:tcW w:type="dxa" w:w="800"/>
            <w:tcMar>
              <w:top w:w="45" w:type="dxa"/>
              <w:bottom w:w="45" w:type="dxa"/>
              <w:start w:w="100" w:type="dxa"/>
              <w:end w:w="100" w:type="dxa"/>
            </w:tcMar>
          </w:tcPr>
          <w:p>
            <w:pPr>
              <w:keepLines/>
              <w:spacing w:after="0" w:line="252" w:lineRule="auto"/>
            </w:pPr>
            <w:r>
              <w:rPr>
                <w:rFonts w:ascii="Calibri" w:hAnsi="Calibri" w:eastAsia="Microsoft YaHei"/>
                <w:color w:val="0B2545"/>
                <w:sz w:val="14"/>
              </w:rPr>
              <w:t>E4</w:t>
            </w:r>
          </w:p>
        </w:tc>
        <w:tc>
          <w:tcPr>
            <w:tcW w:type="dxa" w:w="2900"/>
            <w:tcMar>
              <w:top w:w="45" w:type="dxa"/>
              <w:bottom w:w="45" w:type="dxa"/>
              <w:start w:w="100" w:type="dxa"/>
              <w:end w:w="100" w:type="dxa"/>
            </w:tcMar>
          </w:tcPr>
          <w:p>
            <w:pPr>
              <w:keepLines/>
              <w:spacing w:after="0" w:line="252" w:lineRule="auto"/>
            </w:pPr>
            <w:r>
              <w:rPr>
                <w:rFonts w:ascii="Calibri" w:hAnsi="Calibri" w:eastAsia="Microsoft YaHei"/>
                <w:color w:val="0B2545"/>
                <w:sz w:val="14"/>
              </w:rPr>
              <w:t>TCV；MAST Upgrade；DIII-D；JET</w:t>
            </w:r>
          </w:p>
        </w:tc>
      </w:tr>
      <w:tr>
        <w:trPr>
          <w:cantSplit/>
        </w:trPr>
        <w:tc>
          <w:tcPr>
            <w:tcW w:type="dxa" w:w="1000"/>
            <w:tcMar>
              <w:top w:w="45" w:type="dxa"/>
              <w:bottom w:w="45" w:type="dxa"/>
              <w:start w:w="100" w:type="dxa"/>
              <w:end w:w="100" w:type="dxa"/>
            </w:tcMar>
          </w:tcPr>
          <w:p>
            <w:pPr>
              <w:keepLines/>
              <w:spacing w:after="0" w:line="252" w:lineRule="auto"/>
            </w:pPr>
            <w:r>
              <w:rPr>
                <w:rFonts w:ascii="Calibri" w:hAnsi="Calibri" w:eastAsia="Microsoft YaHei"/>
                <w:color w:val="0B2545"/>
                <w:sz w:val="14"/>
              </w:rPr>
              <w:t>DG7-041</w:t>
            </w:r>
          </w:p>
        </w:tc>
        <w:tc>
          <w:tcPr>
            <w:tcW w:type="dxa" w:w="900"/>
            <w:tcMar>
              <w:top w:w="45" w:type="dxa"/>
              <w:bottom w:w="45" w:type="dxa"/>
              <w:start w:w="100" w:type="dxa"/>
              <w:end w:w="100" w:type="dxa"/>
            </w:tcMar>
          </w:tcPr>
          <w:p>
            <w:pPr>
              <w:keepLines/>
              <w:spacing w:after="0" w:line="252" w:lineRule="auto"/>
            </w:pPr>
            <w:r>
              <w:rPr>
                <w:rFonts w:ascii="Calibri" w:hAnsi="Calibri" w:eastAsia="Microsoft YaHei"/>
                <w:color w:val="0B2545"/>
                <w:sz w:val="14"/>
              </w:rPr>
              <w:t>DG7</w:t>
            </w:r>
          </w:p>
        </w:tc>
        <w:tc>
          <w:tcPr>
            <w:tcW w:type="dxa" w:w="3760"/>
            <w:tcMar>
              <w:top w:w="45" w:type="dxa"/>
              <w:bottom w:w="45" w:type="dxa"/>
              <w:start w:w="100" w:type="dxa"/>
              <w:end w:w="100" w:type="dxa"/>
            </w:tcMar>
          </w:tcPr>
          <w:p>
            <w:pPr>
              <w:keepLines/>
              <w:spacing w:after="0" w:line="252" w:lineRule="auto"/>
            </w:pPr>
            <w:r>
              <w:rPr>
                <w:rFonts w:ascii="Calibri" w:hAnsi="Calibri" w:eastAsia="Microsoft YaHei"/>
                <w:color w:val="0B2545"/>
                <w:sz w:val="14"/>
              </w:rPr>
              <w:t>LIBS/LIDS：壁材料与氚/氘库存原位诊断</w:t>
            </w:r>
          </w:p>
        </w:tc>
        <w:tc>
          <w:tcPr>
            <w:tcW w:type="dxa" w:w="800"/>
            <w:tcMar>
              <w:top w:w="45" w:type="dxa"/>
              <w:bottom w:w="45" w:type="dxa"/>
              <w:start w:w="100" w:type="dxa"/>
              <w:end w:w="100" w:type="dxa"/>
            </w:tcMar>
          </w:tcPr>
          <w:p>
            <w:pPr>
              <w:keepLines/>
              <w:spacing w:after="0" w:line="252" w:lineRule="auto"/>
            </w:pPr>
            <w:r>
              <w:rPr>
                <w:rFonts w:ascii="Calibri" w:hAnsi="Calibri" w:eastAsia="Microsoft YaHei"/>
                <w:color w:val="0B2545"/>
                <w:sz w:val="14"/>
              </w:rPr>
              <w:t>E2</w:t>
            </w:r>
          </w:p>
        </w:tc>
        <w:tc>
          <w:tcPr>
            <w:tcW w:type="dxa" w:w="2900"/>
            <w:tcMar>
              <w:top w:w="45" w:type="dxa"/>
              <w:bottom w:w="45" w:type="dxa"/>
              <w:start w:w="100" w:type="dxa"/>
              <w:end w:w="100" w:type="dxa"/>
            </w:tcMar>
          </w:tcPr>
          <w:p>
            <w:pPr>
              <w:keepLines/>
              <w:spacing w:after="0" w:line="252" w:lineRule="auto"/>
            </w:pPr>
            <w:r>
              <w:rPr>
                <w:rFonts w:ascii="Calibri" w:hAnsi="Calibri" w:eastAsia="Microsoft YaHei"/>
                <w:color w:val="0B2545"/>
                <w:sz w:val="14"/>
              </w:rPr>
              <w:t>DIII-D/LIDS studies；ITER R&amp;D；linear plasma facilities</w:t>
            </w:r>
          </w:p>
        </w:tc>
      </w:tr>
      <w:tr>
        <w:trPr>
          <w:cantSplit/>
        </w:trPr>
        <w:tc>
          <w:tcPr>
            <w:tcW w:type="dxa" w:w="1000"/>
            <w:tcMar>
              <w:top w:w="45" w:type="dxa"/>
              <w:bottom w:w="45" w:type="dxa"/>
              <w:start w:w="100" w:type="dxa"/>
              <w:end w:w="100" w:type="dxa"/>
            </w:tcMar>
          </w:tcPr>
          <w:p>
            <w:pPr>
              <w:keepLines/>
              <w:spacing w:after="0" w:line="252" w:lineRule="auto"/>
            </w:pPr>
            <w:r>
              <w:rPr>
                <w:rFonts w:ascii="Calibri" w:hAnsi="Calibri" w:eastAsia="Microsoft YaHei"/>
                <w:color w:val="0B2545"/>
                <w:sz w:val="14"/>
              </w:rPr>
              <w:t>DSI-009</w:t>
            </w:r>
          </w:p>
        </w:tc>
        <w:tc>
          <w:tcPr>
            <w:tcW w:type="dxa" w:w="900"/>
            <w:tcMar>
              <w:top w:w="45" w:type="dxa"/>
              <w:bottom w:w="45" w:type="dxa"/>
              <w:start w:w="100" w:type="dxa"/>
              <w:end w:w="100" w:type="dxa"/>
            </w:tcMar>
          </w:tcPr>
          <w:p>
            <w:pPr>
              <w:keepLines/>
              <w:spacing w:after="0" w:line="252" w:lineRule="auto"/>
            </w:pPr>
            <w:r>
              <w:rPr>
                <w:rFonts w:ascii="Calibri" w:hAnsi="Calibri" w:eastAsia="Microsoft YaHei"/>
                <w:color w:val="0B2545"/>
                <w:sz w:val="14"/>
              </w:rPr>
              <w:t>DG9</w:t>
            </w:r>
          </w:p>
        </w:tc>
        <w:tc>
          <w:tcPr>
            <w:tcW w:type="dxa" w:w="3760"/>
            <w:tcMar>
              <w:top w:w="45" w:type="dxa"/>
              <w:bottom w:w="45" w:type="dxa"/>
              <w:start w:w="100" w:type="dxa"/>
              <w:end w:w="100" w:type="dxa"/>
            </w:tcMar>
          </w:tcPr>
          <w:p>
            <w:pPr>
              <w:keepLines/>
              <w:spacing w:after="0" w:line="252" w:lineRule="auto"/>
            </w:pPr>
            <w:r>
              <w:rPr>
                <w:rFonts w:ascii="Calibri" w:hAnsi="Calibri" w:eastAsia="Microsoft YaHei"/>
                <w:color w:val="0B2545"/>
                <w:sz w:val="14"/>
              </w:rPr>
              <w:t>CHERAB–Raysect 三维光谱与辐射合成诊断</w:t>
            </w:r>
          </w:p>
        </w:tc>
        <w:tc>
          <w:tcPr>
            <w:tcW w:type="dxa" w:w="800"/>
            <w:tcMar>
              <w:top w:w="45" w:type="dxa"/>
              <w:bottom w:w="45" w:type="dxa"/>
              <w:start w:w="100" w:type="dxa"/>
              <w:end w:w="100" w:type="dxa"/>
            </w:tcMar>
          </w:tcPr>
          <w:p>
            <w:pPr>
              <w:keepLines/>
              <w:spacing w:after="0" w:line="252" w:lineRule="auto"/>
            </w:pPr>
            <w:r>
              <w:rPr>
                <w:rFonts w:ascii="Calibri" w:hAnsi="Calibri" w:eastAsia="Microsoft YaHei"/>
                <w:color w:val="0B2545"/>
                <w:sz w:val="14"/>
              </w:rPr>
              <w:t>E3</w:t>
            </w:r>
          </w:p>
        </w:tc>
        <w:tc>
          <w:tcPr>
            <w:tcW w:type="dxa" w:w="2900"/>
            <w:tcMar>
              <w:top w:w="45" w:type="dxa"/>
              <w:bottom w:w="45" w:type="dxa"/>
              <w:start w:w="100" w:type="dxa"/>
              <w:end w:w="100" w:type="dxa"/>
            </w:tcMar>
          </w:tcPr>
          <w:p>
            <w:pPr>
              <w:keepLines/>
              <w:spacing w:after="0" w:line="252" w:lineRule="auto"/>
            </w:pPr>
            <w:r>
              <w:rPr>
                <w:rFonts w:ascii="Calibri" w:hAnsi="Calibri" w:eastAsia="Microsoft YaHei"/>
                <w:color w:val="0B2545"/>
                <w:sz w:val="14"/>
              </w:rPr>
              <w:t>ASDEX Upgrade；JET；MAST Upgrade；ITER design studies</w:t>
            </w:r>
          </w:p>
        </w:tc>
      </w:tr>
      <w:tr>
        <w:trPr>
          <w:cantSplit/>
        </w:trPr>
        <w:tc>
          <w:tcPr>
            <w:tcW w:type="dxa" w:w="1000"/>
            <w:tcMar>
              <w:top w:w="45" w:type="dxa"/>
              <w:bottom w:w="45" w:type="dxa"/>
              <w:start w:w="100" w:type="dxa"/>
              <w:end w:w="100" w:type="dxa"/>
            </w:tcMar>
          </w:tcPr>
          <w:p>
            <w:pPr>
              <w:keepLines/>
              <w:spacing w:after="0" w:line="252" w:lineRule="auto"/>
            </w:pPr>
            <w:r>
              <w:rPr>
                <w:rFonts w:ascii="Calibri" w:hAnsi="Calibri" w:eastAsia="Microsoft YaHei"/>
                <w:color w:val="0B2545"/>
                <w:sz w:val="14"/>
              </w:rPr>
              <w:t>DSI-011</w:t>
            </w:r>
          </w:p>
        </w:tc>
        <w:tc>
          <w:tcPr>
            <w:tcW w:type="dxa" w:w="900"/>
            <w:tcMar>
              <w:top w:w="45" w:type="dxa"/>
              <w:bottom w:w="45" w:type="dxa"/>
              <w:start w:w="100" w:type="dxa"/>
              <w:end w:w="100" w:type="dxa"/>
            </w:tcMar>
          </w:tcPr>
          <w:p>
            <w:pPr>
              <w:keepLines/>
              <w:spacing w:after="0" w:line="252" w:lineRule="auto"/>
            </w:pPr>
            <w:r>
              <w:rPr>
                <w:rFonts w:ascii="Calibri" w:hAnsi="Calibri" w:eastAsia="Microsoft YaHei"/>
                <w:color w:val="0B2545"/>
                <w:sz w:val="14"/>
              </w:rPr>
              <w:t>DG9</w:t>
            </w:r>
          </w:p>
        </w:tc>
        <w:tc>
          <w:tcPr>
            <w:tcW w:type="dxa" w:w="3760"/>
            <w:tcMar>
              <w:top w:w="45" w:type="dxa"/>
              <w:bottom w:w="45" w:type="dxa"/>
              <w:start w:w="100" w:type="dxa"/>
              <w:end w:w="100" w:type="dxa"/>
            </w:tcMar>
          </w:tcPr>
          <w:p>
            <w:pPr>
              <w:keepLines/>
              <w:spacing w:after="0" w:line="252" w:lineRule="auto"/>
            </w:pPr>
            <w:r>
              <w:rPr>
                <w:rFonts w:ascii="Calibri" w:hAnsi="Calibri" w:eastAsia="Microsoft YaHei"/>
                <w:color w:val="0B2545"/>
                <w:sz w:val="14"/>
              </w:rPr>
              <w:t>FIDASIM 快离子 Dα 与中性粒子分析器合成诊断</w:t>
            </w:r>
          </w:p>
        </w:tc>
        <w:tc>
          <w:tcPr>
            <w:tcW w:type="dxa" w:w="800"/>
            <w:tcMar>
              <w:top w:w="45" w:type="dxa"/>
              <w:bottom w:w="45" w:type="dxa"/>
              <w:start w:w="100" w:type="dxa"/>
              <w:end w:w="100" w:type="dxa"/>
            </w:tcMar>
          </w:tcPr>
          <w:p>
            <w:pPr>
              <w:keepLines/>
              <w:spacing w:after="0" w:line="252" w:lineRule="auto"/>
            </w:pPr>
            <w:r>
              <w:rPr>
                <w:rFonts w:ascii="Calibri" w:hAnsi="Calibri" w:eastAsia="Microsoft YaHei"/>
                <w:color w:val="0B2545"/>
                <w:sz w:val="14"/>
              </w:rPr>
              <w:t>E3</w:t>
            </w:r>
          </w:p>
        </w:tc>
        <w:tc>
          <w:tcPr>
            <w:tcW w:type="dxa" w:w="2900"/>
            <w:tcMar>
              <w:top w:w="45" w:type="dxa"/>
              <w:bottom w:w="45" w:type="dxa"/>
              <w:start w:w="100" w:type="dxa"/>
              <w:end w:w="100" w:type="dxa"/>
            </w:tcMar>
          </w:tcPr>
          <w:p>
            <w:pPr>
              <w:keepLines/>
              <w:spacing w:after="0" w:line="252" w:lineRule="auto"/>
            </w:pPr>
            <w:r>
              <w:rPr>
                <w:rFonts w:ascii="Calibri" w:hAnsi="Calibri" w:eastAsia="Microsoft YaHei"/>
                <w:color w:val="0B2545"/>
                <w:sz w:val="14"/>
              </w:rPr>
              <w:t>DIII-D；ASDEX Upgrade；MAST；NSTX-U；W7-X and others</w:t>
            </w:r>
          </w:p>
        </w:tc>
      </w:tr>
      <w:tr>
        <w:trPr>
          <w:cantSplit/>
        </w:trPr>
        <w:tc>
          <w:tcPr>
            <w:tcW w:type="dxa" w:w="1000"/>
            <w:tcMar>
              <w:top w:w="45" w:type="dxa"/>
              <w:bottom w:w="45" w:type="dxa"/>
              <w:start w:w="100" w:type="dxa"/>
              <w:end w:w="100" w:type="dxa"/>
            </w:tcMar>
          </w:tcPr>
          <w:p>
            <w:pPr>
              <w:keepLines/>
              <w:spacing w:after="0" w:line="252" w:lineRule="auto"/>
            </w:pPr>
            <w:r>
              <w:rPr>
                <w:rFonts w:ascii="Calibri" w:hAnsi="Calibri" w:eastAsia="Microsoft YaHei"/>
                <w:color w:val="0B2545"/>
                <w:sz w:val="14"/>
              </w:rPr>
              <w:t>DSI-015</w:t>
            </w:r>
          </w:p>
        </w:tc>
        <w:tc>
          <w:tcPr>
            <w:tcW w:type="dxa" w:w="900"/>
            <w:tcMar>
              <w:top w:w="45" w:type="dxa"/>
              <w:bottom w:w="45" w:type="dxa"/>
              <w:start w:w="100" w:type="dxa"/>
              <w:end w:w="100" w:type="dxa"/>
            </w:tcMar>
          </w:tcPr>
          <w:p>
            <w:pPr>
              <w:keepLines/>
              <w:spacing w:after="0" w:line="252" w:lineRule="auto"/>
            </w:pPr>
            <w:r>
              <w:rPr>
                <w:rFonts w:ascii="Calibri" w:hAnsi="Calibri" w:eastAsia="Microsoft YaHei"/>
                <w:color w:val="0B2545"/>
                <w:sz w:val="14"/>
              </w:rPr>
              <w:t>DG9</w:t>
            </w:r>
          </w:p>
        </w:tc>
        <w:tc>
          <w:tcPr>
            <w:tcW w:type="dxa" w:w="3760"/>
            <w:tcMar>
              <w:top w:w="45" w:type="dxa"/>
              <w:bottom w:w="45" w:type="dxa"/>
              <w:start w:w="100" w:type="dxa"/>
              <w:end w:w="100" w:type="dxa"/>
            </w:tcMar>
          </w:tcPr>
          <w:p>
            <w:pPr>
              <w:keepLines/>
              <w:spacing w:after="0" w:line="252" w:lineRule="auto"/>
            </w:pPr>
            <w:r>
              <w:rPr>
                <w:rFonts w:ascii="Calibri" w:hAnsi="Calibri" w:eastAsia="Microsoft YaHei"/>
                <w:color w:val="0B2545"/>
                <w:sz w:val="14"/>
              </w:rPr>
              <w:t>XICSRT 晶体 X 射线成像光谱射线追踪</w:t>
            </w:r>
          </w:p>
        </w:tc>
        <w:tc>
          <w:tcPr>
            <w:tcW w:type="dxa" w:w="800"/>
            <w:tcMar>
              <w:top w:w="45" w:type="dxa"/>
              <w:bottom w:w="45" w:type="dxa"/>
              <w:start w:w="100" w:type="dxa"/>
              <w:end w:w="100" w:type="dxa"/>
            </w:tcMar>
          </w:tcPr>
          <w:p>
            <w:pPr>
              <w:keepLines/>
              <w:spacing w:after="0" w:line="252" w:lineRule="auto"/>
            </w:pPr>
            <w:r>
              <w:rPr>
                <w:rFonts w:ascii="Calibri" w:hAnsi="Calibri" w:eastAsia="Microsoft YaHei"/>
                <w:color w:val="0B2545"/>
                <w:sz w:val="14"/>
              </w:rPr>
              <w:t>E2</w:t>
            </w:r>
          </w:p>
        </w:tc>
        <w:tc>
          <w:tcPr>
            <w:tcW w:type="dxa" w:w="2900"/>
            <w:tcMar>
              <w:top w:w="45" w:type="dxa"/>
              <w:bottom w:w="45" w:type="dxa"/>
              <w:start w:w="100" w:type="dxa"/>
              <w:end w:w="100" w:type="dxa"/>
            </w:tcMar>
          </w:tcPr>
          <w:p>
            <w:pPr>
              <w:keepLines/>
              <w:spacing w:after="0" w:line="252" w:lineRule="auto"/>
            </w:pPr>
            <w:r>
              <w:rPr>
                <w:rFonts w:ascii="Calibri" w:hAnsi="Calibri" w:eastAsia="Microsoft YaHei"/>
                <w:color w:val="0B2545"/>
                <w:sz w:val="14"/>
              </w:rPr>
              <w:t>W7-X；ITER XRCS-Core design；NIF-related crystal systems</w:t>
            </w:r>
          </w:p>
        </w:tc>
      </w:tr>
      <w:tr>
        <w:trPr>
          <w:cantSplit/>
        </w:trPr>
        <w:tc>
          <w:tcPr>
            <w:tcW w:type="dxa" w:w="1000"/>
            <w:tcMar>
              <w:top w:w="45" w:type="dxa"/>
              <w:bottom w:w="45" w:type="dxa"/>
              <w:start w:w="100" w:type="dxa"/>
              <w:end w:w="100" w:type="dxa"/>
            </w:tcMar>
          </w:tcPr>
          <w:p>
            <w:pPr>
              <w:keepLines/>
              <w:spacing w:after="0" w:line="252" w:lineRule="auto"/>
            </w:pPr>
            <w:r>
              <w:rPr>
                <w:rFonts w:ascii="Calibri" w:hAnsi="Calibri" w:eastAsia="Microsoft YaHei"/>
                <w:color w:val="0B2545"/>
                <w:sz w:val="14"/>
              </w:rPr>
              <w:t>DSI-023</w:t>
            </w:r>
          </w:p>
        </w:tc>
        <w:tc>
          <w:tcPr>
            <w:tcW w:type="dxa" w:w="900"/>
            <w:tcMar>
              <w:top w:w="45" w:type="dxa"/>
              <w:bottom w:w="45" w:type="dxa"/>
              <w:start w:w="100" w:type="dxa"/>
              <w:end w:w="100" w:type="dxa"/>
            </w:tcMar>
          </w:tcPr>
          <w:p>
            <w:pPr>
              <w:keepLines/>
              <w:spacing w:after="0" w:line="252" w:lineRule="auto"/>
            </w:pPr>
            <w:r>
              <w:rPr>
                <w:rFonts w:ascii="Calibri" w:hAnsi="Calibri" w:eastAsia="Microsoft YaHei"/>
                <w:color w:val="0B2545"/>
                <w:sz w:val="14"/>
              </w:rPr>
              <w:t>DG10</w:t>
            </w:r>
          </w:p>
        </w:tc>
        <w:tc>
          <w:tcPr>
            <w:tcW w:type="dxa" w:w="3760"/>
            <w:tcMar>
              <w:top w:w="45" w:type="dxa"/>
              <w:bottom w:w="45" w:type="dxa"/>
              <w:start w:w="100" w:type="dxa"/>
              <w:end w:w="100" w:type="dxa"/>
            </w:tcMar>
          </w:tcPr>
          <w:p>
            <w:pPr>
              <w:keepLines/>
              <w:spacing w:after="0" w:line="252" w:lineRule="auto"/>
            </w:pPr>
            <w:r>
              <w:rPr>
                <w:rFonts w:ascii="Calibri" w:hAnsi="Calibri" w:eastAsia="Microsoft YaHei"/>
                <w:color w:val="0B2545"/>
                <w:sz w:val="14"/>
              </w:rPr>
              <w:t>Minerva 贝叶斯诊断建模与模型数据融合框架</w:t>
            </w:r>
          </w:p>
        </w:tc>
        <w:tc>
          <w:tcPr>
            <w:tcW w:type="dxa" w:w="800"/>
            <w:tcMar>
              <w:top w:w="45" w:type="dxa"/>
              <w:bottom w:w="45" w:type="dxa"/>
              <w:start w:w="100" w:type="dxa"/>
              <w:end w:w="100" w:type="dxa"/>
            </w:tcMar>
          </w:tcPr>
          <w:p>
            <w:pPr>
              <w:keepLines/>
              <w:spacing w:after="0" w:line="252" w:lineRule="auto"/>
            </w:pPr>
            <w:r>
              <w:rPr>
                <w:rFonts w:ascii="Calibri" w:hAnsi="Calibri" w:eastAsia="Microsoft YaHei"/>
                <w:color w:val="0B2545"/>
                <w:sz w:val="14"/>
              </w:rPr>
              <w:t>E3</w:t>
            </w:r>
          </w:p>
        </w:tc>
        <w:tc>
          <w:tcPr>
            <w:tcW w:type="dxa" w:w="2900"/>
            <w:tcMar>
              <w:top w:w="45" w:type="dxa"/>
              <w:bottom w:w="45" w:type="dxa"/>
              <w:start w:w="100" w:type="dxa"/>
              <w:end w:w="100" w:type="dxa"/>
            </w:tcMar>
          </w:tcPr>
          <w:p>
            <w:pPr>
              <w:keepLines/>
              <w:spacing w:after="0" w:line="252" w:lineRule="auto"/>
            </w:pPr>
            <w:r>
              <w:rPr>
                <w:rFonts w:ascii="Calibri" w:hAnsi="Calibri" w:eastAsia="Microsoft YaHei"/>
                <w:color w:val="0B2545"/>
                <w:sz w:val="14"/>
              </w:rPr>
              <w:t>JET；W7-X；MAST and framework applications</w:t>
            </w:r>
          </w:p>
        </w:tc>
      </w:tr>
      <w:tr>
        <w:trPr>
          <w:cantSplit/>
        </w:trPr>
        <w:tc>
          <w:tcPr>
            <w:tcW w:type="dxa" w:w="1000"/>
            <w:tcMar>
              <w:top w:w="45" w:type="dxa"/>
              <w:bottom w:w="45" w:type="dxa"/>
              <w:start w:w="100" w:type="dxa"/>
              <w:end w:w="100" w:type="dxa"/>
            </w:tcMar>
          </w:tcPr>
          <w:p>
            <w:pPr>
              <w:keepLines/>
              <w:spacing w:after="0" w:line="252" w:lineRule="auto"/>
            </w:pPr>
            <w:r>
              <w:rPr>
                <w:rFonts w:ascii="Calibri" w:hAnsi="Calibri" w:eastAsia="Microsoft YaHei"/>
                <w:color w:val="0B2545"/>
                <w:sz w:val="14"/>
              </w:rPr>
              <w:t>DSI-028</w:t>
            </w:r>
          </w:p>
        </w:tc>
        <w:tc>
          <w:tcPr>
            <w:tcW w:type="dxa" w:w="900"/>
            <w:tcMar>
              <w:top w:w="45" w:type="dxa"/>
              <w:bottom w:w="45" w:type="dxa"/>
              <w:start w:w="100" w:type="dxa"/>
              <w:end w:w="100" w:type="dxa"/>
            </w:tcMar>
          </w:tcPr>
          <w:p>
            <w:pPr>
              <w:keepLines/>
              <w:spacing w:after="0" w:line="252" w:lineRule="auto"/>
            </w:pPr>
            <w:r>
              <w:rPr>
                <w:rFonts w:ascii="Calibri" w:hAnsi="Calibri" w:eastAsia="Microsoft YaHei"/>
                <w:color w:val="0B2545"/>
                <w:sz w:val="14"/>
              </w:rPr>
              <w:t>DG10</w:t>
            </w:r>
          </w:p>
        </w:tc>
        <w:tc>
          <w:tcPr>
            <w:tcW w:type="dxa" w:w="3760"/>
            <w:tcMar>
              <w:top w:w="45" w:type="dxa"/>
              <w:bottom w:w="45" w:type="dxa"/>
              <w:start w:w="100" w:type="dxa"/>
              <w:end w:w="100" w:type="dxa"/>
            </w:tcMar>
          </w:tcPr>
          <w:p>
            <w:pPr>
              <w:keepLines/>
              <w:spacing w:after="0" w:line="252" w:lineRule="auto"/>
            </w:pPr>
            <w:r>
              <w:rPr>
                <w:rFonts w:ascii="Calibri" w:hAnsi="Calibri" w:eastAsia="Microsoft YaHei"/>
                <w:color w:val="0B2545"/>
                <w:sz w:val="14"/>
              </w:rPr>
              <w:t>BITE/Aurora 贝叶斯杂质输运与多谱线反演</w:t>
            </w:r>
          </w:p>
        </w:tc>
        <w:tc>
          <w:tcPr>
            <w:tcW w:type="dxa" w:w="800"/>
            <w:tcMar>
              <w:top w:w="45" w:type="dxa"/>
              <w:bottom w:w="45" w:type="dxa"/>
              <w:start w:w="100" w:type="dxa"/>
              <w:end w:w="100" w:type="dxa"/>
            </w:tcMar>
          </w:tcPr>
          <w:p>
            <w:pPr>
              <w:keepLines/>
              <w:spacing w:after="0" w:line="252" w:lineRule="auto"/>
            </w:pPr>
            <w:r>
              <w:rPr>
                <w:rFonts w:ascii="Calibri" w:hAnsi="Calibri" w:eastAsia="Microsoft YaHei"/>
                <w:color w:val="0B2545"/>
                <w:sz w:val="14"/>
              </w:rPr>
              <w:t>E3</w:t>
            </w:r>
          </w:p>
        </w:tc>
        <w:tc>
          <w:tcPr>
            <w:tcW w:type="dxa" w:w="2900"/>
            <w:tcMar>
              <w:top w:w="45" w:type="dxa"/>
              <w:bottom w:w="45" w:type="dxa"/>
              <w:start w:w="100" w:type="dxa"/>
              <w:end w:w="100" w:type="dxa"/>
            </w:tcMar>
          </w:tcPr>
          <w:p>
            <w:pPr>
              <w:keepLines/>
              <w:spacing w:after="0" w:line="252" w:lineRule="auto"/>
            </w:pPr>
            <w:r>
              <w:rPr>
                <w:rFonts w:ascii="Calibri" w:hAnsi="Calibri" w:eastAsia="Microsoft YaHei"/>
                <w:color w:val="0B2545"/>
                <w:sz w:val="14"/>
              </w:rPr>
              <w:t>Alcator C-Mod</w:t>
            </w:r>
          </w:p>
        </w:tc>
      </w:tr>
      <w:tr>
        <w:trPr>
          <w:cantSplit/>
        </w:trPr>
        <w:tc>
          <w:tcPr>
            <w:tcW w:type="dxa" w:w="1000"/>
            <w:tcMar>
              <w:top w:w="45" w:type="dxa"/>
              <w:bottom w:w="45" w:type="dxa"/>
              <w:start w:w="100" w:type="dxa"/>
              <w:end w:w="100" w:type="dxa"/>
            </w:tcMar>
          </w:tcPr>
          <w:p>
            <w:pPr>
              <w:keepLines/>
              <w:spacing w:after="0" w:line="252" w:lineRule="auto"/>
            </w:pPr>
            <w:r>
              <w:rPr>
                <w:rFonts w:ascii="Calibri" w:hAnsi="Calibri" w:eastAsia="Microsoft YaHei"/>
                <w:color w:val="0B2545"/>
                <w:sz w:val="14"/>
              </w:rPr>
              <w:t>DSI-029</w:t>
            </w:r>
          </w:p>
        </w:tc>
        <w:tc>
          <w:tcPr>
            <w:tcW w:type="dxa" w:w="900"/>
            <w:tcMar>
              <w:top w:w="45" w:type="dxa"/>
              <w:bottom w:w="45" w:type="dxa"/>
              <w:start w:w="100" w:type="dxa"/>
              <w:end w:w="100" w:type="dxa"/>
            </w:tcMar>
          </w:tcPr>
          <w:p>
            <w:pPr>
              <w:keepLines/>
              <w:spacing w:after="0" w:line="252" w:lineRule="auto"/>
            </w:pPr>
            <w:r>
              <w:rPr>
                <w:rFonts w:ascii="Calibri" w:hAnsi="Calibri" w:eastAsia="Microsoft YaHei"/>
                <w:color w:val="0B2545"/>
                <w:sz w:val="14"/>
              </w:rPr>
              <w:t>DG10</w:t>
            </w:r>
          </w:p>
        </w:tc>
        <w:tc>
          <w:tcPr>
            <w:tcW w:type="dxa" w:w="3760"/>
            <w:tcMar>
              <w:top w:w="45" w:type="dxa"/>
              <w:bottom w:w="45" w:type="dxa"/>
              <w:start w:w="100" w:type="dxa"/>
              <w:end w:w="100" w:type="dxa"/>
            </w:tcMar>
          </w:tcPr>
          <w:p>
            <w:pPr>
              <w:keepLines/>
              <w:spacing w:after="0" w:line="252" w:lineRule="auto"/>
            </w:pPr>
            <w:r>
              <w:rPr>
                <w:rFonts w:ascii="Calibri" w:hAnsi="Calibri" w:eastAsia="Microsoft YaHei"/>
                <w:color w:val="0B2545"/>
                <w:sz w:val="14"/>
              </w:rPr>
              <w:t>InDiCA 集成诊断分析框架</w:t>
            </w:r>
          </w:p>
        </w:tc>
        <w:tc>
          <w:tcPr>
            <w:tcW w:type="dxa" w:w="800"/>
            <w:tcMar>
              <w:top w:w="45" w:type="dxa"/>
              <w:bottom w:w="45" w:type="dxa"/>
              <w:start w:w="100" w:type="dxa"/>
              <w:end w:w="100" w:type="dxa"/>
            </w:tcMar>
          </w:tcPr>
          <w:p>
            <w:pPr>
              <w:keepLines/>
              <w:spacing w:after="0" w:line="252" w:lineRule="auto"/>
            </w:pPr>
            <w:r>
              <w:rPr>
                <w:rFonts w:ascii="Calibri" w:hAnsi="Calibri" w:eastAsia="Microsoft YaHei"/>
                <w:color w:val="0B2545"/>
                <w:sz w:val="14"/>
              </w:rPr>
              <w:t>E2</w:t>
            </w:r>
          </w:p>
        </w:tc>
        <w:tc>
          <w:tcPr>
            <w:tcW w:type="dxa" w:w="2900"/>
            <w:tcMar>
              <w:top w:w="45" w:type="dxa"/>
              <w:bottom w:w="45" w:type="dxa"/>
              <w:start w:w="100" w:type="dxa"/>
              <w:end w:w="100" w:type="dxa"/>
            </w:tcMar>
          </w:tcPr>
          <w:p>
            <w:pPr>
              <w:keepLines/>
              <w:spacing w:after="0" w:line="252" w:lineRule="auto"/>
            </w:pPr>
            <w:r>
              <w:rPr>
                <w:rFonts w:ascii="Calibri" w:hAnsi="Calibri" w:eastAsia="Microsoft YaHei"/>
                <w:color w:val="0B2545"/>
                <w:sz w:val="14"/>
              </w:rPr>
              <w:t>MAST Upgrade/UKAEA-oriented development；generic magnetic-confinement devices</w:t>
            </w:r>
          </w:p>
        </w:tc>
      </w:tr>
    </w:tbl>
    <w:p>
      <w:pPr>
        <w:keepNext/>
        <w:pageBreakBefore/>
        <w:spacing w:before="0" w:after="100"/>
      </w:pPr>
      <w:r>
        <w:rPr>
          <w:rFonts w:ascii="Calibri" w:hAnsi="Calibri" w:eastAsia="Microsoft YaHei"/>
          <w:b/>
          <w:caps/>
          <w:color w:val="008C95"/>
          <w:sz w:val="17"/>
        </w:rPr>
        <w:t>09 / DG4 / RADIATION, IMPURITIES &amp; POWER LOSS</w:t>
      </w:r>
    </w:p>
    <w:p>
      <w:pPr>
        <w:pStyle w:val="Heading1"/>
      </w:pPr>
      <w:r>
        <w:t>辐射、杂质与功率损失</w:t>
      </w:r>
    </w:p>
    <w:tbl>
      <w:tblPr>
        <w:tblStyle w:val="TableGrid"/>
        <w:tblW w:type="dxa" w:w="9360"/>
        <w:jc w:val="left"/>
        <w:tblLayout w:type="fixed"/>
        <w:tblLook w:firstColumn="1" w:firstRow="1" w:lastColumn="0" w:lastRow="0" w:noHBand="0" w:noVBand="1" w:val="04A0"/>
        <w:tblInd w:w="120" w:type="dxa"/>
      </w:tblPr>
      <w:tblGrid>
        <w:gridCol w:w="9360"/>
      </w:tblGrid>
      <w:tr>
        <w:trPr>
          <w:cantSplit/>
        </w:trPr>
        <w:tc>
          <w:tcPr>
            <w:tcW w:type="dxa" w:w="9360"/>
            <w:tcMar>
              <w:top w:w="80" w:type="dxa"/>
              <w:bottom w:w="80" w:type="dxa"/>
              <w:start w:w="120" w:type="dxa"/>
              <w:end w:w="120" w:type="dxa"/>
            </w:tcMar>
            <w:vAlign w:val="center"/>
            <w:shd w:fill="F2F4F7"/>
          </w:tcPr>
          <w:p>
            <w:pPr>
              <w:keepNext/>
              <w:keepLines/>
              <w:spacing w:after="40"/>
            </w:pPr>
            <w:r>
              <w:rPr>
                <w:rFonts w:ascii="Calibri" w:hAnsi="Calibri" w:eastAsia="Microsoft YaHei"/>
                <w:b/>
                <w:color w:val="008C95"/>
                <w:sz w:val="17"/>
              </w:rPr>
              <w:t>CHAPTER SCOPE</w:t>
            </w:r>
          </w:p>
          <w:p>
            <w:pPr>
              <w:spacing w:after="0"/>
            </w:pPr>
            <w:r>
              <w:rPr>
                <w:rFonts w:ascii="Calibri" w:hAnsi="Calibri" w:eastAsia="Microsoft YaHei"/>
                <w:color w:val="0B2545"/>
                <w:sz w:val="20"/>
              </w:rPr>
              <w:t>本章全文展开 4 项主工作，并列出 24 项跨域关联工作。关联工作只在其主任务章节全文展开，避免重复计数。</w:t>
            </w:r>
          </w:p>
        </w:tc>
      </w:tr>
    </w:tbl>
    <w:p>
      <w:pPr>
        <w:spacing w:after="40"/>
      </w:pPr>
    </w:p>
    <w:p>
      <w:pPr>
        <w:pStyle w:val="Heading3"/>
        <w:keepNext/>
      </w:pPr>
      <w:r>
        <w:t>DG4.01  测辐射热计：总辐射功率与功率平衡</w:t>
      </w:r>
    </w:p>
    <w:p>
      <w:pPr>
        <w:keepNext/>
        <w:spacing w:after="80"/>
      </w:pPr>
      <w:r>
        <w:rPr>
          <w:rFonts w:ascii="Calibri" w:hAnsi="Calibri" w:eastAsia="Microsoft YaHei"/>
          <w:i/>
          <w:color w:val="566573"/>
          <w:sz w:val="18"/>
        </w:rPr>
        <w:t>Bolometry for total radiated power and power balance</w:t>
      </w:r>
    </w:p>
    <w:tbl>
      <w:tblPr>
        <w:tblStyle w:val="TableGrid"/>
        <w:tblW w:type="dxa" w:w="9360"/>
        <w:jc w:val="left"/>
        <w:tblLayout w:type="fixed"/>
        <w:tblLook w:firstColumn="1" w:firstRow="1" w:lastColumn="0" w:lastRow="0" w:noHBand="0" w:noVBand="1" w:val="04A0"/>
        <w:tblInd w:w="120" w:type="dxa"/>
      </w:tblPr>
      <w:tblGrid>
        <w:gridCol w:w="1200"/>
        <w:gridCol w:w="750"/>
        <w:gridCol w:w="750"/>
        <w:gridCol w:w="2100"/>
        <w:gridCol w:w="4560"/>
      </w:tblGrid>
      <w:tr>
        <w:trPr>
          <w:tblHeader w:val="true"/>
        </w:trPr>
        <w:tc>
          <w:tcPr>
            <w:tcW w:type="dxa" w:w="12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工作 ID</w:t>
            </w:r>
          </w:p>
        </w:tc>
        <w:tc>
          <w:tcPr>
            <w:tcW w:type="dxa" w:w="7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证据</w:t>
            </w:r>
          </w:p>
        </w:tc>
        <w:tc>
          <w:tcPr>
            <w:tcW w:type="dxa" w:w="7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部署</w:t>
            </w:r>
          </w:p>
        </w:tc>
        <w:tc>
          <w:tcPr>
            <w:tcW w:type="dxa" w:w="21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技术族</w:t>
            </w:r>
          </w:p>
        </w:tc>
        <w:tc>
          <w:tcPr>
            <w:tcW w:type="dxa" w:w="456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装置</w:t>
            </w:r>
          </w:p>
        </w:tc>
      </w:tr>
      <w:tr>
        <w:trPr>
          <w:cantSplit/>
        </w:trPr>
        <w:tc>
          <w:tcPr>
            <w:tcW w:type="dxa" w:w="1200"/>
          </w:tcPr>
          <w:p>
            <w:pPr>
              <w:keepLines/>
              <w:spacing w:after="0" w:line="276" w:lineRule="auto"/>
            </w:pPr>
            <w:r>
              <w:rPr>
                <w:rFonts w:ascii="Calibri" w:hAnsi="Calibri" w:eastAsia="Microsoft YaHei"/>
                <w:color w:val="0B2545"/>
                <w:sz w:val="15"/>
              </w:rPr>
              <w:t>DG4-016</w:t>
            </w:r>
          </w:p>
        </w:tc>
        <w:tc>
          <w:tcPr>
            <w:tcW w:type="dxa" w:w="750"/>
          </w:tcPr>
          <w:p>
            <w:pPr>
              <w:keepLines/>
              <w:spacing w:after="0" w:line="276" w:lineRule="auto"/>
            </w:pPr>
            <w:r>
              <w:rPr>
                <w:rFonts w:ascii="Calibri" w:hAnsi="Calibri" w:eastAsia="Microsoft YaHei"/>
                <w:color w:val="0B2545"/>
                <w:sz w:val="15"/>
              </w:rPr>
              <w:t>E2</w:t>
            </w:r>
          </w:p>
        </w:tc>
        <w:tc>
          <w:tcPr>
            <w:tcW w:type="dxa" w:w="750"/>
          </w:tcPr>
          <w:p>
            <w:pPr>
              <w:keepLines/>
              <w:spacing w:after="0" w:line="276" w:lineRule="auto"/>
            </w:pPr>
            <w:r>
              <w:rPr>
                <w:rFonts w:ascii="Calibri" w:hAnsi="Calibri" w:eastAsia="Microsoft YaHei"/>
                <w:color w:val="0B2545"/>
                <w:sz w:val="15"/>
              </w:rPr>
              <w:t>D2</w:t>
            </w:r>
          </w:p>
        </w:tc>
        <w:tc>
          <w:tcPr>
            <w:tcW w:type="dxa" w:w="2100"/>
          </w:tcPr>
          <w:p>
            <w:pPr>
              <w:keepLines/>
              <w:spacing w:after="0" w:line="276" w:lineRule="auto"/>
            </w:pPr>
            <w:r>
              <w:rPr>
                <w:rFonts w:ascii="Calibri" w:hAnsi="Calibri" w:eastAsia="Microsoft YaHei"/>
                <w:color w:val="0B2545"/>
                <w:sz w:val="15"/>
              </w:rPr>
              <w:t>ENGINEERING_SENSOR</w:t>
            </w:r>
          </w:p>
        </w:tc>
        <w:tc>
          <w:tcPr>
            <w:tcW w:type="dxa" w:w="4560"/>
          </w:tcPr>
          <w:p>
            <w:pPr>
              <w:keepLines/>
              <w:spacing w:after="0" w:line="276" w:lineRule="auto"/>
            </w:pPr>
            <w:r>
              <w:rPr>
                <w:rFonts w:ascii="Calibri" w:hAnsi="Calibri" w:eastAsia="Microsoft YaHei"/>
                <w:color w:val="0B2545"/>
                <w:sz w:val="15"/>
              </w:rPr>
              <w:t>ITER；JET；ASDEX Upgrade；EAST</w:t>
            </w:r>
          </w:p>
        </w:tc>
      </w:tr>
    </w:tbl>
    <w:p>
      <w:pPr>
        <w:spacing w:before="0" w:after="60"/>
      </w:pPr>
    </w:p>
    <w:p>
      <w:pPr>
        <w:widowControl/>
      </w:pPr>
      <w:r>
        <w:rPr>
          <w:rFonts w:ascii="Calibri" w:hAnsi="Calibri" w:eastAsia="Microsoft YaHei"/>
          <w:b/>
          <w:color w:val="1F4D78"/>
        </w:rPr>
        <w:t>解决问题：</w:t>
      </w:r>
      <w:r>
        <w:rPr>
          <w:rFonts w:ascii="Calibri" w:hAnsi="Calibri" w:eastAsia="Microsoft YaHei"/>
        </w:rPr>
        <w:t>宽带测量总辐射与二维发射率，支撑功率平衡和辐射塌缩预警。</w:t>
      </w:r>
    </w:p>
    <w:p>
      <w:pPr>
        <w:widowControl/>
      </w:pPr>
      <w:r>
        <w:rPr>
          <w:rFonts w:ascii="Calibri" w:hAnsi="Calibri" w:eastAsia="Microsoft YaHei"/>
          <w:b/>
          <w:color w:val="1F4D78"/>
        </w:rPr>
        <w:t>测量原理：</w:t>
      </w:r>
      <w:r>
        <w:rPr>
          <w:rFonts w:ascii="Calibri" w:hAnsi="Calibri" w:eastAsia="Microsoft YaHei"/>
        </w:rPr>
        <w:t>吸收膜把光功率转为温升；电阻桥或红外读出经热模型反卷积为视线积分功率。</w:t>
      </w:r>
    </w:p>
    <w:p>
      <w:pPr>
        <w:widowControl/>
      </w:pPr>
      <w:r>
        <w:rPr>
          <w:rFonts w:ascii="Calibri" w:hAnsi="Calibri" w:eastAsia="Microsoft YaHei"/>
          <w:b/>
          <w:color w:val="1F4D78"/>
        </w:rPr>
        <w:t>测量产品：</w:t>
      </w:r>
      <w:r>
        <w:rPr>
          <w:rFonts w:ascii="Calibri" w:hAnsi="Calibri" w:eastAsia="Microsoft YaHei"/>
        </w:rPr>
        <w:t>line-integrated radiation；total radiated power；2-D emissivity</w:t>
      </w:r>
    </w:p>
    <w:p>
      <w:pPr>
        <w:widowControl/>
      </w:pPr>
      <w:r>
        <w:rPr>
          <w:rFonts w:ascii="Calibri" w:hAnsi="Calibri" w:eastAsia="Microsoft YaHei"/>
          <w:b/>
          <w:color w:val="1F4D78"/>
        </w:rPr>
        <w:t>时空分辨与覆盖：</w:t>
      </w:r>
      <w:r>
        <w:rPr>
          <w:rFonts w:ascii="Calibri" w:hAnsi="Calibri" w:eastAsia="Microsoft YaHei"/>
        </w:rPr>
        <w:t>时间：因装置、采集和分析链而异；原始来源未给出统一数值。；空间：由视线、几何和反演设定；原始来源未给出统一数值。</w:t>
      </w:r>
    </w:p>
    <w:p>
      <w:pPr>
        <w:widowControl/>
      </w:pPr>
      <w:r>
        <w:rPr>
          <w:rFonts w:ascii="Calibri" w:hAnsi="Calibri" w:eastAsia="Microsoft YaHei"/>
          <w:b/>
          <w:color w:val="1F4D78"/>
        </w:rPr>
        <w:t>仪器与传感器：</w:t>
      </w:r>
      <w:r>
        <w:rPr>
          <w:rFonts w:ascii="Calibri" w:hAnsi="Calibri" w:eastAsia="Microsoft YaHei"/>
        </w:rPr>
        <w:t>resistive bolometers；metal-foil IR bolometers；collimators；bridge electronics；calibration heaters</w:t>
      </w:r>
    </w:p>
    <w:p>
      <w:pPr>
        <w:widowControl/>
      </w:pPr>
      <w:r>
        <w:rPr>
          <w:rFonts w:ascii="Calibri" w:hAnsi="Calibri" w:eastAsia="Microsoft YaHei"/>
          <w:b/>
          <w:color w:val="1F4D78"/>
        </w:rPr>
        <w:t>标定与质量：</w:t>
      </w:r>
      <w:r>
        <w:rPr>
          <w:rFonts w:ascii="Calibri" w:hAnsi="Calibri" w:eastAsia="Microsoft YaHei"/>
        </w:rPr>
        <w:t>电加热/光源标定吸收率、热容、热导和时间常数；辐照后复核灵敏度。</w:t>
      </w:r>
    </w:p>
    <w:p>
      <w:pPr>
        <w:widowControl/>
      </w:pPr>
      <w:r>
        <w:rPr>
          <w:rFonts w:ascii="Calibri" w:hAnsi="Calibri" w:eastAsia="Microsoft YaHei"/>
          <w:b/>
          <w:color w:val="1F4D78"/>
        </w:rPr>
        <w:t>反演与分析：</w:t>
      </w:r>
      <w:r>
        <w:rPr>
          <w:rFonts w:ascii="Calibri" w:hAnsi="Calibri" w:eastAsia="Microsoft YaHei"/>
        </w:rPr>
        <w:t>热反卷积后做Abel/正则化层析；总功率积分传播视线盲区与协方差。</w:t>
      </w:r>
    </w:p>
    <w:p>
      <w:pPr>
        <w:widowControl/>
      </w:pPr>
      <w:r>
        <w:rPr>
          <w:rFonts w:ascii="Calibri" w:hAnsi="Calibri" w:eastAsia="Microsoft YaHei"/>
          <w:b/>
          <w:color w:val="1F4D78"/>
        </w:rPr>
        <w:t>验证与应用：</w:t>
      </w:r>
      <w:r>
        <w:rPr>
          <w:rFonts w:ascii="Calibri" w:hAnsi="Calibri" w:eastAsia="Microsoft YaHei"/>
        </w:rPr>
        <w:t>直接来源覆盖 ITER 测辐射热计性能估计、跨聚变实验的测量性能评估方法及 ITER 功率平衡需求；未证明该具体链条已例行在线部署。</w:t>
      </w:r>
    </w:p>
    <w:p>
      <w:pPr>
        <w:widowControl/>
      </w:pPr>
      <w:r>
        <w:rPr>
          <w:rFonts w:ascii="Calibri" w:hAnsi="Calibri" w:eastAsia="Microsoft YaHei"/>
          <w:b/>
          <w:color w:val="1F4D78"/>
        </w:rPr>
        <w:t>局限与边界：</w:t>
      </w:r>
      <w:r>
        <w:rPr>
          <w:rFonts w:ascii="Calibri" w:hAnsi="Calibri" w:eastAsia="Microsoft YaHei"/>
        </w:rPr>
        <w:t>响应较慢；吸收膜老化、辐照漂移、漏电和有限视线限制局部尖峰恢复。</w:t>
      </w:r>
    </w:p>
    <w:tbl>
      <w:tblPr>
        <w:tblStyle w:val="TableGrid"/>
        <w:tblW w:type="dxa" w:w="9360"/>
        <w:jc w:val="left"/>
        <w:tblLayout w:type="fixed"/>
        <w:tblLook w:firstColumn="1" w:firstRow="1" w:lastColumn="0" w:lastRow="0" w:noHBand="0" w:noVBand="1" w:val="04A0"/>
        <w:tblInd w:w="120" w:type="dxa"/>
      </w:tblPr>
      <w:tblGrid>
        <w:gridCol w:w="9360"/>
      </w:tblGrid>
      <w:tr>
        <w:trPr>
          <w:cantSplit/>
        </w:trPr>
        <w:tc>
          <w:tcPr>
            <w:tcW w:type="dxa" w:w="9360"/>
            <w:tcMar>
              <w:top w:w="80" w:type="dxa"/>
              <w:bottom w:w="80" w:type="dxa"/>
              <w:start w:w="120" w:type="dxa"/>
              <w:end w:w="120" w:type="dxa"/>
            </w:tcMar>
            <w:vAlign w:val="center"/>
            <w:shd w:fill="EEF7F7"/>
          </w:tcPr>
          <w:p>
            <w:pPr>
              <w:keepNext/>
              <w:keepLines/>
              <w:spacing w:after="40"/>
            </w:pPr>
            <w:r>
              <w:rPr>
                <w:rFonts w:ascii="Calibri" w:hAnsi="Calibri" w:eastAsia="Microsoft YaHei"/>
                <w:b/>
                <w:color w:val="008C95"/>
                <w:sz w:val="17"/>
              </w:rPr>
              <w:t>DIGITAL-TWIN RELEVANCE</w:t>
            </w:r>
          </w:p>
          <w:p>
            <w:pPr>
              <w:spacing w:after="0"/>
            </w:pPr>
            <w:r>
              <w:rPr>
                <w:rFonts w:ascii="Calibri" w:hAnsi="Calibri" w:eastAsia="Microsoft YaHei"/>
                <w:color w:val="0B2545"/>
                <w:sz w:val="20"/>
              </w:rPr>
              <w:t>电厂功率孪生核心；需版本化热模型、层析先验和通道健康。</w:t>
            </w:r>
          </w:p>
        </w:tc>
      </w:tr>
    </w:tbl>
    <w:p>
      <w:pPr>
        <w:spacing w:after="40"/>
      </w:pPr>
    </w:p>
    <w:tbl>
      <w:tblPr>
        <w:tblStyle w:val="TableGrid"/>
        <w:tblW w:type="dxa" w:w="9360"/>
        <w:jc w:val="left"/>
        <w:tblLayout w:type="fixed"/>
        <w:tblLook w:firstColumn="1" w:firstRow="1" w:lastColumn="0" w:lastRow="0" w:noHBand="0" w:noVBand="1" w:val="04A0"/>
        <w:tblInd w:w="120" w:type="dxa"/>
      </w:tblPr>
      <w:tblGrid>
        <w:gridCol w:w="850"/>
        <w:gridCol w:w="2500"/>
        <w:gridCol w:w="1600"/>
        <w:gridCol w:w="2300"/>
        <w:gridCol w:w="2110"/>
      </w:tblGrid>
      <w:tr>
        <w:trPr>
          <w:tblHeader w:val="true"/>
        </w:trPr>
        <w:tc>
          <w:tcPr>
            <w:tcW w:type="dxa" w:w="8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年份/类型</w:t>
            </w:r>
          </w:p>
        </w:tc>
        <w:tc>
          <w:tcPr>
            <w:tcW w:type="dxa" w:w="25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论文或软件</w:t>
            </w:r>
          </w:p>
        </w:tc>
        <w:tc>
          <w:tcPr>
            <w:tcW w:type="dxa" w:w="16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期刊/开放性</w:t>
            </w:r>
          </w:p>
        </w:tc>
        <w:tc>
          <w:tcPr>
            <w:tcW w:type="dxa" w:w="23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来源类型/关系</w:t>
            </w:r>
          </w:p>
        </w:tc>
        <w:tc>
          <w:tcPr>
            <w:tcW w:type="dxa" w:w="211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链接</w:t>
            </w:r>
          </w:p>
        </w:tc>
      </w:tr>
      <w:tr>
        <w:trPr>
          <w:cantSplit/>
        </w:trPr>
        <w:tc>
          <w:tcPr>
            <w:tcW w:type="dxa" w:w="850"/>
          </w:tcPr>
          <w:p>
            <w:pPr>
              <w:keepLines/>
              <w:spacing w:after="0" w:line="276" w:lineRule="auto"/>
            </w:pPr>
            <w:r>
              <w:rPr>
                <w:rFonts w:ascii="Calibri" w:hAnsi="Calibri" w:eastAsia="Microsoft YaHei"/>
                <w:color w:val="0B2545"/>
                <w:sz w:val="14"/>
              </w:rPr>
              <w:t>2019</w:t>
            </w:r>
          </w:p>
        </w:tc>
        <w:tc>
          <w:tcPr>
            <w:tcW w:type="dxa" w:w="2500"/>
          </w:tcPr>
          <w:p>
            <w:pPr>
              <w:keepLines/>
              <w:spacing w:after="0" w:line="276" w:lineRule="auto"/>
            </w:pPr>
            <w:r>
              <w:rPr>
                <w:rFonts w:ascii="Calibri" w:hAnsi="Calibri" w:eastAsia="Microsoft YaHei"/>
                <w:color w:val="0B2545"/>
                <w:sz w:val="14"/>
              </w:rPr>
              <w:t>Performance estimations for the ITER bolometer diagnostic</w:t>
            </w:r>
          </w:p>
        </w:tc>
        <w:tc>
          <w:tcPr>
            <w:tcW w:type="dxa" w:w="1600"/>
          </w:tcPr>
          <w:p>
            <w:pPr>
              <w:keepLines/>
              <w:spacing w:after="0" w:line="276" w:lineRule="auto"/>
            </w:pPr>
            <w:r>
              <w:rPr>
                <w:rFonts w:ascii="Calibri" w:hAnsi="Calibri" w:eastAsia="Microsoft YaHei"/>
                <w:color w:val="0B2545"/>
                <w:sz w:val="14"/>
              </w:rPr>
              <w:t>Fusion Engineering and Design</w:t>
            </w:r>
          </w:p>
        </w:tc>
        <w:tc>
          <w:tcPr>
            <w:tcW w:type="dxa" w:w="2300"/>
          </w:tcPr>
          <w:p>
            <w:pPr>
              <w:keepLines/>
              <w:spacing w:after="0" w:line="276" w:lineRule="auto"/>
            </w:pPr>
            <w:r>
              <w:rPr>
                <w:rFonts w:ascii="Calibri" w:hAnsi="Calibri" w:eastAsia="Microsoft YaHei"/>
                <w:color w:val="0B2545"/>
                <w:sz w:val="14"/>
              </w:rPr>
              <w:t>peer-reviewed-journal</w:t>
            </w:r>
          </w:p>
        </w:tc>
        <w:tc>
          <w:tcPr>
            <w:tcW w:type="dxa" w:w="2110"/>
          </w:tcPr>
          <w:p>
            <w:pPr>
              <w:keepLines/>
              <w:spacing w:after="0" w:line="276" w:lineRule="auto"/>
            </w:pPr>
            <w:hyperlink r:id="rId72">
              <w:r>
                <w:rPr>
                  <w:rFonts w:ascii="Calibri" w:hAnsi="Calibri" w:eastAsia="Microsoft YaHei"/>
                  <w:color w:val="008C95"/>
                  <w:u w:val="single"/>
                </w:rPr>
                <w:t>打开原始来源 ↗</w:t>
              </w:r>
            </w:hyperlink>
          </w:p>
        </w:tc>
      </w:tr>
      <w:tr>
        <w:trPr>
          <w:cantSplit/>
        </w:trPr>
        <w:tc>
          <w:tcPr>
            <w:tcW w:type="dxa" w:w="850"/>
          </w:tcPr>
          <w:p>
            <w:pPr>
              <w:keepLines/>
              <w:spacing w:after="0" w:line="276" w:lineRule="auto"/>
            </w:pPr>
            <w:r>
              <w:rPr>
                <w:rFonts w:ascii="Calibri" w:hAnsi="Calibri" w:eastAsia="Microsoft YaHei"/>
                <w:color w:val="0B2545"/>
                <w:sz w:val="14"/>
              </w:rPr>
              <w:t>2024</w:t>
            </w:r>
          </w:p>
        </w:tc>
        <w:tc>
          <w:tcPr>
            <w:tcW w:type="dxa" w:w="2500"/>
          </w:tcPr>
          <w:p>
            <w:pPr>
              <w:keepLines/>
              <w:spacing w:after="0" w:line="276" w:lineRule="auto"/>
            </w:pPr>
            <w:r>
              <w:rPr>
                <w:rFonts w:ascii="Calibri" w:hAnsi="Calibri" w:eastAsia="Microsoft YaHei"/>
                <w:color w:val="0B2545"/>
                <w:sz w:val="14"/>
              </w:rPr>
              <w:t>Generic approach to assess the measuring performance of total-radiated power quantities by multi-channel resistive bolometer diagnostics on fusion experiments</w:t>
            </w:r>
          </w:p>
        </w:tc>
        <w:tc>
          <w:tcPr>
            <w:tcW w:type="dxa" w:w="1600"/>
          </w:tcPr>
          <w:p>
            <w:pPr>
              <w:keepLines/>
              <w:spacing w:after="0" w:line="276" w:lineRule="auto"/>
            </w:pPr>
            <w:r>
              <w:rPr>
                <w:rFonts w:ascii="Calibri" w:hAnsi="Calibri" w:eastAsia="Microsoft YaHei"/>
                <w:color w:val="0B2545"/>
                <w:sz w:val="14"/>
              </w:rPr>
              <w:t>Review of Scientific Instruments</w:t>
            </w:r>
          </w:p>
        </w:tc>
        <w:tc>
          <w:tcPr>
            <w:tcW w:type="dxa" w:w="2300"/>
          </w:tcPr>
          <w:p>
            <w:pPr>
              <w:keepLines/>
              <w:spacing w:after="0" w:line="276" w:lineRule="auto"/>
            </w:pPr>
            <w:r>
              <w:rPr>
                <w:rFonts w:ascii="Calibri" w:hAnsi="Calibri" w:eastAsia="Microsoft YaHei"/>
                <w:color w:val="0B2545"/>
                <w:sz w:val="14"/>
              </w:rPr>
              <w:t>peer-reviewed-journal</w:t>
            </w:r>
          </w:p>
        </w:tc>
        <w:tc>
          <w:tcPr>
            <w:tcW w:type="dxa" w:w="2110"/>
          </w:tcPr>
          <w:p>
            <w:pPr>
              <w:keepLines/>
              <w:spacing w:after="0" w:line="276" w:lineRule="auto"/>
            </w:pPr>
            <w:hyperlink r:id="rId73">
              <w:r>
                <w:rPr>
                  <w:rFonts w:ascii="Calibri" w:hAnsi="Calibri" w:eastAsia="Microsoft YaHei"/>
                  <w:color w:val="008C95"/>
                  <w:u w:val="single"/>
                </w:rPr>
                <w:t>打开原始来源 ↗</w:t>
              </w:r>
            </w:hyperlink>
          </w:p>
        </w:tc>
      </w:tr>
      <w:tr>
        <w:trPr>
          <w:cantSplit/>
        </w:trPr>
        <w:tc>
          <w:tcPr>
            <w:tcW w:type="dxa" w:w="850"/>
          </w:tcPr>
          <w:p>
            <w:pPr>
              <w:keepLines/>
              <w:spacing w:after="0" w:line="276" w:lineRule="auto"/>
            </w:pPr>
            <w:r>
              <w:rPr>
                <w:rFonts w:ascii="Calibri" w:hAnsi="Calibri" w:eastAsia="Microsoft YaHei"/>
                <w:color w:val="0B2545"/>
                <w:sz w:val="14"/>
              </w:rPr>
              <w:t>2024</w:t>
            </w:r>
          </w:p>
        </w:tc>
        <w:tc>
          <w:tcPr>
            <w:tcW w:type="dxa" w:w="2500"/>
          </w:tcPr>
          <w:p>
            <w:pPr>
              <w:keepLines/>
              <w:spacing w:after="0" w:line="276" w:lineRule="auto"/>
            </w:pPr>
            <w:r>
              <w:rPr>
                <w:rFonts w:ascii="Calibri" w:hAnsi="Calibri" w:eastAsia="Microsoft YaHei"/>
                <w:color w:val="0B2545"/>
                <w:sz w:val="14"/>
              </w:rPr>
              <w:t>Diagnostics: maintaining the power balance</w:t>
            </w:r>
          </w:p>
        </w:tc>
        <w:tc>
          <w:tcPr>
            <w:tcW w:type="dxa" w:w="1600"/>
          </w:tcPr>
          <w:p>
            <w:pPr>
              <w:keepLines/>
              <w:spacing w:after="0" w:line="276" w:lineRule="auto"/>
            </w:pPr>
            <w:r>
              <w:rPr>
                <w:rFonts w:ascii="Calibri" w:hAnsi="Calibri" w:eastAsia="Microsoft YaHei"/>
                <w:color w:val="0B2545"/>
                <w:sz w:val="14"/>
              </w:rPr>
              <w:t>ITER official website</w:t>
            </w:r>
          </w:p>
        </w:tc>
        <w:tc>
          <w:tcPr>
            <w:tcW w:type="dxa" w:w="2300"/>
          </w:tcPr>
          <w:p>
            <w:pPr>
              <w:keepLines/>
              <w:spacing w:after="0" w:line="276" w:lineRule="auto"/>
            </w:pPr>
            <w:r>
              <w:rPr>
                <w:rFonts w:ascii="Calibri" w:hAnsi="Calibri" w:eastAsia="Microsoft YaHei"/>
                <w:color w:val="0B2545"/>
                <w:sz w:val="14"/>
              </w:rPr>
              <w:t>official-facility-page</w:t>
            </w:r>
          </w:p>
        </w:tc>
        <w:tc>
          <w:tcPr>
            <w:tcW w:type="dxa" w:w="2110"/>
          </w:tcPr>
          <w:p>
            <w:pPr>
              <w:keepLines/>
              <w:spacing w:after="0" w:line="276" w:lineRule="auto"/>
            </w:pPr>
            <w:hyperlink r:id="rId74">
              <w:r>
                <w:rPr>
                  <w:rFonts w:ascii="Calibri" w:hAnsi="Calibri" w:eastAsia="Microsoft YaHei"/>
                  <w:color w:val="008C95"/>
                  <w:u w:val="single"/>
                </w:rPr>
                <w:t>打开原始来源 ↗</w:t>
              </w:r>
            </w:hyperlink>
          </w:p>
        </w:tc>
      </w:tr>
      <w:tr>
        <w:trPr>
          <w:cantSplit/>
        </w:trPr>
        <w:tc>
          <w:tcPr>
            <w:tcW w:type="dxa" w:w="850"/>
          </w:tcPr>
          <w:p>
            <w:pPr>
              <w:keepLines/>
              <w:spacing w:after="0" w:line="276" w:lineRule="auto"/>
            </w:pPr>
            <w:r>
              <w:rPr>
                <w:rFonts w:ascii="Calibri" w:hAnsi="Calibri" w:eastAsia="Microsoft YaHei"/>
                <w:color w:val="0B2545"/>
                <w:sz w:val="14"/>
              </w:rPr>
              <w:t>软件</w:t>
            </w:r>
          </w:p>
        </w:tc>
        <w:tc>
          <w:tcPr>
            <w:tcW w:type="dxa" w:w="2500"/>
          </w:tcPr>
          <w:p>
            <w:pPr>
              <w:keepLines/>
              <w:spacing w:after="0" w:line="276" w:lineRule="auto"/>
            </w:pPr>
            <w:r>
              <w:rPr>
                <w:rFonts w:ascii="Calibri" w:hAnsi="Calibri" w:eastAsia="Microsoft YaHei"/>
                <w:color w:val="0B2545"/>
                <w:sz w:val="14"/>
              </w:rPr>
              <w:t>Cherab</w:t>
            </w:r>
          </w:p>
        </w:tc>
        <w:tc>
          <w:tcPr>
            <w:tcW w:type="dxa" w:w="1600"/>
          </w:tcPr>
          <w:p>
            <w:pPr>
              <w:keepLines/>
              <w:spacing w:after="0" w:line="276" w:lineRule="auto"/>
            </w:pPr>
            <w:r>
              <w:rPr>
                <w:rFonts w:ascii="Calibri" w:hAnsi="Calibri" w:eastAsia="Microsoft YaHei"/>
                <w:color w:val="0B2545"/>
                <w:sz w:val="14"/>
              </w:rPr>
              <w:t>official-enabling</w:t>
            </w:r>
          </w:p>
        </w:tc>
        <w:tc>
          <w:tcPr>
            <w:tcW w:type="dxa" w:w="2300"/>
          </w:tcPr>
          <w:p>
            <w:pPr>
              <w:keepLines/>
              <w:spacing w:after="0" w:line="276" w:lineRule="auto"/>
            </w:pPr>
            <w:r>
              <w:rPr>
                <w:rFonts w:ascii="Calibri" w:hAnsi="Calibri" w:eastAsia="Microsoft YaHei"/>
                <w:color w:val="0B2545"/>
                <w:sz w:val="14"/>
              </w:rPr>
              <w:t>视线/辐射合成观测。</w:t>
            </w:r>
          </w:p>
        </w:tc>
        <w:tc>
          <w:tcPr>
            <w:tcW w:type="dxa" w:w="2110"/>
          </w:tcPr>
          <w:p>
            <w:pPr>
              <w:keepLines/>
              <w:spacing w:after="0" w:line="276" w:lineRule="auto"/>
            </w:pPr>
            <w:hyperlink r:id="rId75">
              <w:r>
                <w:rPr>
                  <w:rFonts w:ascii="Calibri" w:hAnsi="Calibri" w:eastAsia="Microsoft YaHei"/>
                  <w:color w:val="008C95"/>
                  <w:u w:val="single"/>
                </w:rPr>
                <w:t>打开原始来源 ↗</w:t>
              </w:r>
            </w:hyperlink>
          </w:p>
        </w:tc>
      </w:tr>
      <w:tr>
        <w:trPr>
          <w:cantSplit/>
        </w:trPr>
        <w:tc>
          <w:tcPr>
            <w:tcW w:type="dxa" w:w="850"/>
          </w:tcPr>
          <w:p>
            <w:pPr>
              <w:keepLines/>
              <w:spacing w:after="0" w:line="276" w:lineRule="auto"/>
            </w:pPr>
            <w:r>
              <w:rPr>
                <w:rFonts w:ascii="Calibri" w:hAnsi="Calibri" w:eastAsia="Microsoft YaHei"/>
                <w:color w:val="0B2545"/>
                <w:sz w:val="14"/>
              </w:rPr>
              <w:t>软件</w:t>
            </w:r>
          </w:p>
        </w:tc>
        <w:tc>
          <w:tcPr>
            <w:tcW w:type="dxa" w:w="2500"/>
          </w:tcPr>
          <w:p>
            <w:pPr>
              <w:keepLines/>
              <w:spacing w:after="0" w:line="276" w:lineRule="auto"/>
            </w:pPr>
            <w:r>
              <w:rPr>
                <w:rFonts w:ascii="Calibri" w:hAnsi="Calibri" w:eastAsia="Microsoft YaHei"/>
                <w:color w:val="0B2545"/>
                <w:sz w:val="14"/>
              </w:rPr>
              <w:t>装置专有分析/标定软件</w:t>
            </w:r>
          </w:p>
        </w:tc>
        <w:tc>
          <w:tcPr>
            <w:tcW w:type="dxa" w:w="1600"/>
          </w:tcPr>
          <w:p>
            <w:pPr>
              <w:keepLines/>
              <w:spacing w:after="0" w:line="276" w:lineRule="auto"/>
            </w:pPr>
            <w:r>
              <w:rPr>
                <w:rFonts w:ascii="Calibri" w:hAnsi="Calibri" w:eastAsia="Microsoft YaHei"/>
                <w:color w:val="0B2545"/>
                <w:sz w:val="14"/>
              </w:rPr>
              <w:t>not-public</w:t>
            </w:r>
          </w:p>
        </w:tc>
        <w:tc>
          <w:tcPr>
            <w:tcW w:type="dxa" w:w="2300"/>
          </w:tcPr>
          <w:p>
            <w:pPr>
              <w:keepLines/>
              <w:spacing w:after="0" w:line="276" w:lineRule="auto"/>
            </w:pPr>
            <w:r>
              <w:rPr>
                <w:rFonts w:ascii="Calibri" w:hAnsi="Calibri" w:eastAsia="Microsoft YaHei"/>
                <w:color w:val="0B2545"/>
                <w:sz w:val="14"/>
              </w:rPr>
              <w:t>实时层析和健康管理代码未公开。</w:t>
            </w:r>
          </w:p>
        </w:tc>
        <w:tc>
          <w:tcPr>
            <w:tcW w:type="dxa" w:w="2110"/>
          </w:tcPr>
          <w:p>
            <w:pPr>
              <w:keepLines/>
              <w:spacing w:after="0" w:line="276" w:lineRule="auto"/>
            </w:pPr>
            <w:r>
              <w:rPr>
                <w:rFonts w:ascii="Calibri" w:hAnsi="Calibri" w:eastAsia="Microsoft YaHei"/>
                <w:color w:val="0B2545"/>
                <w:sz w:val="14"/>
              </w:rPr>
              <w:t>未公开</w:t>
            </w:r>
          </w:p>
        </w:tc>
      </w:tr>
    </w:tbl>
    <w:p>
      <w:pPr>
        <w:spacing w:before="0" w:after="60"/>
      </w:pPr>
    </w:p>
    <w:p>
      <w:pPr>
        <w:pStyle w:val="Heading3"/>
        <w:keepNext/>
      </w:pPr>
      <w:r>
        <w:t>DG4.02  软X射线阵列与快速层析</w:t>
      </w:r>
    </w:p>
    <w:p>
      <w:pPr>
        <w:keepNext/>
        <w:spacing w:after="80"/>
      </w:pPr>
      <w:r>
        <w:rPr>
          <w:rFonts w:ascii="Calibri" w:hAnsi="Calibri" w:eastAsia="Microsoft YaHei"/>
          <w:i/>
          <w:color w:val="566573"/>
          <w:sz w:val="18"/>
        </w:rPr>
        <w:t>Soft-x-ray arrays and fast tomography</w:t>
      </w:r>
    </w:p>
    <w:tbl>
      <w:tblPr>
        <w:tblStyle w:val="TableGrid"/>
        <w:tblW w:type="dxa" w:w="9360"/>
        <w:jc w:val="left"/>
        <w:tblLayout w:type="fixed"/>
        <w:tblLook w:firstColumn="1" w:firstRow="1" w:lastColumn="0" w:lastRow="0" w:noHBand="0" w:noVBand="1" w:val="04A0"/>
        <w:tblInd w:w="120" w:type="dxa"/>
      </w:tblPr>
      <w:tblGrid>
        <w:gridCol w:w="1200"/>
        <w:gridCol w:w="750"/>
        <w:gridCol w:w="750"/>
        <w:gridCol w:w="2100"/>
        <w:gridCol w:w="4560"/>
      </w:tblGrid>
      <w:tr>
        <w:trPr>
          <w:tblHeader w:val="true"/>
        </w:trPr>
        <w:tc>
          <w:tcPr>
            <w:tcW w:type="dxa" w:w="12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工作 ID</w:t>
            </w:r>
          </w:p>
        </w:tc>
        <w:tc>
          <w:tcPr>
            <w:tcW w:type="dxa" w:w="7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证据</w:t>
            </w:r>
          </w:p>
        </w:tc>
        <w:tc>
          <w:tcPr>
            <w:tcW w:type="dxa" w:w="7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部署</w:t>
            </w:r>
          </w:p>
        </w:tc>
        <w:tc>
          <w:tcPr>
            <w:tcW w:type="dxa" w:w="21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技术族</w:t>
            </w:r>
          </w:p>
        </w:tc>
        <w:tc>
          <w:tcPr>
            <w:tcW w:type="dxa" w:w="456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装置</w:t>
            </w:r>
          </w:p>
        </w:tc>
      </w:tr>
      <w:tr>
        <w:trPr>
          <w:cantSplit/>
        </w:trPr>
        <w:tc>
          <w:tcPr>
            <w:tcW w:type="dxa" w:w="1200"/>
          </w:tcPr>
          <w:p>
            <w:pPr>
              <w:keepLines/>
              <w:spacing w:after="0" w:line="276" w:lineRule="auto"/>
            </w:pPr>
            <w:r>
              <w:rPr>
                <w:rFonts w:ascii="Calibri" w:hAnsi="Calibri" w:eastAsia="Microsoft YaHei"/>
                <w:color w:val="0B2545"/>
                <w:sz w:val="15"/>
              </w:rPr>
              <w:t>DG4-017</w:t>
            </w:r>
          </w:p>
        </w:tc>
        <w:tc>
          <w:tcPr>
            <w:tcW w:type="dxa" w:w="750"/>
          </w:tcPr>
          <w:p>
            <w:pPr>
              <w:keepLines/>
              <w:spacing w:after="0" w:line="276" w:lineRule="auto"/>
            </w:pPr>
            <w:r>
              <w:rPr>
                <w:rFonts w:ascii="Calibri" w:hAnsi="Calibri" w:eastAsia="Microsoft YaHei"/>
                <w:color w:val="0B2545"/>
                <w:sz w:val="15"/>
              </w:rPr>
              <w:t>E4</w:t>
            </w:r>
          </w:p>
        </w:tc>
        <w:tc>
          <w:tcPr>
            <w:tcW w:type="dxa" w:w="750"/>
          </w:tcPr>
          <w:p>
            <w:pPr>
              <w:keepLines/>
              <w:spacing w:after="0" w:line="276" w:lineRule="auto"/>
            </w:pPr>
            <w:r>
              <w:rPr>
                <w:rFonts w:ascii="Calibri" w:hAnsi="Calibri" w:eastAsia="Microsoft YaHei"/>
                <w:color w:val="0B2545"/>
                <w:sz w:val="15"/>
              </w:rPr>
              <w:t>D4</w:t>
            </w:r>
          </w:p>
        </w:tc>
        <w:tc>
          <w:tcPr>
            <w:tcW w:type="dxa" w:w="2100"/>
          </w:tcPr>
          <w:p>
            <w:pPr>
              <w:keepLines/>
              <w:spacing w:after="0" w:line="276" w:lineRule="auto"/>
            </w:pPr>
            <w:r>
              <w:rPr>
                <w:rFonts w:ascii="Calibri" w:hAnsi="Calibri" w:eastAsia="Microsoft YaHei"/>
                <w:color w:val="0B2545"/>
                <w:sz w:val="15"/>
              </w:rPr>
              <w:t>OPTICAL</w:t>
            </w:r>
          </w:p>
        </w:tc>
        <w:tc>
          <w:tcPr>
            <w:tcW w:type="dxa" w:w="4560"/>
          </w:tcPr>
          <w:p>
            <w:pPr>
              <w:keepLines/>
              <w:spacing w:after="0" w:line="276" w:lineRule="auto"/>
            </w:pPr>
            <w:r>
              <w:rPr>
                <w:rFonts w:ascii="Calibri" w:hAnsi="Calibri" w:eastAsia="Microsoft YaHei"/>
                <w:color w:val="0B2545"/>
                <w:sz w:val="15"/>
              </w:rPr>
              <w:t>DIII-D；ASDEX Upgrade；SPARC；EAST</w:t>
            </w:r>
          </w:p>
        </w:tc>
      </w:tr>
    </w:tbl>
    <w:p>
      <w:pPr>
        <w:spacing w:before="0" w:after="60"/>
      </w:pPr>
    </w:p>
    <w:p>
      <w:pPr>
        <w:widowControl/>
      </w:pPr>
      <w:r>
        <w:rPr>
          <w:rFonts w:ascii="Calibri" w:hAnsi="Calibri" w:eastAsia="Microsoft YaHei"/>
          <w:b/>
          <w:color w:val="1F4D78"/>
        </w:rPr>
        <w:t>解决问题：</w:t>
      </w:r>
      <w:r>
        <w:rPr>
          <w:rFonts w:ascii="Calibri" w:hAnsi="Calibri" w:eastAsia="Microsoft YaHei"/>
        </w:rPr>
        <w:t>高时间分辨监测核心杂质辐射、锯齿和磁岛，并重建二维发射率。</w:t>
      </w:r>
    </w:p>
    <w:p>
      <w:pPr>
        <w:widowControl/>
      </w:pPr>
      <w:r>
        <w:rPr>
          <w:rFonts w:ascii="Calibri" w:hAnsi="Calibri" w:eastAsia="Microsoft YaHei"/>
          <w:b/>
          <w:color w:val="1F4D78"/>
        </w:rPr>
        <w:t>测量原理：</w:t>
      </w:r>
      <w:r>
        <w:rPr>
          <w:rFonts w:ascii="Calibri" w:hAnsi="Calibri" w:eastAsia="Microsoft YaHei"/>
        </w:rPr>
        <w:t>滤膜后的半导体二极管测视线积分SXR；多视角阵列经层析反演。</w:t>
      </w:r>
    </w:p>
    <w:p>
      <w:pPr>
        <w:widowControl/>
      </w:pPr>
      <w:r>
        <w:rPr>
          <w:rFonts w:ascii="Calibri" w:hAnsi="Calibri" w:eastAsia="Microsoft YaHei"/>
          <w:b/>
          <w:color w:val="1F4D78"/>
        </w:rPr>
        <w:t>测量产品：</w:t>
      </w:r>
      <w:r>
        <w:rPr>
          <w:rFonts w:ascii="Calibri" w:hAnsi="Calibri" w:eastAsia="Microsoft YaHei"/>
        </w:rPr>
        <w:t>SXR brightness；2-D emissivity；sawtooth radius；MHD structure</w:t>
      </w:r>
    </w:p>
    <w:p>
      <w:pPr>
        <w:widowControl/>
      </w:pPr>
      <w:r>
        <w:rPr>
          <w:rFonts w:ascii="Calibri" w:hAnsi="Calibri" w:eastAsia="Microsoft YaHei"/>
          <w:b/>
          <w:color w:val="1F4D78"/>
        </w:rPr>
        <w:t>时空分辨与覆盖：</w:t>
      </w:r>
      <w:r>
        <w:rPr>
          <w:rFonts w:ascii="Calibri" w:hAnsi="Calibri" w:eastAsia="Microsoft YaHei"/>
        </w:rPr>
        <w:t>时间：因装置、采集和分析链而异；原始来源未给出统一数值。；空间：由视线、几何和反演设定；原始来源未给出统一数值。</w:t>
      </w:r>
    </w:p>
    <w:p>
      <w:pPr>
        <w:widowControl/>
      </w:pPr>
      <w:r>
        <w:rPr>
          <w:rFonts w:ascii="Calibri" w:hAnsi="Calibri" w:eastAsia="Microsoft YaHei"/>
          <w:b/>
          <w:color w:val="1F4D78"/>
        </w:rPr>
        <w:t>仪器与传感器：</w:t>
      </w:r>
      <w:r>
        <w:rPr>
          <w:rFonts w:ascii="Calibri" w:hAnsi="Calibri" w:eastAsia="Microsoft YaHei"/>
        </w:rPr>
        <w:t>silicon photodiodes；foil filters；pinhole arrays；fast ADCs</w:t>
      </w:r>
    </w:p>
    <w:p>
      <w:pPr>
        <w:widowControl/>
      </w:pPr>
      <w:r>
        <w:rPr>
          <w:rFonts w:ascii="Calibri" w:hAnsi="Calibri" w:eastAsia="Microsoft YaHei"/>
          <w:b/>
          <w:color w:val="1F4D78"/>
        </w:rPr>
        <w:t>标定与质量：</w:t>
      </w:r>
      <w:r>
        <w:rPr>
          <w:rFonts w:ascii="Calibri" w:hAnsi="Calibri" w:eastAsia="Microsoft YaHei"/>
        </w:rPr>
        <w:t>以X射线源/同步辐射或响应模型标定；测滤膜、几何、暗电流并逐炮检查饱和。</w:t>
      </w:r>
    </w:p>
    <w:p>
      <w:pPr>
        <w:widowControl/>
      </w:pPr>
      <w:r>
        <w:rPr>
          <w:rFonts w:ascii="Calibri" w:hAnsi="Calibri" w:eastAsia="Microsoft YaHei"/>
          <w:b/>
          <w:color w:val="1F4D78"/>
        </w:rPr>
        <w:t>反演与分析：</w:t>
      </w:r>
      <w:r>
        <w:rPr>
          <w:rFonts w:ascii="Calibri" w:hAnsi="Calibri" w:eastAsia="Microsoft YaHei"/>
        </w:rPr>
        <w:t>最小Fisher/SVD/Gaussian-process层析；多弦相位/幅值用于模态拟合。</w:t>
      </w:r>
    </w:p>
    <w:p>
      <w:pPr>
        <w:widowControl/>
      </w:pPr>
      <w:r>
        <w:rPr>
          <w:rFonts w:ascii="Calibri" w:hAnsi="Calibri" w:eastAsia="Microsoft YaHei"/>
          <w:b/>
          <w:color w:val="1F4D78"/>
        </w:rPr>
        <w:t>验证与应用：</w:t>
      </w:r>
      <w:r>
        <w:rPr>
          <w:rFonts w:ascii="Calibri" w:hAnsi="Calibri" w:eastAsia="Microsoft YaHei"/>
        </w:rPr>
        <w:t>RTP演示实时层析；AUG用合成数据和交叉验证；SPARC做响应/计数设计。</w:t>
      </w:r>
    </w:p>
    <w:p>
      <w:pPr>
        <w:widowControl/>
      </w:pPr>
      <w:r>
        <w:rPr>
          <w:rFonts w:ascii="Calibri" w:hAnsi="Calibri" w:eastAsia="Microsoft YaHei"/>
          <w:b/>
          <w:color w:val="1F4D78"/>
        </w:rPr>
        <w:t>局限与边界：</w:t>
      </w:r>
      <w:r>
        <w:rPr>
          <w:rFonts w:ascii="Calibri" w:hAnsi="Calibri" w:eastAsia="Microsoft YaHei"/>
        </w:rPr>
        <w:t>亮度卷积Te、ne和杂质；滤膜老化、视线积分和几何误差影响层析。</w:t>
      </w:r>
    </w:p>
    <w:tbl>
      <w:tblPr>
        <w:tblStyle w:val="TableGrid"/>
        <w:tblW w:type="dxa" w:w="9360"/>
        <w:jc w:val="left"/>
        <w:tblLayout w:type="fixed"/>
        <w:tblLook w:firstColumn="1" w:firstRow="1" w:lastColumn="0" w:lastRow="0" w:noHBand="0" w:noVBand="1" w:val="04A0"/>
        <w:tblInd w:w="120" w:type="dxa"/>
      </w:tblPr>
      <w:tblGrid>
        <w:gridCol w:w="9360"/>
      </w:tblGrid>
      <w:tr>
        <w:trPr>
          <w:cantSplit/>
        </w:trPr>
        <w:tc>
          <w:tcPr>
            <w:tcW w:type="dxa" w:w="9360"/>
            <w:tcMar>
              <w:top w:w="80" w:type="dxa"/>
              <w:bottom w:w="80" w:type="dxa"/>
              <w:start w:w="120" w:type="dxa"/>
              <w:end w:w="120" w:type="dxa"/>
            </w:tcMar>
            <w:vAlign w:val="center"/>
            <w:shd w:fill="EEF7F7"/>
          </w:tcPr>
          <w:p>
            <w:pPr>
              <w:keepNext/>
              <w:keepLines/>
              <w:spacing w:after="40"/>
            </w:pPr>
            <w:r>
              <w:rPr>
                <w:rFonts w:ascii="Calibri" w:hAnsi="Calibri" w:eastAsia="Microsoft YaHei"/>
                <w:b/>
                <w:color w:val="008C95"/>
                <w:sz w:val="17"/>
              </w:rPr>
              <w:t>DIGITAL-TWIN RELEVANCE</w:t>
            </w:r>
          </w:p>
          <w:p>
            <w:pPr>
              <w:spacing w:after="0"/>
            </w:pPr>
            <w:r>
              <w:rPr>
                <w:rFonts w:ascii="Calibri" w:hAnsi="Calibri" w:eastAsia="Microsoft YaHei"/>
                <w:color w:val="0B2545"/>
                <w:sz w:val="20"/>
              </w:rPr>
              <w:t>提供核心辐射/MHD高带宽状态，但需保留响应函数并避免单物理量误读。</w:t>
            </w:r>
          </w:p>
        </w:tc>
      </w:tr>
    </w:tbl>
    <w:p>
      <w:pPr>
        <w:spacing w:after="40"/>
      </w:pPr>
    </w:p>
    <w:tbl>
      <w:tblPr>
        <w:tblStyle w:val="TableGrid"/>
        <w:tblW w:type="dxa" w:w="9360"/>
        <w:jc w:val="left"/>
        <w:tblLayout w:type="fixed"/>
        <w:tblLook w:firstColumn="1" w:firstRow="1" w:lastColumn="0" w:lastRow="0" w:noHBand="0" w:noVBand="1" w:val="04A0"/>
        <w:tblInd w:w="120" w:type="dxa"/>
      </w:tblPr>
      <w:tblGrid>
        <w:gridCol w:w="850"/>
        <w:gridCol w:w="2500"/>
        <w:gridCol w:w="1600"/>
        <w:gridCol w:w="2300"/>
        <w:gridCol w:w="2110"/>
      </w:tblGrid>
      <w:tr>
        <w:trPr>
          <w:tblHeader w:val="true"/>
        </w:trPr>
        <w:tc>
          <w:tcPr>
            <w:tcW w:type="dxa" w:w="8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年份/类型</w:t>
            </w:r>
          </w:p>
        </w:tc>
        <w:tc>
          <w:tcPr>
            <w:tcW w:type="dxa" w:w="25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论文或软件</w:t>
            </w:r>
          </w:p>
        </w:tc>
        <w:tc>
          <w:tcPr>
            <w:tcW w:type="dxa" w:w="16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期刊/开放性</w:t>
            </w:r>
          </w:p>
        </w:tc>
        <w:tc>
          <w:tcPr>
            <w:tcW w:type="dxa" w:w="23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来源类型/关系</w:t>
            </w:r>
          </w:p>
        </w:tc>
        <w:tc>
          <w:tcPr>
            <w:tcW w:type="dxa" w:w="211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链接</w:t>
            </w:r>
          </w:p>
        </w:tc>
      </w:tr>
      <w:tr>
        <w:trPr>
          <w:cantSplit/>
        </w:trPr>
        <w:tc>
          <w:tcPr>
            <w:tcW w:type="dxa" w:w="850"/>
          </w:tcPr>
          <w:p>
            <w:pPr>
              <w:keepLines/>
              <w:spacing w:after="0" w:line="276" w:lineRule="auto"/>
            </w:pPr>
            <w:r>
              <w:rPr>
                <w:rFonts w:ascii="Calibri" w:hAnsi="Calibri" w:eastAsia="Microsoft YaHei"/>
                <w:color w:val="0B2545"/>
                <w:sz w:val="14"/>
              </w:rPr>
              <w:t>1994</w:t>
            </w:r>
          </w:p>
        </w:tc>
        <w:tc>
          <w:tcPr>
            <w:tcW w:type="dxa" w:w="2500"/>
          </w:tcPr>
          <w:p>
            <w:pPr>
              <w:keepLines/>
              <w:spacing w:after="0" w:line="276" w:lineRule="auto"/>
            </w:pPr>
            <w:r>
              <w:rPr>
                <w:rFonts w:ascii="Calibri" w:hAnsi="Calibri" w:eastAsia="Microsoft YaHei"/>
                <w:color w:val="0B2545"/>
                <w:sz w:val="14"/>
              </w:rPr>
              <w:t>Soft x-ray tomography diagnostic at the RTP tokamak</w:t>
            </w:r>
          </w:p>
        </w:tc>
        <w:tc>
          <w:tcPr>
            <w:tcW w:type="dxa" w:w="1600"/>
          </w:tcPr>
          <w:p>
            <w:pPr>
              <w:keepLines/>
              <w:spacing w:after="0" w:line="276" w:lineRule="auto"/>
            </w:pPr>
            <w:r>
              <w:rPr>
                <w:rFonts w:ascii="Calibri" w:hAnsi="Calibri" w:eastAsia="Microsoft YaHei"/>
                <w:color w:val="0B2545"/>
                <w:sz w:val="14"/>
              </w:rPr>
              <w:t>Review of Scientific Instruments</w:t>
            </w:r>
          </w:p>
        </w:tc>
        <w:tc>
          <w:tcPr>
            <w:tcW w:type="dxa" w:w="2300"/>
          </w:tcPr>
          <w:p>
            <w:pPr>
              <w:keepLines/>
              <w:spacing w:after="0" w:line="276" w:lineRule="auto"/>
            </w:pPr>
            <w:r>
              <w:rPr>
                <w:rFonts w:ascii="Calibri" w:hAnsi="Calibri" w:eastAsia="Microsoft YaHei"/>
                <w:color w:val="0B2545"/>
                <w:sz w:val="14"/>
              </w:rPr>
              <w:t>peer-reviewed-journal</w:t>
            </w:r>
          </w:p>
        </w:tc>
        <w:tc>
          <w:tcPr>
            <w:tcW w:type="dxa" w:w="2110"/>
          </w:tcPr>
          <w:p>
            <w:pPr>
              <w:keepLines/>
              <w:spacing w:after="0" w:line="276" w:lineRule="auto"/>
            </w:pPr>
            <w:hyperlink r:id="rId76">
              <w:r>
                <w:rPr>
                  <w:rFonts w:ascii="Calibri" w:hAnsi="Calibri" w:eastAsia="Microsoft YaHei"/>
                  <w:color w:val="008C95"/>
                  <w:u w:val="single"/>
                </w:rPr>
                <w:t>打开原始来源 ↗</w:t>
              </w:r>
            </w:hyperlink>
          </w:p>
        </w:tc>
      </w:tr>
      <w:tr>
        <w:trPr>
          <w:cantSplit/>
        </w:trPr>
        <w:tc>
          <w:tcPr>
            <w:tcW w:type="dxa" w:w="850"/>
          </w:tcPr>
          <w:p>
            <w:pPr>
              <w:keepLines/>
              <w:spacing w:after="0" w:line="276" w:lineRule="auto"/>
            </w:pPr>
            <w:r>
              <w:rPr>
                <w:rFonts w:ascii="Calibri" w:hAnsi="Calibri" w:eastAsia="Microsoft YaHei"/>
                <w:color w:val="0B2545"/>
                <w:sz w:val="14"/>
              </w:rPr>
              <w:t>2020</w:t>
            </w:r>
          </w:p>
        </w:tc>
        <w:tc>
          <w:tcPr>
            <w:tcW w:type="dxa" w:w="2500"/>
          </w:tcPr>
          <w:p>
            <w:pPr>
              <w:keepLines/>
              <w:spacing w:after="0" w:line="276" w:lineRule="auto"/>
            </w:pPr>
            <w:r>
              <w:rPr>
                <w:rFonts w:ascii="Calibri" w:hAnsi="Calibri" w:eastAsia="Microsoft YaHei"/>
                <w:color w:val="0B2545"/>
                <w:sz w:val="14"/>
              </w:rPr>
              <w:t>Deep learning for Gaussian process soft x-ray tomography model selection in the ASDEX Upgrade tokamak</w:t>
            </w:r>
          </w:p>
        </w:tc>
        <w:tc>
          <w:tcPr>
            <w:tcW w:type="dxa" w:w="1600"/>
          </w:tcPr>
          <w:p>
            <w:pPr>
              <w:keepLines/>
              <w:spacing w:after="0" w:line="276" w:lineRule="auto"/>
            </w:pPr>
            <w:r>
              <w:rPr>
                <w:rFonts w:ascii="Calibri" w:hAnsi="Calibri" w:eastAsia="Microsoft YaHei"/>
                <w:color w:val="0B2545"/>
                <w:sz w:val="14"/>
              </w:rPr>
              <w:t>Review of Scientific Instruments</w:t>
            </w:r>
          </w:p>
        </w:tc>
        <w:tc>
          <w:tcPr>
            <w:tcW w:type="dxa" w:w="2300"/>
          </w:tcPr>
          <w:p>
            <w:pPr>
              <w:keepLines/>
              <w:spacing w:after="0" w:line="276" w:lineRule="auto"/>
            </w:pPr>
            <w:r>
              <w:rPr>
                <w:rFonts w:ascii="Calibri" w:hAnsi="Calibri" w:eastAsia="Microsoft YaHei"/>
                <w:color w:val="0B2545"/>
                <w:sz w:val="14"/>
              </w:rPr>
              <w:t>peer-reviewed-journal</w:t>
            </w:r>
          </w:p>
        </w:tc>
        <w:tc>
          <w:tcPr>
            <w:tcW w:type="dxa" w:w="2110"/>
          </w:tcPr>
          <w:p>
            <w:pPr>
              <w:keepLines/>
              <w:spacing w:after="0" w:line="276" w:lineRule="auto"/>
            </w:pPr>
            <w:hyperlink r:id="rId77">
              <w:r>
                <w:rPr>
                  <w:rFonts w:ascii="Calibri" w:hAnsi="Calibri" w:eastAsia="Microsoft YaHei"/>
                  <w:color w:val="008C95"/>
                  <w:u w:val="single"/>
                </w:rPr>
                <w:t>打开原始来源 ↗</w:t>
              </w:r>
            </w:hyperlink>
          </w:p>
        </w:tc>
      </w:tr>
      <w:tr>
        <w:trPr>
          <w:cantSplit/>
        </w:trPr>
        <w:tc>
          <w:tcPr>
            <w:tcW w:type="dxa" w:w="850"/>
          </w:tcPr>
          <w:p>
            <w:pPr>
              <w:keepLines/>
              <w:spacing w:after="0" w:line="276" w:lineRule="auto"/>
            </w:pPr>
            <w:r>
              <w:rPr>
                <w:rFonts w:ascii="Calibri" w:hAnsi="Calibri" w:eastAsia="Microsoft YaHei"/>
                <w:color w:val="0B2545"/>
                <w:sz w:val="14"/>
              </w:rPr>
              <w:t>2024</w:t>
            </w:r>
          </w:p>
        </w:tc>
        <w:tc>
          <w:tcPr>
            <w:tcW w:type="dxa" w:w="2500"/>
          </w:tcPr>
          <w:p>
            <w:pPr>
              <w:keepLines/>
              <w:spacing w:after="0" w:line="276" w:lineRule="auto"/>
            </w:pPr>
            <w:r>
              <w:rPr>
                <w:rFonts w:ascii="Calibri" w:hAnsi="Calibri" w:eastAsia="Microsoft YaHei"/>
                <w:color w:val="0B2545"/>
                <w:sz w:val="14"/>
              </w:rPr>
              <w:t>SPARC x-ray diagnostics: Technical and functional overview</w:t>
            </w:r>
          </w:p>
        </w:tc>
        <w:tc>
          <w:tcPr>
            <w:tcW w:type="dxa" w:w="1600"/>
          </w:tcPr>
          <w:p>
            <w:pPr>
              <w:keepLines/>
              <w:spacing w:after="0" w:line="276" w:lineRule="auto"/>
            </w:pPr>
            <w:r>
              <w:rPr>
                <w:rFonts w:ascii="Calibri" w:hAnsi="Calibri" w:eastAsia="Microsoft YaHei"/>
                <w:color w:val="0B2545"/>
                <w:sz w:val="14"/>
              </w:rPr>
              <w:t>Review of Scientific Instruments</w:t>
            </w:r>
          </w:p>
        </w:tc>
        <w:tc>
          <w:tcPr>
            <w:tcW w:type="dxa" w:w="2300"/>
          </w:tcPr>
          <w:p>
            <w:pPr>
              <w:keepLines/>
              <w:spacing w:after="0" w:line="276" w:lineRule="auto"/>
            </w:pPr>
            <w:r>
              <w:rPr>
                <w:rFonts w:ascii="Calibri" w:hAnsi="Calibri" w:eastAsia="Microsoft YaHei"/>
                <w:color w:val="0B2545"/>
                <w:sz w:val="14"/>
              </w:rPr>
              <w:t>peer-reviewed-journal</w:t>
            </w:r>
          </w:p>
        </w:tc>
        <w:tc>
          <w:tcPr>
            <w:tcW w:type="dxa" w:w="2110"/>
          </w:tcPr>
          <w:p>
            <w:pPr>
              <w:keepLines/>
              <w:spacing w:after="0" w:line="276" w:lineRule="auto"/>
            </w:pPr>
            <w:hyperlink r:id="rId78">
              <w:r>
                <w:rPr>
                  <w:rFonts w:ascii="Calibri" w:hAnsi="Calibri" w:eastAsia="Microsoft YaHei"/>
                  <w:color w:val="008C95"/>
                  <w:u w:val="single"/>
                </w:rPr>
                <w:t>打开原始来源 ↗</w:t>
              </w:r>
            </w:hyperlink>
          </w:p>
        </w:tc>
      </w:tr>
      <w:tr>
        <w:trPr>
          <w:cantSplit/>
        </w:trPr>
        <w:tc>
          <w:tcPr>
            <w:tcW w:type="dxa" w:w="850"/>
          </w:tcPr>
          <w:p>
            <w:pPr>
              <w:keepLines/>
              <w:spacing w:after="0" w:line="276" w:lineRule="auto"/>
            </w:pPr>
            <w:r>
              <w:rPr>
                <w:rFonts w:ascii="Calibri" w:hAnsi="Calibri" w:eastAsia="Microsoft YaHei"/>
                <w:color w:val="0B2545"/>
                <w:sz w:val="14"/>
              </w:rPr>
              <w:t>软件</w:t>
            </w:r>
          </w:p>
        </w:tc>
        <w:tc>
          <w:tcPr>
            <w:tcW w:type="dxa" w:w="2500"/>
          </w:tcPr>
          <w:p>
            <w:pPr>
              <w:keepLines/>
              <w:spacing w:after="0" w:line="276" w:lineRule="auto"/>
            </w:pPr>
            <w:r>
              <w:rPr>
                <w:rFonts w:ascii="Calibri" w:hAnsi="Calibri" w:eastAsia="Microsoft YaHei"/>
                <w:color w:val="0B2545"/>
                <w:sz w:val="14"/>
              </w:rPr>
              <w:t>Cherab</w:t>
            </w:r>
          </w:p>
        </w:tc>
        <w:tc>
          <w:tcPr>
            <w:tcW w:type="dxa" w:w="1600"/>
          </w:tcPr>
          <w:p>
            <w:pPr>
              <w:keepLines/>
              <w:spacing w:after="0" w:line="276" w:lineRule="auto"/>
            </w:pPr>
            <w:r>
              <w:rPr>
                <w:rFonts w:ascii="Calibri" w:hAnsi="Calibri" w:eastAsia="Microsoft YaHei"/>
                <w:color w:val="0B2545"/>
                <w:sz w:val="14"/>
              </w:rPr>
              <w:t>official-enabling</w:t>
            </w:r>
          </w:p>
        </w:tc>
        <w:tc>
          <w:tcPr>
            <w:tcW w:type="dxa" w:w="2300"/>
          </w:tcPr>
          <w:p>
            <w:pPr>
              <w:keepLines/>
              <w:spacing w:after="0" w:line="276" w:lineRule="auto"/>
            </w:pPr>
            <w:r>
              <w:rPr>
                <w:rFonts w:ascii="Calibri" w:hAnsi="Calibri" w:eastAsia="Microsoft YaHei"/>
                <w:color w:val="0B2545"/>
                <w:sz w:val="14"/>
              </w:rPr>
              <w:t>几何与发射合成；SXR响应需扩展。</w:t>
            </w:r>
          </w:p>
        </w:tc>
        <w:tc>
          <w:tcPr>
            <w:tcW w:type="dxa" w:w="2110"/>
          </w:tcPr>
          <w:p>
            <w:pPr>
              <w:keepLines/>
              <w:spacing w:after="0" w:line="276" w:lineRule="auto"/>
            </w:pPr>
            <w:hyperlink r:id="rId75">
              <w:r>
                <w:rPr>
                  <w:rFonts w:ascii="Calibri" w:hAnsi="Calibri" w:eastAsia="Microsoft YaHei"/>
                  <w:color w:val="008C95"/>
                  <w:u w:val="single"/>
                </w:rPr>
                <w:t>打开原始来源 ↗</w:t>
              </w:r>
            </w:hyperlink>
          </w:p>
        </w:tc>
      </w:tr>
      <w:tr>
        <w:trPr>
          <w:cantSplit/>
        </w:trPr>
        <w:tc>
          <w:tcPr>
            <w:tcW w:type="dxa" w:w="850"/>
          </w:tcPr>
          <w:p>
            <w:pPr>
              <w:keepLines/>
              <w:spacing w:after="0" w:line="276" w:lineRule="auto"/>
            </w:pPr>
            <w:r>
              <w:rPr>
                <w:rFonts w:ascii="Calibri" w:hAnsi="Calibri" w:eastAsia="Microsoft YaHei"/>
                <w:color w:val="0B2545"/>
                <w:sz w:val="14"/>
              </w:rPr>
              <w:t>软件</w:t>
            </w:r>
          </w:p>
        </w:tc>
        <w:tc>
          <w:tcPr>
            <w:tcW w:type="dxa" w:w="2500"/>
          </w:tcPr>
          <w:p>
            <w:pPr>
              <w:keepLines/>
              <w:spacing w:after="0" w:line="276" w:lineRule="auto"/>
            </w:pPr>
            <w:r>
              <w:rPr>
                <w:rFonts w:ascii="Calibri" w:hAnsi="Calibri" w:eastAsia="Microsoft YaHei"/>
                <w:color w:val="0B2545"/>
                <w:sz w:val="14"/>
              </w:rPr>
              <w:t>装置专有分析/标定软件</w:t>
            </w:r>
          </w:p>
        </w:tc>
        <w:tc>
          <w:tcPr>
            <w:tcW w:type="dxa" w:w="1600"/>
          </w:tcPr>
          <w:p>
            <w:pPr>
              <w:keepLines/>
              <w:spacing w:after="0" w:line="276" w:lineRule="auto"/>
            </w:pPr>
            <w:r>
              <w:rPr>
                <w:rFonts w:ascii="Calibri" w:hAnsi="Calibri" w:eastAsia="Microsoft YaHei"/>
                <w:color w:val="0B2545"/>
                <w:sz w:val="14"/>
              </w:rPr>
              <w:t>not-public</w:t>
            </w:r>
          </w:p>
        </w:tc>
        <w:tc>
          <w:tcPr>
            <w:tcW w:type="dxa" w:w="2300"/>
          </w:tcPr>
          <w:p>
            <w:pPr>
              <w:keepLines/>
              <w:spacing w:after="0" w:line="276" w:lineRule="auto"/>
            </w:pPr>
            <w:r>
              <w:rPr>
                <w:rFonts w:ascii="Calibri" w:hAnsi="Calibri" w:eastAsia="Microsoft YaHei"/>
                <w:color w:val="0B2545"/>
                <w:sz w:val="14"/>
              </w:rPr>
              <w:t>实时生产层析/MHD代码未公开。</w:t>
            </w:r>
          </w:p>
        </w:tc>
        <w:tc>
          <w:tcPr>
            <w:tcW w:type="dxa" w:w="2110"/>
          </w:tcPr>
          <w:p>
            <w:pPr>
              <w:keepLines/>
              <w:spacing w:after="0" w:line="276" w:lineRule="auto"/>
            </w:pPr>
            <w:r>
              <w:rPr>
                <w:rFonts w:ascii="Calibri" w:hAnsi="Calibri" w:eastAsia="Microsoft YaHei"/>
                <w:color w:val="0B2545"/>
                <w:sz w:val="14"/>
              </w:rPr>
              <w:t>未公开</w:t>
            </w:r>
          </w:p>
        </w:tc>
      </w:tr>
    </w:tbl>
    <w:p>
      <w:pPr>
        <w:spacing w:before="0" w:after="60"/>
      </w:pPr>
    </w:p>
    <w:p>
      <w:pPr>
        <w:pStyle w:val="Heading3"/>
        <w:keepNext/>
      </w:pPr>
      <w:r>
        <w:t>DG4.03  真空紫外杂质谱：电荷态与杂质输运</w:t>
      </w:r>
    </w:p>
    <w:p>
      <w:pPr>
        <w:keepNext/>
        <w:spacing w:after="80"/>
      </w:pPr>
      <w:r>
        <w:rPr>
          <w:rFonts w:ascii="Calibri" w:hAnsi="Calibri" w:eastAsia="Microsoft YaHei"/>
          <w:i/>
          <w:color w:val="566573"/>
          <w:sz w:val="18"/>
        </w:rPr>
        <w:t>Vacuum-ultraviolet spectroscopy for impurity charge states and transport</w:t>
      </w:r>
    </w:p>
    <w:tbl>
      <w:tblPr>
        <w:tblStyle w:val="TableGrid"/>
        <w:tblW w:type="dxa" w:w="9360"/>
        <w:jc w:val="left"/>
        <w:tblLayout w:type="fixed"/>
        <w:tblLook w:firstColumn="1" w:firstRow="1" w:lastColumn="0" w:lastRow="0" w:noHBand="0" w:noVBand="1" w:val="04A0"/>
        <w:tblInd w:w="120" w:type="dxa"/>
      </w:tblPr>
      <w:tblGrid>
        <w:gridCol w:w="1200"/>
        <w:gridCol w:w="750"/>
        <w:gridCol w:w="750"/>
        <w:gridCol w:w="2100"/>
        <w:gridCol w:w="4560"/>
      </w:tblGrid>
      <w:tr>
        <w:trPr>
          <w:tblHeader w:val="true"/>
        </w:trPr>
        <w:tc>
          <w:tcPr>
            <w:tcW w:type="dxa" w:w="12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工作 ID</w:t>
            </w:r>
          </w:p>
        </w:tc>
        <w:tc>
          <w:tcPr>
            <w:tcW w:type="dxa" w:w="7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证据</w:t>
            </w:r>
          </w:p>
        </w:tc>
        <w:tc>
          <w:tcPr>
            <w:tcW w:type="dxa" w:w="7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部署</w:t>
            </w:r>
          </w:p>
        </w:tc>
        <w:tc>
          <w:tcPr>
            <w:tcW w:type="dxa" w:w="21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技术族</w:t>
            </w:r>
          </w:p>
        </w:tc>
        <w:tc>
          <w:tcPr>
            <w:tcW w:type="dxa" w:w="456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装置</w:t>
            </w:r>
          </w:p>
        </w:tc>
      </w:tr>
      <w:tr>
        <w:trPr>
          <w:cantSplit/>
        </w:trPr>
        <w:tc>
          <w:tcPr>
            <w:tcW w:type="dxa" w:w="1200"/>
          </w:tcPr>
          <w:p>
            <w:pPr>
              <w:keepLines/>
              <w:spacing w:after="0" w:line="276" w:lineRule="auto"/>
            </w:pPr>
            <w:r>
              <w:rPr>
                <w:rFonts w:ascii="Calibri" w:hAnsi="Calibri" w:eastAsia="Microsoft YaHei"/>
                <w:color w:val="0B2545"/>
                <w:sz w:val="15"/>
              </w:rPr>
              <w:t>DG4-018</w:t>
            </w:r>
          </w:p>
        </w:tc>
        <w:tc>
          <w:tcPr>
            <w:tcW w:type="dxa" w:w="750"/>
          </w:tcPr>
          <w:p>
            <w:pPr>
              <w:keepLines/>
              <w:spacing w:after="0" w:line="276" w:lineRule="auto"/>
            </w:pPr>
            <w:r>
              <w:rPr>
                <w:rFonts w:ascii="Calibri" w:hAnsi="Calibri" w:eastAsia="Microsoft YaHei"/>
                <w:color w:val="0B2545"/>
                <w:sz w:val="15"/>
              </w:rPr>
              <w:t>E3</w:t>
            </w:r>
          </w:p>
        </w:tc>
        <w:tc>
          <w:tcPr>
            <w:tcW w:type="dxa" w:w="750"/>
          </w:tcPr>
          <w:p>
            <w:pPr>
              <w:keepLines/>
              <w:spacing w:after="0" w:line="276" w:lineRule="auto"/>
            </w:pPr>
            <w:r>
              <w:rPr>
                <w:rFonts w:ascii="Calibri" w:hAnsi="Calibri" w:eastAsia="Microsoft YaHei"/>
                <w:color w:val="0B2545"/>
                <w:sz w:val="15"/>
              </w:rPr>
              <w:t>D3</w:t>
            </w:r>
          </w:p>
        </w:tc>
        <w:tc>
          <w:tcPr>
            <w:tcW w:type="dxa" w:w="2100"/>
          </w:tcPr>
          <w:p>
            <w:pPr>
              <w:keepLines/>
              <w:spacing w:after="0" w:line="276" w:lineRule="auto"/>
            </w:pPr>
            <w:r>
              <w:rPr>
                <w:rFonts w:ascii="Calibri" w:hAnsi="Calibri" w:eastAsia="Microsoft YaHei"/>
                <w:color w:val="0B2545"/>
                <w:sz w:val="15"/>
              </w:rPr>
              <w:t>OPTICAL</w:t>
            </w:r>
          </w:p>
        </w:tc>
        <w:tc>
          <w:tcPr>
            <w:tcW w:type="dxa" w:w="4560"/>
          </w:tcPr>
          <w:p>
            <w:pPr>
              <w:keepLines/>
              <w:spacing w:after="0" w:line="276" w:lineRule="auto"/>
            </w:pPr>
            <w:r>
              <w:rPr>
                <w:rFonts w:ascii="Calibri" w:hAnsi="Calibri" w:eastAsia="Microsoft YaHei"/>
                <w:color w:val="0B2545"/>
                <w:sz w:val="15"/>
              </w:rPr>
              <w:t>KSTAR；ITER；EAST；JET</w:t>
            </w:r>
          </w:p>
        </w:tc>
      </w:tr>
    </w:tbl>
    <w:p>
      <w:pPr>
        <w:spacing w:before="0" w:after="60"/>
      </w:pPr>
    </w:p>
    <w:p>
      <w:pPr>
        <w:widowControl/>
      </w:pPr>
      <w:r>
        <w:rPr>
          <w:rFonts w:ascii="Calibri" w:hAnsi="Calibri" w:eastAsia="Microsoft YaHei"/>
          <w:b/>
          <w:color w:val="1F4D78"/>
        </w:rPr>
        <w:t>解决问题：</w:t>
      </w:r>
      <w:r>
        <w:rPr>
          <w:rFonts w:ascii="Calibri" w:hAnsi="Calibri" w:eastAsia="Microsoft YaHei"/>
        </w:rPr>
        <w:t>识别杂质元素/电荷态及输运时标，约束稀释和辐射损失。</w:t>
      </w:r>
    </w:p>
    <w:p>
      <w:pPr>
        <w:widowControl/>
      </w:pPr>
      <w:r>
        <w:rPr>
          <w:rFonts w:ascii="Calibri" w:hAnsi="Calibri" w:eastAsia="Microsoft YaHei"/>
          <w:b/>
          <w:color w:val="1F4D78"/>
        </w:rPr>
        <w:t>测量原理：</w:t>
      </w:r>
      <w:r>
        <w:rPr>
          <w:rFonts w:ascii="Calibri" w:hAnsi="Calibri" w:eastAsia="Microsoft YaHei"/>
        </w:rPr>
        <w:t>光栅光谱仪测VUV/EUV特征线；线强由电荷态密度、电子参数和碰撞辐射系数决定。</w:t>
      </w:r>
    </w:p>
    <w:p>
      <w:pPr>
        <w:widowControl/>
      </w:pPr>
      <w:r>
        <w:rPr>
          <w:rFonts w:ascii="Calibri" w:hAnsi="Calibri" w:eastAsia="Microsoft YaHei"/>
          <w:b/>
          <w:color w:val="1F4D78"/>
        </w:rPr>
        <w:t>测量产品：</w:t>
      </w:r>
      <w:r>
        <w:rPr>
          <w:rFonts w:ascii="Calibri" w:hAnsi="Calibri" w:eastAsia="Microsoft YaHei"/>
        </w:rPr>
        <w:t>impurity species；charge-state brightness；transport time</w:t>
      </w:r>
    </w:p>
    <w:p>
      <w:pPr>
        <w:widowControl/>
      </w:pPr>
      <w:r>
        <w:rPr>
          <w:rFonts w:ascii="Calibri" w:hAnsi="Calibri" w:eastAsia="Microsoft YaHei"/>
          <w:b/>
          <w:color w:val="1F4D78"/>
        </w:rPr>
        <w:t>时空分辨与覆盖：</w:t>
      </w:r>
      <w:r>
        <w:rPr>
          <w:rFonts w:ascii="Calibri" w:hAnsi="Calibri" w:eastAsia="Microsoft YaHei"/>
        </w:rPr>
        <w:t>时间：因装置、采集和分析链而异；原始来源未给出统一数值。；空间：由视线、几何和反演设定；原始来源未给出统一数值。</w:t>
      </w:r>
    </w:p>
    <w:p>
      <w:pPr>
        <w:widowControl/>
      </w:pPr>
      <w:r>
        <w:rPr>
          <w:rFonts w:ascii="Calibri" w:hAnsi="Calibri" w:eastAsia="Microsoft YaHei"/>
          <w:b/>
          <w:color w:val="1F4D78"/>
        </w:rPr>
        <w:t>仪器与传感器：</w:t>
      </w:r>
      <w:r>
        <w:rPr>
          <w:rFonts w:ascii="Calibri" w:hAnsi="Calibri" w:eastAsia="Microsoft YaHei"/>
        </w:rPr>
        <w:t>grazing-incidence spectrometers；VUV gratings；MCP/CCD</w:t>
      </w:r>
    </w:p>
    <w:p>
      <w:pPr>
        <w:widowControl/>
      </w:pPr>
      <w:r>
        <w:rPr>
          <w:rFonts w:ascii="Calibri" w:hAnsi="Calibri" w:eastAsia="Microsoft YaHei"/>
          <w:b/>
          <w:color w:val="1F4D78"/>
        </w:rPr>
        <w:t>标定与质量：</w:t>
      </w:r>
      <w:r>
        <w:rPr>
          <w:rFonts w:ascii="Calibri" w:hAnsi="Calibri" w:eastAsia="Microsoft YaHei"/>
        </w:rPr>
        <w:t>用标准灯/同步辐射或已知线标定波长/响应；跟踪光栅污染和增益。</w:t>
      </w:r>
    </w:p>
    <w:p>
      <w:pPr>
        <w:widowControl/>
      </w:pPr>
      <w:r>
        <w:rPr>
          <w:rFonts w:ascii="Calibri" w:hAnsi="Calibri" w:eastAsia="Microsoft YaHei"/>
          <w:b/>
          <w:color w:val="1F4D78"/>
        </w:rPr>
        <w:t>反演与分析：</w:t>
      </w:r>
      <w:r>
        <w:rPr>
          <w:rFonts w:ascii="Calibri" w:hAnsi="Calibri" w:eastAsia="Microsoft YaHei"/>
        </w:rPr>
        <w:t>谱线识别/拟合后用ADAS系数推断发射；输运解释需前向模型。</w:t>
      </w:r>
    </w:p>
    <w:p>
      <w:pPr>
        <w:widowControl/>
      </w:pPr>
      <w:r>
        <w:rPr>
          <w:rFonts w:ascii="Calibri" w:hAnsi="Calibri" w:eastAsia="Microsoft YaHei"/>
          <w:b/>
          <w:color w:val="1F4D78"/>
        </w:rPr>
        <w:t>验证与应用：</w:t>
      </w:r>
      <w:r>
        <w:rPr>
          <w:rFonts w:ascii="Calibri" w:hAnsi="Calibri" w:eastAsia="Microsoft YaHei"/>
        </w:rPr>
        <w:t>ITER原型在KSTAR以杂质注入和已知谱线验证覆盖与灵敏度。</w:t>
      </w:r>
    </w:p>
    <w:p>
      <w:pPr>
        <w:widowControl/>
      </w:pPr>
      <w:r>
        <w:rPr>
          <w:rFonts w:ascii="Calibri" w:hAnsi="Calibri" w:eastAsia="Microsoft YaHei"/>
          <w:b/>
          <w:color w:val="1F4D78"/>
        </w:rPr>
        <w:t>局限与边界：</w:t>
      </w:r>
      <w:r>
        <w:rPr>
          <w:rFonts w:ascii="Calibri" w:hAnsi="Calibri" w:eastAsia="Microsoft YaHei"/>
        </w:rPr>
        <w:t>线混叠、原子数据、视线积分、污染和非平衡电离使密度反演不唯一。</w:t>
      </w:r>
    </w:p>
    <w:tbl>
      <w:tblPr>
        <w:tblStyle w:val="TableGrid"/>
        <w:tblW w:type="dxa" w:w="9360"/>
        <w:jc w:val="left"/>
        <w:tblLayout w:type="fixed"/>
        <w:tblLook w:firstColumn="1" w:firstRow="1" w:lastColumn="0" w:lastRow="0" w:noHBand="0" w:noVBand="1" w:val="04A0"/>
        <w:tblInd w:w="120" w:type="dxa"/>
      </w:tblPr>
      <w:tblGrid>
        <w:gridCol w:w="9360"/>
      </w:tblGrid>
      <w:tr>
        <w:trPr>
          <w:cantSplit/>
        </w:trPr>
        <w:tc>
          <w:tcPr>
            <w:tcW w:type="dxa" w:w="9360"/>
            <w:tcMar>
              <w:top w:w="80" w:type="dxa"/>
              <w:bottom w:w="80" w:type="dxa"/>
              <w:start w:w="120" w:type="dxa"/>
              <w:end w:w="120" w:type="dxa"/>
            </w:tcMar>
            <w:vAlign w:val="center"/>
            <w:shd w:fill="EEF7F7"/>
          </w:tcPr>
          <w:p>
            <w:pPr>
              <w:keepNext/>
              <w:keepLines/>
              <w:spacing w:after="40"/>
            </w:pPr>
            <w:r>
              <w:rPr>
                <w:rFonts w:ascii="Calibri" w:hAnsi="Calibri" w:eastAsia="Microsoft YaHei"/>
                <w:b/>
                <w:color w:val="008C95"/>
                <w:sz w:val="17"/>
              </w:rPr>
              <w:t>DIGITAL-TWIN RELEVANCE</w:t>
            </w:r>
          </w:p>
          <w:p>
            <w:pPr>
              <w:spacing w:after="0"/>
            </w:pPr>
            <w:r>
              <w:rPr>
                <w:rFonts w:ascii="Calibri" w:hAnsi="Calibri" w:eastAsia="Microsoft YaHei"/>
                <w:color w:val="0B2545"/>
                <w:sz w:val="20"/>
              </w:rPr>
              <w:t>为杂质孪生提供元素标签；原子库版本和识别置信度必须记录。</w:t>
            </w:r>
          </w:p>
        </w:tc>
      </w:tr>
    </w:tbl>
    <w:p>
      <w:pPr>
        <w:spacing w:after="40"/>
      </w:pPr>
    </w:p>
    <w:tbl>
      <w:tblPr>
        <w:tblStyle w:val="TableGrid"/>
        <w:tblW w:type="dxa" w:w="9360"/>
        <w:jc w:val="left"/>
        <w:tblLayout w:type="fixed"/>
        <w:tblLook w:firstColumn="1" w:firstRow="1" w:lastColumn="0" w:lastRow="0" w:noHBand="0" w:noVBand="1" w:val="04A0"/>
        <w:tblInd w:w="120" w:type="dxa"/>
      </w:tblPr>
      <w:tblGrid>
        <w:gridCol w:w="850"/>
        <w:gridCol w:w="2500"/>
        <w:gridCol w:w="1600"/>
        <w:gridCol w:w="2300"/>
        <w:gridCol w:w="2110"/>
      </w:tblGrid>
      <w:tr>
        <w:trPr>
          <w:tblHeader w:val="true"/>
        </w:trPr>
        <w:tc>
          <w:tcPr>
            <w:tcW w:type="dxa" w:w="8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年份/类型</w:t>
            </w:r>
          </w:p>
        </w:tc>
        <w:tc>
          <w:tcPr>
            <w:tcW w:type="dxa" w:w="25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论文或软件</w:t>
            </w:r>
          </w:p>
        </w:tc>
        <w:tc>
          <w:tcPr>
            <w:tcW w:type="dxa" w:w="16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期刊/开放性</w:t>
            </w:r>
          </w:p>
        </w:tc>
        <w:tc>
          <w:tcPr>
            <w:tcW w:type="dxa" w:w="23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来源类型/关系</w:t>
            </w:r>
          </w:p>
        </w:tc>
        <w:tc>
          <w:tcPr>
            <w:tcW w:type="dxa" w:w="211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链接</w:t>
            </w:r>
          </w:p>
        </w:tc>
      </w:tr>
      <w:tr>
        <w:trPr>
          <w:cantSplit/>
        </w:trPr>
        <w:tc>
          <w:tcPr>
            <w:tcW w:type="dxa" w:w="850"/>
          </w:tcPr>
          <w:p>
            <w:pPr>
              <w:keepLines/>
              <w:spacing w:after="0" w:line="276" w:lineRule="auto"/>
            </w:pPr>
            <w:r>
              <w:rPr>
                <w:rFonts w:ascii="Calibri" w:hAnsi="Calibri" w:eastAsia="Microsoft YaHei"/>
                <w:color w:val="0B2545"/>
                <w:sz w:val="14"/>
              </w:rPr>
              <w:t>2014</w:t>
            </w:r>
          </w:p>
        </w:tc>
        <w:tc>
          <w:tcPr>
            <w:tcW w:type="dxa" w:w="2500"/>
          </w:tcPr>
          <w:p>
            <w:pPr>
              <w:keepLines/>
              <w:spacing w:after="0" w:line="276" w:lineRule="auto"/>
            </w:pPr>
            <w:r>
              <w:rPr>
                <w:rFonts w:ascii="Calibri" w:hAnsi="Calibri" w:eastAsia="Microsoft YaHei"/>
                <w:color w:val="0B2545"/>
                <w:sz w:val="14"/>
              </w:rPr>
              <w:t>Test of prototype ITER vacuum ultraviolet spectrometer and its application to impurity study in KSTAR plasmas</w:t>
            </w:r>
          </w:p>
        </w:tc>
        <w:tc>
          <w:tcPr>
            <w:tcW w:type="dxa" w:w="1600"/>
          </w:tcPr>
          <w:p>
            <w:pPr>
              <w:keepLines/>
              <w:spacing w:after="0" w:line="276" w:lineRule="auto"/>
            </w:pPr>
            <w:r>
              <w:rPr>
                <w:rFonts w:ascii="Calibri" w:hAnsi="Calibri" w:eastAsia="Microsoft YaHei"/>
                <w:color w:val="0B2545"/>
                <w:sz w:val="14"/>
              </w:rPr>
              <w:t>Review of Scientific Instruments</w:t>
            </w:r>
          </w:p>
        </w:tc>
        <w:tc>
          <w:tcPr>
            <w:tcW w:type="dxa" w:w="2300"/>
          </w:tcPr>
          <w:p>
            <w:pPr>
              <w:keepLines/>
              <w:spacing w:after="0" w:line="276" w:lineRule="auto"/>
            </w:pPr>
            <w:r>
              <w:rPr>
                <w:rFonts w:ascii="Calibri" w:hAnsi="Calibri" w:eastAsia="Microsoft YaHei"/>
                <w:color w:val="0B2545"/>
                <w:sz w:val="14"/>
              </w:rPr>
              <w:t>peer-reviewed-journal</w:t>
            </w:r>
          </w:p>
        </w:tc>
        <w:tc>
          <w:tcPr>
            <w:tcW w:type="dxa" w:w="2110"/>
          </w:tcPr>
          <w:p>
            <w:pPr>
              <w:keepLines/>
              <w:spacing w:after="0" w:line="276" w:lineRule="auto"/>
            </w:pPr>
            <w:hyperlink r:id="rId79">
              <w:r>
                <w:rPr>
                  <w:rFonts w:ascii="Calibri" w:hAnsi="Calibri" w:eastAsia="Microsoft YaHei"/>
                  <w:color w:val="008C95"/>
                  <w:u w:val="single"/>
                </w:rPr>
                <w:t>打开原始来源 ↗</w:t>
              </w:r>
            </w:hyperlink>
          </w:p>
        </w:tc>
      </w:tr>
      <w:tr>
        <w:trPr>
          <w:cantSplit/>
        </w:trPr>
        <w:tc>
          <w:tcPr>
            <w:tcW w:type="dxa" w:w="850"/>
          </w:tcPr>
          <w:p>
            <w:pPr>
              <w:keepLines/>
              <w:spacing w:after="0" w:line="276" w:lineRule="auto"/>
            </w:pPr>
            <w:r>
              <w:rPr>
                <w:rFonts w:ascii="Calibri" w:hAnsi="Calibri" w:eastAsia="Microsoft YaHei"/>
                <w:color w:val="0B2545"/>
                <w:sz w:val="14"/>
              </w:rPr>
              <w:t>2017</w:t>
            </w:r>
          </w:p>
        </w:tc>
        <w:tc>
          <w:tcPr>
            <w:tcW w:type="dxa" w:w="2500"/>
          </w:tcPr>
          <w:p>
            <w:pPr>
              <w:keepLines/>
              <w:spacing w:after="0" w:line="276" w:lineRule="auto"/>
            </w:pPr>
            <w:r>
              <w:rPr>
                <w:rFonts w:ascii="Calibri" w:hAnsi="Calibri" w:eastAsia="Microsoft YaHei"/>
                <w:color w:val="0B2545"/>
                <w:sz w:val="14"/>
              </w:rPr>
              <w:t>VUV spectroscopy in impurity injection experiments at KSTAR using prototype ITER VUV spectrometer</w:t>
            </w:r>
          </w:p>
        </w:tc>
        <w:tc>
          <w:tcPr>
            <w:tcW w:type="dxa" w:w="1600"/>
          </w:tcPr>
          <w:p>
            <w:pPr>
              <w:keepLines/>
              <w:spacing w:after="0" w:line="276" w:lineRule="auto"/>
            </w:pPr>
            <w:r>
              <w:rPr>
                <w:rFonts w:ascii="Calibri" w:hAnsi="Calibri" w:eastAsia="Microsoft YaHei"/>
                <w:color w:val="0B2545"/>
                <w:sz w:val="14"/>
              </w:rPr>
              <w:t>Review of Scientific Instruments</w:t>
            </w:r>
          </w:p>
        </w:tc>
        <w:tc>
          <w:tcPr>
            <w:tcW w:type="dxa" w:w="2300"/>
          </w:tcPr>
          <w:p>
            <w:pPr>
              <w:keepLines/>
              <w:spacing w:after="0" w:line="276" w:lineRule="auto"/>
            </w:pPr>
            <w:r>
              <w:rPr>
                <w:rFonts w:ascii="Calibri" w:hAnsi="Calibri" w:eastAsia="Microsoft YaHei"/>
                <w:color w:val="0B2545"/>
                <w:sz w:val="14"/>
              </w:rPr>
              <w:t>peer-reviewed-journal</w:t>
            </w:r>
          </w:p>
        </w:tc>
        <w:tc>
          <w:tcPr>
            <w:tcW w:type="dxa" w:w="2110"/>
          </w:tcPr>
          <w:p>
            <w:pPr>
              <w:keepLines/>
              <w:spacing w:after="0" w:line="276" w:lineRule="auto"/>
            </w:pPr>
            <w:hyperlink r:id="rId80">
              <w:r>
                <w:rPr>
                  <w:rFonts w:ascii="Calibri" w:hAnsi="Calibri" w:eastAsia="Microsoft YaHei"/>
                  <w:color w:val="008C95"/>
                  <w:u w:val="single"/>
                </w:rPr>
                <w:t>打开原始来源 ↗</w:t>
              </w:r>
            </w:hyperlink>
          </w:p>
        </w:tc>
      </w:tr>
      <w:tr>
        <w:trPr>
          <w:cantSplit/>
        </w:trPr>
        <w:tc>
          <w:tcPr>
            <w:tcW w:type="dxa" w:w="850"/>
          </w:tcPr>
          <w:p>
            <w:pPr>
              <w:keepLines/>
              <w:spacing w:after="0" w:line="276" w:lineRule="auto"/>
            </w:pPr>
            <w:r>
              <w:rPr>
                <w:rFonts w:ascii="Calibri" w:hAnsi="Calibri" w:eastAsia="Microsoft YaHei"/>
                <w:color w:val="0B2545"/>
                <w:sz w:val="14"/>
              </w:rPr>
              <w:t>软件</w:t>
            </w:r>
          </w:p>
        </w:tc>
        <w:tc>
          <w:tcPr>
            <w:tcW w:type="dxa" w:w="2500"/>
          </w:tcPr>
          <w:p>
            <w:pPr>
              <w:keepLines/>
              <w:spacing w:after="0" w:line="276" w:lineRule="auto"/>
            </w:pPr>
            <w:r>
              <w:rPr>
                <w:rFonts w:ascii="Calibri" w:hAnsi="Calibri" w:eastAsia="Microsoft YaHei"/>
                <w:color w:val="0B2545"/>
                <w:sz w:val="14"/>
              </w:rPr>
              <w:t>OpenADAS</w:t>
            </w:r>
          </w:p>
        </w:tc>
        <w:tc>
          <w:tcPr>
            <w:tcW w:type="dxa" w:w="1600"/>
          </w:tcPr>
          <w:p>
            <w:pPr>
              <w:keepLines/>
              <w:spacing w:after="0" w:line="276" w:lineRule="auto"/>
            </w:pPr>
            <w:r>
              <w:rPr>
                <w:rFonts w:ascii="Calibri" w:hAnsi="Calibri" w:eastAsia="Microsoft YaHei"/>
                <w:color w:val="0B2545"/>
                <w:sz w:val="14"/>
              </w:rPr>
              <w:t>official-enabling</w:t>
            </w:r>
          </w:p>
        </w:tc>
        <w:tc>
          <w:tcPr>
            <w:tcW w:type="dxa" w:w="2300"/>
          </w:tcPr>
          <w:p>
            <w:pPr>
              <w:keepLines/>
              <w:spacing w:after="0" w:line="276" w:lineRule="auto"/>
            </w:pPr>
            <w:r>
              <w:rPr>
                <w:rFonts w:ascii="Calibri" w:hAnsi="Calibri" w:eastAsia="Microsoft YaHei"/>
                <w:color w:val="0B2545"/>
                <w:sz w:val="14"/>
              </w:rPr>
              <w:t>VUV谱线/PEC/电离平衡。</w:t>
            </w:r>
          </w:p>
        </w:tc>
        <w:tc>
          <w:tcPr>
            <w:tcW w:type="dxa" w:w="2110"/>
          </w:tcPr>
          <w:p>
            <w:pPr>
              <w:keepLines/>
              <w:spacing w:after="0" w:line="276" w:lineRule="auto"/>
            </w:pPr>
            <w:hyperlink r:id="rId60">
              <w:r>
                <w:rPr>
                  <w:rFonts w:ascii="Calibri" w:hAnsi="Calibri" w:eastAsia="Microsoft YaHei"/>
                  <w:color w:val="008C95"/>
                  <w:u w:val="single"/>
                </w:rPr>
                <w:t>打开原始来源 ↗</w:t>
              </w:r>
            </w:hyperlink>
          </w:p>
        </w:tc>
      </w:tr>
      <w:tr>
        <w:trPr>
          <w:cantSplit/>
        </w:trPr>
        <w:tc>
          <w:tcPr>
            <w:tcW w:type="dxa" w:w="850"/>
          </w:tcPr>
          <w:p>
            <w:pPr>
              <w:keepLines/>
              <w:spacing w:after="0" w:line="276" w:lineRule="auto"/>
            </w:pPr>
            <w:r>
              <w:rPr>
                <w:rFonts w:ascii="Calibri" w:hAnsi="Calibri" w:eastAsia="Microsoft YaHei"/>
                <w:color w:val="0B2545"/>
                <w:sz w:val="14"/>
              </w:rPr>
              <w:t>软件</w:t>
            </w:r>
          </w:p>
        </w:tc>
        <w:tc>
          <w:tcPr>
            <w:tcW w:type="dxa" w:w="2500"/>
          </w:tcPr>
          <w:p>
            <w:pPr>
              <w:keepLines/>
              <w:spacing w:after="0" w:line="276" w:lineRule="auto"/>
            </w:pPr>
            <w:r>
              <w:rPr>
                <w:rFonts w:ascii="Calibri" w:hAnsi="Calibri" w:eastAsia="Microsoft YaHei"/>
                <w:color w:val="0B2545"/>
                <w:sz w:val="14"/>
              </w:rPr>
              <w:t>装置专有分析/标定软件</w:t>
            </w:r>
          </w:p>
        </w:tc>
        <w:tc>
          <w:tcPr>
            <w:tcW w:type="dxa" w:w="1600"/>
          </w:tcPr>
          <w:p>
            <w:pPr>
              <w:keepLines/>
              <w:spacing w:after="0" w:line="276" w:lineRule="auto"/>
            </w:pPr>
            <w:r>
              <w:rPr>
                <w:rFonts w:ascii="Calibri" w:hAnsi="Calibri" w:eastAsia="Microsoft YaHei"/>
                <w:color w:val="0B2545"/>
                <w:sz w:val="14"/>
              </w:rPr>
              <w:t>not-public</w:t>
            </w:r>
          </w:p>
        </w:tc>
        <w:tc>
          <w:tcPr>
            <w:tcW w:type="dxa" w:w="2300"/>
          </w:tcPr>
          <w:p>
            <w:pPr>
              <w:keepLines/>
              <w:spacing w:after="0" w:line="276" w:lineRule="auto"/>
            </w:pPr>
            <w:r>
              <w:rPr>
                <w:rFonts w:ascii="Calibri" w:hAnsi="Calibri" w:eastAsia="Microsoft YaHei"/>
                <w:color w:val="0B2545"/>
                <w:sz w:val="14"/>
              </w:rPr>
              <w:t>自动识别和仪器响应库未公开。</w:t>
            </w:r>
          </w:p>
        </w:tc>
        <w:tc>
          <w:tcPr>
            <w:tcW w:type="dxa" w:w="2110"/>
          </w:tcPr>
          <w:p>
            <w:pPr>
              <w:keepLines/>
              <w:spacing w:after="0" w:line="276" w:lineRule="auto"/>
            </w:pPr>
            <w:r>
              <w:rPr>
                <w:rFonts w:ascii="Calibri" w:hAnsi="Calibri" w:eastAsia="Microsoft YaHei"/>
                <w:color w:val="0B2545"/>
                <w:sz w:val="14"/>
              </w:rPr>
              <w:t>未公开</w:t>
            </w:r>
          </w:p>
        </w:tc>
      </w:tr>
    </w:tbl>
    <w:p>
      <w:pPr>
        <w:spacing w:before="0" w:after="60"/>
      </w:pPr>
    </w:p>
    <w:p>
      <w:pPr>
        <w:pStyle w:val="Heading3"/>
        <w:keepNext/>
      </w:pPr>
      <w:r>
        <w:t>DG4.04  可见光杂质/燃料谱：Zeff、流入与回收</w:t>
      </w:r>
    </w:p>
    <w:p>
      <w:pPr>
        <w:keepNext/>
        <w:spacing w:after="80"/>
      </w:pPr>
      <w:r>
        <w:rPr>
          <w:rFonts w:ascii="Calibri" w:hAnsi="Calibri" w:eastAsia="Microsoft YaHei"/>
          <w:i/>
          <w:color w:val="566573"/>
          <w:sz w:val="18"/>
        </w:rPr>
        <w:t>Visible spectroscopy for Zeff, impurity influx and recycling</w:t>
      </w:r>
    </w:p>
    <w:tbl>
      <w:tblPr>
        <w:tblStyle w:val="TableGrid"/>
        <w:tblW w:type="dxa" w:w="9360"/>
        <w:jc w:val="left"/>
        <w:tblLayout w:type="fixed"/>
        <w:tblLook w:firstColumn="1" w:firstRow="1" w:lastColumn="0" w:lastRow="0" w:noHBand="0" w:noVBand="1" w:val="04A0"/>
        <w:tblInd w:w="120" w:type="dxa"/>
      </w:tblPr>
      <w:tblGrid>
        <w:gridCol w:w="1200"/>
        <w:gridCol w:w="750"/>
        <w:gridCol w:w="750"/>
        <w:gridCol w:w="2100"/>
        <w:gridCol w:w="4560"/>
      </w:tblGrid>
      <w:tr>
        <w:trPr>
          <w:tblHeader w:val="true"/>
        </w:trPr>
        <w:tc>
          <w:tcPr>
            <w:tcW w:type="dxa" w:w="12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工作 ID</w:t>
            </w:r>
          </w:p>
        </w:tc>
        <w:tc>
          <w:tcPr>
            <w:tcW w:type="dxa" w:w="7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证据</w:t>
            </w:r>
          </w:p>
        </w:tc>
        <w:tc>
          <w:tcPr>
            <w:tcW w:type="dxa" w:w="7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部署</w:t>
            </w:r>
          </w:p>
        </w:tc>
        <w:tc>
          <w:tcPr>
            <w:tcW w:type="dxa" w:w="21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技术族</w:t>
            </w:r>
          </w:p>
        </w:tc>
        <w:tc>
          <w:tcPr>
            <w:tcW w:type="dxa" w:w="456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装置</w:t>
            </w:r>
          </w:p>
        </w:tc>
      </w:tr>
      <w:tr>
        <w:trPr>
          <w:cantSplit/>
        </w:trPr>
        <w:tc>
          <w:tcPr>
            <w:tcW w:type="dxa" w:w="1200"/>
          </w:tcPr>
          <w:p>
            <w:pPr>
              <w:keepLines/>
              <w:spacing w:after="0" w:line="276" w:lineRule="auto"/>
            </w:pPr>
            <w:r>
              <w:rPr>
                <w:rFonts w:ascii="Calibri" w:hAnsi="Calibri" w:eastAsia="Microsoft YaHei"/>
                <w:color w:val="0B2545"/>
                <w:sz w:val="15"/>
              </w:rPr>
              <w:t>DG4-019</w:t>
            </w:r>
          </w:p>
        </w:tc>
        <w:tc>
          <w:tcPr>
            <w:tcW w:type="dxa" w:w="750"/>
          </w:tcPr>
          <w:p>
            <w:pPr>
              <w:keepLines/>
              <w:spacing w:after="0" w:line="276" w:lineRule="auto"/>
            </w:pPr>
            <w:r>
              <w:rPr>
                <w:rFonts w:ascii="Calibri" w:hAnsi="Calibri" w:eastAsia="Microsoft YaHei"/>
                <w:color w:val="0B2545"/>
                <w:sz w:val="15"/>
              </w:rPr>
              <w:t>E4</w:t>
            </w:r>
          </w:p>
        </w:tc>
        <w:tc>
          <w:tcPr>
            <w:tcW w:type="dxa" w:w="750"/>
          </w:tcPr>
          <w:p>
            <w:pPr>
              <w:keepLines/>
              <w:spacing w:after="0" w:line="276" w:lineRule="auto"/>
            </w:pPr>
            <w:r>
              <w:rPr>
                <w:rFonts w:ascii="Calibri" w:hAnsi="Calibri" w:eastAsia="Microsoft YaHei"/>
                <w:color w:val="0B2545"/>
                <w:sz w:val="15"/>
              </w:rPr>
              <w:t>D4</w:t>
            </w:r>
          </w:p>
        </w:tc>
        <w:tc>
          <w:tcPr>
            <w:tcW w:type="dxa" w:w="2100"/>
          </w:tcPr>
          <w:p>
            <w:pPr>
              <w:keepLines/>
              <w:spacing w:after="0" w:line="276" w:lineRule="auto"/>
            </w:pPr>
            <w:r>
              <w:rPr>
                <w:rFonts w:ascii="Calibri" w:hAnsi="Calibri" w:eastAsia="Microsoft YaHei"/>
                <w:color w:val="0B2545"/>
                <w:sz w:val="15"/>
              </w:rPr>
              <w:t>OPTICAL</w:t>
            </w:r>
          </w:p>
        </w:tc>
        <w:tc>
          <w:tcPr>
            <w:tcW w:type="dxa" w:w="4560"/>
          </w:tcPr>
          <w:p>
            <w:pPr>
              <w:keepLines/>
              <w:spacing w:after="0" w:line="276" w:lineRule="auto"/>
            </w:pPr>
            <w:r>
              <w:rPr>
                <w:rFonts w:ascii="Calibri" w:hAnsi="Calibri" w:eastAsia="Microsoft YaHei"/>
                <w:color w:val="0B2545"/>
                <w:sz w:val="15"/>
              </w:rPr>
              <w:t>JET；EAST；DIII-D；ITER</w:t>
            </w:r>
          </w:p>
        </w:tc>
      </w:tr>
    </w:tbl>
    <w:p>
      <w:pPr>
        <w:spacing w:before="0" w:after="60"/>
      </w:pPr>
    </w:p>
    <w:p>
      <w:pPr>
        <w:widowControl/>
      </w:pPr>
      <w:r>
        <w:rPr>
          <w:rFonts w:ascii="Calibri" w:hAnsi="Calibri" w:eastAsia="Microsoft YaHei"/>
          <w:b/>
          <w:color w:val="1F4D78"/>
        </w:rPr>
        <w:t>解决问题：</w:t>
      </w:r>
      <w:r>
        <w:rPr>
          <w:rFonts w:ascii="Calibri" w:hAnsi="Calibri" w:eastAsia="Microsoft YaHei"/>
        </w:rPr>
        <w:t>监测H同位素、低电荷杂质、Zeff代理、壁源与偏滤器回收。</w:t>
      </w:r>
    </w:p>
    <w:p>
      <w:pPr>
        <w:widowControl/>
      </w:pPr>
      <w:r>
        <w:rPr>
          <w:rFonts w:ascii="Calibri" w:hAnsi="Calibri" w:eastAsia="Microsoft YaHei"/>
          <w:b/>
          <w:color w:val="1F4D78"/>
        </w:rPr>
        <w:t>测量原理：</w:t>
      </w:r>
      <w:r>
        <w:rPr>
          <w:rFonts w:ascii="Calibri" w:hAnsi="Calibri" w:eastAsia="Microsoft YaHei"/>
        </w:rPr>
        <w:t>测Dα/Hα、杂质线和连续谱；线强结合PEC/SXB给粒子源，轫致连续谱约束Zeff。</w:t>
      </w:r>
    </w:p>
    <w:p>
      <w:pPr>
        <w:widowControl/>
      </w:pPr>
      <w:r>
        <w:rPr>
          <w:rFonts w:ascii="Calibri" w:hAnsi="Calibri" w:eastAsia="Microsoft YaHei"/>
          <w:b/>
          <w:color w:val="1F4D78"/>
        </w:rPr>
        <w:t>测量产品：</w:t>
      </w:r>
      <w:r>
        <w:rPr>
          <w:rFonts w:ascii="Calibri" w:hAnsi="Calibri" w:eastAsia="Microsoft YaHei"/>
        </w:rPr>
        <w:t>line brightness；impurity influx；recycling flux；Zeff；isotope ratio</w:t>
      </w:r>
    </w:p>
    <w:p>
      <w:pPr>
        <w:widowControl/>
      </w:pPr>
      <w:r>
        <w:rPr>
          <w:rFonts w:ascii="Calibri" w:hAnsi="Calibri" w:eastAsia="Microsoft YaHei"/>
          <w:b/>
          <w:color w:val="1F4D78"/>
        </w:rPr>
        <w:t>时空分辨与覆盖：</w:t>
      </w:r>
      <w:r>
        <w:rPr>
          <w:rFonts w:ascii="Calibri" w:hAnsi="Calibri" w:eastAsia="Microsoft YaHei"/>
        </w:rPr>
        <w:t>时间：因装置、采集和分析链而异；原始来源未给出统一数值。；空间：由视线、几何和反演设定；原始来源未给出统一数值。</w:t>
      </w:r>
    </w:p>
    <w:p>
      <w:pPr>
        <w:widowControl/>
      </w:pPr>
      <w:r>
        <w:rPr>
          <w:rFonts w:ascii="Calibri" w:hAnsi="Calibri" w:eastAsia="Microsoft YaHei"/>
          <w:b/>
          <w:color w:val="1F4D78"/>
        </w:rPr>
        <w:t>仪器与传感器：</w:t>
      </w:r>
      <w:r>
        <w:rPr>
          <w:rFonts w:ascii="Calibri" w:hAnsi="Calibri" w:eastAsia="Microsoft YaHei"/>
        </w:rPr>
        <w:t>survey spectrometers；filtered cameras；fiber bundles；calibration lamps</w:t>
      </w:r>
    </w:p>
    <w:p>
      <w:pPr>
        <w:widowControl/>
      </w:pPr>
      <w:r>
        <w:rPr>
          <w:rFonts w:ascii="Calibri" w:hAnsi="Calibri" w:eastAsia="Microsoft YaHei"/>
          <w:b/>
          <w:color w:val="1F4D78"/>
        </w:rPr>
        <w:t>标定与质量：</w:t>
      </w:r>
      <w:r>
        <w:rPr>
          <w:rFonts w:ascii="Calibri" w:hAnsi="Calibri" w:eastAsia="Microsoft YaHei"/>
        </w:rPr>
        <w:t>用波长灯、积分球/标准源标定绝对响应；跟踪光纤/窗口透过率。</w:t>
      </w:r>
    </w:p>
    <w:p>
      <w:pPr>
        <w:widowControl/>
      </w:pPr>
      <w:r>
        <w:rPr>
          <w:rFonts w:ascii="Calibri" w:hAnsi="Calibri" w:eastAsia="Microsoft YaHei"/>
          <w:b/>
          <w:color w:val="1F4D78"/>
        </w:rPr>
        <w:t>反演与分析：</w:t>
      </w:r>
      <w:r>
        <w:rPr>
          <w:rFonts w:ascii="Calibri" w:hAnsi="Calibri" w:eastAsia="Microsoft YaHei"/>
        </w:rPr>
        <w:t>多峰拟合分离线/连续谱，用ADAS换算；Zeff需Te/ne与几何约束。</w:t>
      </w:r>
    </w:p>
    <w:p>
      <w:pPr>
        <w:widowControl/>
      </w:pPr>
      <w:r>
        <w:rPr>
          <w:rFonts w:ascii="Calibri" w:hAnsi="Calibri" w:eastAsia="Microsoft YaHei"/>
          <w:b/>
          <w:color w:val="1F4D78"/>
        </w:rPr>
        <w:t>验证与应用：</w:t>
      </w:r>
      <w:r>
        <w:rPr>
          <w:rFonts w:ascii="Calibri" w:hAnsi="Calibri" w:eastAsia="Microsoft YaHei"/>
        </w:rPr>
        <w:t>JET 金属壁装置常规运行把可见谱线与材料变化、辐射/粒子诊断交叉。</w:t>
      </w:r>
    </w:p>
    <w:p>
      <w:pPr>
        <w:widowControl/>
      </w:pPr>
      <w:r>
        <w:rPr>
          <w:rFonts w:ascii="Calibri" w:hAnsi="Calibri" w:eastAsia="Microsoft YaHei"/>
          <w:b/>
          <w:color w:val="1F4D78"/>
        </w:rPr>
        <w:t>局限与边界：</w:t>
      </w:r>
      <w:r>
        <w:rPr>
          <w:rFonts w:ascii="Calibri" w:hAnsi="Calibri" w:eastAsia="Microsoft YaHei"/>
        </w:rPr>
        <w:t>视线积分、反射光、非平衡激发、污染和原子系数限制绝对粒子源。</w:t>
      </w:r>
    </w:p>
    <w:tbl>
      <w:tblPr>
        <w:tblStyle w:val="TableGrid"/>
        <w:tblW w:type="dxa" w:w="9360"/>
        <w:jc w:val="left"/>
        <w:tblLayout w:type="fixed"/>
        <w:tblLook w:firstColumn="1" w:firstRow="1" w:lastColumn="0" w:lastRow="0" w:noHBand="0" w:noVBand="1" w:val="04A0"/>
        <w:tblInd w:w="120" w:type="dxa"/>
      </w:tblPr>
      <w:tblGrid>
        <w:gridCol w:w="9360"/>
      </w:tblGrid>
      <w:tr>
        <w:trPr>
          <w:cantSplit/>
        </w:trPr>
        <w:tc>
          <w:tcPr>
            <w:tcW w:type="dxa" w:w="9360"/>
            <w:tcMar>
              <w:top w:w="80" w:type="dxa"/>
              <w:bottom w:w="80" w:type="dxa"/>
              <w:start w:w="120" w:type="dxa"/>
              <w:end w:w="120" w:type="dxa"/>
            </w:tcMar>
            <w:vAlign w:val="center"/>
            <w:shd w:fill="EEF7F7"/>
          </w:tcPr>
          <w:p>
            <w:pPr>
              <w:keepNext/>
              <w:keepLines/>
              <w:spacing w:after="40"/>
            </w:pPr>
            <w:r>
              <w:rPr>
                <w:rFonts w:ascii="Calibri" w:hAnsi="Calibri" w:eastAsia="Microsoft YaHei"/>
                <w:b/>
                <w:color w:val="008C95"/>
                <w:sz w:val="17"/>
              </w:rPr>
              <w:t>DIGITAL-TWIN RELEVANCE</w:t>
            </w:r>
          </w:p>
          <w:p>
            <w:pPr>
              <w:spacing w:after="0"/>
            </w:pPr>
            <w:r>
              <w:rPr>
                <w:rFonts w:ascii="Calibri" w:hAnsi="Calibri" w:eastAsia="Microsoft YaHei"/>
                <w:color w:val="0B2545"/>
                <w:sz w:val="20"/>
              </w:rPr>
              <w:t>把壁—等离子体交换纳入孪生；绝对辐亮度和表面反射模型须可追溯。</w:t>
            </w:r>
          </w:p>
        </w:tc>
      </w:tr>
    </w:tbl>
    <w:p>
      <w:pPr>
        <w:spacing w:after="40"/>
      </w:pPr>
    </w:p>
    <w:tbl>
      <w:tblPr>
        <w:tblStyle w:val="TableGrid"/>
        <w:tblW w:type="dxa" w:w="9360"/>
        <w:jc w:val="left"/>
        <w:tblLayout w:type="fixed"/>
        <w:tblLook w:firstColumn="1" w:firstRow="1" w:lastColumn="0" w:lastRow="0" w:noHBand="0" w:noVBand="1" w:val="04A0"/>
        <w:tblInd w:w="120" w:type="dxa"/>
      </w:tblPr>
      <w:tblGrid>
        <w:gridCol w:w="850"/>
        <w:gridCol w:w="2500"/>
        <w:gridCol w:w="1600"/>
        <w:gridCol w:w="2300"/>
        <w:gridCol w:w="2110"/>
      </w:tblGrid>
      <w:tr>
        <w:trPr>
          <w:tblHeader w:val="true"/>
        </w:trPr>
        <w:tc>
          <w:tcPr>
            <w:tcW w:type="dxa" w:w="8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年份/类型</w:t>
            </w:r>
          </w:p>
        </w:tc>
        <w:tc>
          <w:tcPr>
            <w:tcW w:type="dxa" w:w="25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论文或软件</w:t>
            </w:r>
          </w:p>
        </w:tc>
        <w:tc>
          <w:tcPr>
            <w:tcW w:type="dxa" w:w="16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期刊/开放性</w:t>
            </w:r>
          </w:p>
        </w:tc>
        <w:tc>
          <w:tcPr>
            <w:tcW w:type="dxa" w:w="23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来源类型/关系</w:t>
            </w:r>
          </w:p>
        </w:tc>
        <w:tc>
          <w:tcPr>
            <w:tcW w:type="dxa" w:w="211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链接</w:t>
            </w:r>
          </w:p>
        </w:tc>
      </w:tr>
      <w:tr>
        <w:trPr>
          <w:cantSplit/>
        </w:trPr>
        <w:tc>
          <w:tcPr>
            <w:tcW w:type="dxa" w:w="850"/>
          </w:tcPr>
          <w:p>
            <w:pPr>
              <w:keepLines/>
              <w:spacing w:after="0" w:line="276" w:lineRule="auto"/>
            </w:pPr>
            <w:r>
              <w:rPr>
                <w:rFonts w:ascii="Calibri" w:hAnsi="Calibri" w:eastAsia="Microsoft YaHei"/>
                <w:color w:val="0B2545"/>
                <w:sz w:val="14"/>
              </w:rPr>
              <w:t>2012</w:t>
            </w:r>
          </w:p>
        </w:tc>
        <w:tc>
          <w:tcPr>
            <w:tcW w:type="dxa" w:w="2500"/>
          </w:tcPr>
          <w:p>
            <w:pPr>
              <w:keepLines/>
              <w:spacing w:after="0" w:line="276" w:lineRule="auto"/>
            </w:pPr>
            <w:r>
              <w:rPr>
                <w:rFonts w:ascii="Calibri" w:hAnsi="Calibri" w:eastAsia="Microsoft YaHei"/>
                <w:color w:val="0B2545"/>
                <w:sz w:val="14"/>
              </w:rPr>
              <w:t>A new visible spectroscopy diagnostic for the JET ITER-like wall main chamber</w:t>
            </w:r>
          </w:p>
        </w:tc>
        <w:tc>
          <w:tcPr>
            <w:tcW w:type="dxa" w:w="1600"/>
          </w:tcPr>
          <w:p>
            <w:pPr>
              <w:keepLines/>
              <w:spacing w:after="0" w:line="276" w:lineRule="auto"/>
            </w:pPr>
            <w:r>
              <w:rPr>
                <w:rFonts w:ascii="Calibri" w:hAnsi="Calibri" w:eastAsia="Microsoft YaHei"/>
                <w:color w:val="0B2545"/>
                <w:sz w:val="14"/>
              </w:rPr>
              <w:t>Review of Scientific Instruments</w:t>
            </w:r>
          </w:p>
        </w:tc>
        <w:tc>
          <w:tcPr>
            <w:tcW w:type="dxa" w:w="2300"/>
          </w:tcPr>
          <w:p>
            <w:pPr>
              <w:keepLines/>
              <w:spacing w:after="0" w:line="276" w:lineRule="auto"/>
            </w:pPr>
            <w:r>
              <w:rPr>
                <w:rFonts w:ascii="Calibri" w:hAnsi="Calibri" w:eastAsia="Microsoft YaHei"/>
                <w:color w:val="0B2545"/>
                <w:sz w:val="14"/>
              </w:rPr>
              <w:t>peer-reviewed-journal</w:t>
            </w:r>
          </w:p>
        </w:tc>
        <w:tc>
          <w:tcPr>
            <w:tcW w:type="dxa" w:w="2110"/>
          </w:tcPr>
          <w:p>
            <w:pPr>
              <w:keepLines/>
              <w:spacing w:after="0" w:line="276" w:lineRule="auto"/>
            </w:pPr>
            <w:hyperlink r:id="rId81">
              <w:r>
                <w:rPr>
                  <w:rFonts w:ascii="Calibri" w:hAnsi="Calibri" w:eastAsia="Microsoft YaHei"/>
                  <w:color w:val="008C95"/>
                  <w:u w:val="single"/>
                </w:rPr>
                <w:t>打开原始来源 ↗</w:t>
              </w:r>
            </w:hyperlink>
          </w:p>
        </w:tc>
      </w:tr>
      <w:tr>
        <w:trPr>
          <w:cantSplit/>
        </w:trPr>
        <w:tc>
          <w:tcPr>
            <w:tcW w:type="dxa" w:w="850"/>
          </w:tcPr>
          <w:p>
            <w:pPr>
              <w:keepLines/>
              <w:spacing w:after="0" w:line="276" w:lineRule="auto"/>
            </w:pPr>
            <w:r>
              <w:rPr>
                <w:rFonts w:ascii="Calibri" w:hAnsi="Calibri" w:eastAsia="Microsoft YaHei"/>
                <w:color w:val="0B2545"/>
                <w:sz w:val="14"/>
              </w:rPr>
              <w:t>2003</w:t>
            </w:r>
          </w:p>
        </w:tc>
        <w:tc>
          <w:tcPr>
            <w:tcW w:type="dxa" w:w="2500"/>
          </w:tcPr>
          <w:p>
            <w:pPr>
              <w:keepLines/>
              <w:spacing w:after="0" w:line="276" w:lineRule="auto"/>
            </w:pPr>
            <w:r>
              <w:rPr>
                <w:rFonts w:ascii="Calibri" w:hAnsi="Calibri" w:eastAsia="Microsoft YaHei"/>
                <w:color w:val="0B2545"/>
                <w:sz w:val="14"/>
              </w:rPr>
              <w:t>Spectroscopic Diagnostics for ITER</w:t>
            </w:r>
          </w:p>
        </w:tc>
        <w:tc>
          <w:tcPr>
            <w:tcW w:type="dxa" w:w="1600"/>
          </w:tcPr>
          <w:p>
            <w:pPr>
              <w:keepLines/>
              <w:spacing w:after="0" w:line="276" w:lineRule="auto"/>
            </w:pPr>
            <w:r>
              <w:rPr>
                <w:rFonts w:ascii="Calibri" w:hAnsi="Calibri" w:eastAsia="Microsoft YaHei"/>
                <w:color w:val="0B2545"/>
                <w:sz w:val="14"/>
              </w:rPr>
              <w:t>Journal of Plasma and Fusion Research</w:t>
            </w:r>
          </w:p>
        </w:tc>
        <w:tc>
          <w:tcPr>
            <w:tcW w:type="dxa" w:w="2300"/>
          </w:tcPr>
          <w:p>
            <w:pPr>
              <w:keepLines/>
              <w:spacing w:after="0" w:line="276" w:lineRule="auto"/>
            </w:pPr>
            <w:r>
              <w:rPr>
                <w:rFonts w:ascii="Calibri" w:hAnsi="Calibri" w:eastAsia="Microsoft YaHei"/>
                <w:color w:val="0B2545"/>
                <w:sz w:val="14"/>
              </w:rPr>
              <w:t>peer-reviewed-journal</w:t>
            </w:r>
          </w:p>
        </w:tc>
        <w:tc>
          <w:tcPr>
            <w:tcW w:type="dxa" w:w="2110"/>
          </w:tcPr>
          <w:p>
            <w:pPr>
              <w:keepLines/>
              <w:spacing w:after="0" w:line="276" w:lineRule="auto"/>
            </w:pPr>
            <w:hyperlink r:id="rId82">
              <w:r>
                <w:rPr>
                  <w:rFonts w:ascii="Calibri" w:hAnsi="Calibri" w:eastAsia="Microsoft YaHei"/>
                  <w:color w:val="008C95"/>
                  <w:u w:val="single"/>
                </w:rPr>
                <w:t>打开原始来源 ↗</w:t>
              </w:r>
            </w:hyperlink>
          </w:p>
        </w:tc>
      </w:tr>
      <w:tr>
        <w:trPr>
          <w:cantSplit/>
        </w:trPr>
        <w:tc>
          <w:tcPr>
            <w:tcW w:type="dxa" w:w="850"/>
          </w:tcPr>
          <w:p>
            <w:pPr>
              <w:keepLines/>
              <w:spacing w:after="0" w:line="276" w:lineRule="auto"/>
            </w:pPr>
            <w:r>
              <w:rPr>
                <w:rFonts w:ascii="Calibri" w:hAnsi="Calibri" w:eastAsia="Microsoft YaHei"/>
                <w:color w:val="0B2545"/>
                <w:sz w:val="14"/>
              </w:rPr>
              <w:t>软件</w:t>
            </w:r>
          </w:p>
        </w:tc>
        <w:tc>
          <w:tcPr>
            <w:tcW w:type="dxa" w:w="2500"/>
          </w:tcPr>
          <w:p>
            <w:pPr>
              <w:keepLines/>
              <w:spacing w:after="0" w:line="276" w:lineRule="auto"/>
            </w:pPr>
            <w:r>
              <w:rPr>
                <w:rFonts w:ascii="Calibri" w:hAnsi="Calibri" w:eastAsia="Microsoft YaHei"/>
                <w:color w:val="0B2545"/>
                <w:sz w:val="14"/>
              </w:rPr>
              <w:t>OpenADAS</w:t>
            </w:r>
          </w:p>
        </w:tc>
        <w:tc>
          <w:tcPr>
            <w:tcW w:type="dxa" w:w="1600"/>
          </w:tcPr>
          <w:p>
            <w:pPr>
              <w:keepLines/>
              <w:spacing w:after="0" w:line="276" w:lineRule="auto"/>
            </w:pPr>
            <w:r>
              <w:rPr>
                <w:rFonts w:ascii="Calibri" w:hAnsi="Calibri" w:eastAsia="Microsoft YaHei"/>
                <w:color w:val="0B2545"/>
                <w:sz w:val="14"/>
              </w:rPr>
              <w:t>official-enabling</w:t>
            </w:r>
          </w:p>
        </w:tc>
        <w:tc>
          <w:tcPr>
            <w:tcW w:type="dxa" w:w="2300"/>
          </w:tcPr>
          <w:p>
            <w:pPr>
              <w:keepLines/>
              <w:spacing w:after="0" w:line="276" w:lineRule="auto"/>
            </w:pPr>
            <w:r>
              <w:rPr>
                <w:rFonts w:ascii="Calibri" w:hAnsi="Calibri" w:eastAsia="Microsoft YaHei"/>
                <w:color w:val="0B2545"/>
                <w:sz w:val="14"/>
              </w:rPr>
              <w:t>S/XB、PEC和连续谱系数。</w:t>
            </w:r>
          </w:p>
        </w:tc>
        <w:tc>
          <w:tcPr>
            <w:tcW w:type="dxa" w:w="2110"/>
          </w:tcPr>
          <w:p>
            <w:pPr>
              <w:keepLines/>
              <w:spacing w:after="0" w:line="276" w:lineRule="auto"/>
            </w:pPr>
            <w:hyperlink r:id="rId60">
              <w:r>
                <w:rPr>
                  <w:rFonts w:ascii="Calibri" w:hAnsi="Calibri" w:eastAsia="Microsoft YaHei"/>
                  <w:color w:val="008C95"/>
                  <w:u w:val="single"/>
                </w:rPr>
                <w:t>打开原始来源 ↗</w:t>
              </w:r>
            </w:hyperlink>
          </w:p>
        </w:tc>
      </w:tr>
      <w:tr>
        <w:trPr>
          <w:cantSplit/>
        </w:trPr>
        <w:tc>
          <w:tcPr>
            <w:tcW w:type="dxa" w:w="850"/>
          </w:tcPr>
          <w:p>
            <w:pPr>
              <w:keepLines/>
              <w:spacing w:after="0" w:line="276" w:lineRule="auto"/>
            </w:pPr>
            <w:r>
              <w:rPr>
                <w:rFonts w:ascii="Calibri" w:hAnsi="Calibri" w:eastAsia="Microsoft YaHei"/>
                <w:color w:val="0B2545"/>
                <w:sz w:val="14"/>
              </w:rPr>
              <w:t>软件</w:t>
            </w:r>
          </w:p>
        </w:tc>
        <w:tc>
          <w:tcPr>
            <w:tcW w:type="dxa" w:w="2500"/>
          </w:tcPr>
          <w:p>
            <w:pPr>
              <w:keepLines/>
              <w:spacing w:after="0" w:line="276" w:lineRule="auto"/>
            </w:pPr>
            <w:r>
              <w:rPr>
                <w:rFonts w:ascii="Calibri" w:hAnsi="Calibri" w:eastAsia="Microsoft YaHei"/>
                <w:color w:val="0B2545"/>
                <w:sz w:val="14"/>
              </w:rPr>
              <w:t>Cherab</w:t>
            </w:r>
          </w:p>
        </w:tc>
        <w:tc>
          <w:tcPr>
            <w:tcW w:type="dxa" w:w="1600"/>
          </w:tcPr>
          <w:p>
            <w:pPr>
              <w:keepLines/>
              <w:spacing w:after="0" w:line="276" w:lineRule="auto"/>
            </w:pPr>
            <w:r>
              <w:rPr>
                <w:rFonts w:ascii="Calibri" w:hAnsi="Calibri" w:eastAsia="Microsoft YaHei"/>
                <w:color w:val="0B2545"/>
                <w:sz w:val="14"/>
              </w:rPr>
              <w:t>official-enabling</w:t>
            </w:r>
          </w:p>
        </w:tc>
        <w:tc>
          <w:tcPr>
            <w:tcW w:type="dxa" w:w="2300"/>
          </w:tcPr>
          <w:p>
            <w:pPr>
              <w:keepLines/>
              <w:spacing w:after="0" w:line="276" w:lineRule="auto"/>
            </w:pPr>
            <w:r>
              <w:rPr>
                <w:rFonts w:ascii="Calibri" w:hAnsi="Calibri" w:eastAsia="Microsoft YaHei"/>
                <w:color w:val="0B2545"/>
                <w:sz w:val="14"/>
              </w:rPr>
              <w:t>几何/发射/壁反射合成。</w:t>
            </w:r>
          </w:p>
        </w:tc>
        <w:tc>
          <w:tcPr>
            <w:tcW w:type="dxa" w:w="2110"/>
          </w:tcPr>
          <w:p>
            <w:pPr>
              <w:keepLines/>
              <w:spacing w:after="0" w:line="276" w:lineRule="auto"/>
            </w:pPr>
            <w:hyperlink r:id="rId75">
              <w:r>
                <w:rPr>
                  <w:rFonts w:ascii="Calibri" w:hAnsi="Calibri" w:eastAsia="Microsoft YaHei"/>
                  <w:color w:val="008C95"/>
                  <w:u w:val="single"/>
                </w:rPr>
                <w:t>打开原始来源 ↗</w:t>
              </w:r>
            </w:hyperlink>
          </w:p>
        </w:tc>
      </w:tr>
      <w:tr>
        <w:trPr>
          <w:cantSplit/>
        </w:trPr>
        <w:tc>
          <w:tcPr>
            <w:tcW w:type="dxa" w:w="850"/>
          </w:tcPr>
          <w:p>
            <w:pPr>
              <w:keepLines/>
              <w:spacing w:after="0" w:line="276" w:lineRule="auto"/>
            </w:pPr>
            <w:r>
              <w:rPr>
                <w:rFonts w:ascii="Calibri" w:hAnsi="Calibri" w:eastAsia="Microsoft YaHei"/>
                <w:color w:val="0B2545"/>
                <w:sz w:val="14"/>
              </w:rPr>
              <w:t>软件</w:t>
            </w:r>
          </w:p>
        </w:tc>
        <w:tc>
          <w:tcPr>
            <w:tcW w:type="dxa" w:w="2500"/>
          </w:tcPr>
          <w:p>
            <w:pPr>
              <w:keepLines/>
              <w:spacing w:after="0" w:line="276" w:lineRule="auto"/>
            </w:pPr>
            <w:r>
              <w:rPr>
                <w:rFonts w:ascii="Calibri" w:hAnsi="Calibri" w:eastAsia="Microsoft YaHei"/>
                <w:color w:val="0B2545"/>
                <w:sz w:val="14"/>
              </w:rPr>
              <w:t>装置专有分析/标定软件</w:t>
            </w:r>
          </w:p>
        </w:tc>
        <w:tc>
          <w:tcPr>
            <w:tcW w:type="dxa" w:w="1600"/>
          </w:tcPr>
          <w:p>
            <w:pPr>
              <w:keepLines/>
              <w:spacing w:after="0" w:line="276" w:lineRule="auto"/>
            </w:pPr>
            <w:r>
              <w:rPr>
                <w:rFonts w:ascii="Calibri" w:hAnsi="Calibri" w:eastAsia="Microsoft YaHei"/>
                <w:color w:val="0B2545"/>
                <w:sz w:val="14"/>
              </w:rPr>
              <w:t>not-public</w:t>
            </w:r>
          </w:p>
        </w:tc>
        <w:tc>
          <w:tcPr>
            <w:tcW w:type="dxa" w:w="2300"/>
          </w:tcPr>
          <w:p>
            <w:pPr>
              <w:keepLines/>
              <w:spacing w:after="0" w:line="276" w:lineRule="auto"/>
            </w:pPr>
            <w:r>
              <w:rPr>
                <w:rFonts w:ascii="Calibri" w:hAnsi="Calibri" w:eastAsia="Microsoft YaHei"/>
                <w:color w:val="0B2545"/>
                <w:sz w:val="14"/>
              </w:rPr>
              <w:t>生产线拟合/Zeff代码未公开。</w:t>
            </w:r>
          </w:p>
        </w:tc>
        <w:tc>
          <w:tcPr>
            <w:tcW w:type="dxa" w:w="2110"/>
          </w:tcPr>
          <w:p>
            <w:pPr>
              <w:keepLines/>
              <w:spacing w:after="0" w:line="276" w:lineRule="auto"/>
            </w:pPr>
            <w:r>
              <w:rPr>
                <w:rFonts w:ascii="Calibri" w:hAnsi="Calibri" w:eastAsia="Microsoft YaHei"/>
                <w:color w:val="0B2545"/>
                <w:sz w:val="14"/>
              </w:rPr>
              <w:t>未公开</w:t>
            </w:r>
          </w:p>
        </w:tc>
      </w:tr>
    </w:tbl>
    <w:p>
      <w:pPr>
        <w:spacing w:before="0" w:after="60"/>
      </w:pPr>
    </w:p>
    <w:p>
      <w:pPr>
        <w:pStyle w:val="Heading2"/>
      </w:pPr>
      <w:r>
        <w:t>关联工作速查</w:t>
      </w:r>
    </w:p>
    <w:tbl>
      <w:tblPr>
        <w:tblStyle w:val="TableGrid"/>
        <w:tblW w:type="dxa" w:w="9360"/>
        <w:jc w:val="left"/>
        <w:tblLayout w:type="fixed"/>
        <w:tblLook w:firstColumn="1" w:firstRow="1" w:lastColumn="0" w:lastRow="0" w:noHBand="0" w:noVBand="1" w:val="04A0"/>
        <w:tblInd w:w="120" w:type="dxa"/>
      </w:tblPr>
      <w:tblGrid>
        <w:gridCol w:w="1000"/>
        <w:gridCol w:w="900"/>
        <w:gridCol w:w="3760"/>
        <w:gridCol w:w="800"/>
        <w:gridCol w:w="2900"/>
      </w:tblGrid>
      <w:tr>
        <w:trPr>
          <w:tblHeader w:val="true"/>
        </w:trPr>
        <w:tc>
          <w:tcPr>
            <w:tcW w:type="dxa" w:w="1000"/>
            <w:tcMar>
              <w:top w:w="55" w:type="dxa"/>
              <w:bottom w:w="55" w:type="dxa"/>
              <w:start w:w="100" w:type="dxa"/>
              <w:end w:w="100" w:type="dxa"/>
            </w:tcMar>
            <w:vAlign w:val="center"/>
            <w:shd w:fill="E8EEF5"/>
          </w:tcPr>
          <w:p>
            <w:pPr>
              <w:keepNext/>
              <w:spacing w:after="0"/>
              <w:jc w:val="center"/>
            </w:pPr>
            <w:r>
              <w:rPr>
                <w:rFonts w:ascii="Calibri" w:hAnsi="Calibri" w:eastAsia="Microsoft YaHei"/>
                <w:b/>
                <w:color w:val="0B2545"/>
                <w:sz w:val="14"/>
              </w:rPr>
              <w:t>ID</w:t>
            </w:r>
          </w:p>
        </w:tc>
        <w:tc>
          <w:tcPr>
            <w:tcW w:type="dxa" w:w="900"/>
            <w:tcMar>
              <w:top w:w="55" w:type="dxa"/>
              <w:bottom w:w="55" w:type="dxa"/>
              <w:start w:w="100" w:type="dxa"/>
              <w:end w:w="100" w:type="dxa"/>
            </w:tcMar>
            <w:vAlign w:val="center"/>
            <w:shd w:fill="E8EEF5"/>
          </w:tcPr>
          <w:p>
            <w:pPr>
              <w:keepNext/>
              <w:spacing w:after="0"/>
              <w:jc w:val="center"/>
            </w:pPr>
            <w:r>
              <w:rPr>
                <w:rFonts w:ascii="Calibri" w:hAnsi="Calibri" w:eastAsia="Microsoft YaHei"/>
                <w:b/>
                <w:color w:val="0B2545"/>
                <w:sz w:val="14"/>
              </w:rPr>
              <w:t>主任务</w:t>
            </w:r>
          </w:p>
        </w:tc>
        <w:tc>
          <w:tcPr>
            <w:tcW w:type="dxa" w:w="3760"/>
            <w:tcMar>
              <w:top w:w="55" w:type="dxa"/>
              <w:bottom w:w="55" w:type="dxa"/>
              <w:start w:w="100" w:type="dxa"/>
              <w:end w:w="100" w:type="dxa"/>
            </w:tcMar>
            <w:vAlign w:val="center"/>
            <w:shd w:fill="E8EEF5"/>
          </w:tcPr>
          <w:p>
            <w:pPr>
              <w:keepNext/>
              <w:spacing w:after="0"/>
              <w:jc w:val="center"/>
            </w:pPr>
            <w:r>
              <w:rPr>
                <w:rFonts w:ascii="Calibri" w:hAnsi="Calibri" w:eastAsia="Microsoft YaHei"/>
                <w:b/>
                <w:color w:val="0B2545"/>
                <w:sz w:val="14"/>
              </w:rPr>
              <w:t>标题</w:t>
            </w:r>
          </w:p>
        </w:tc>
        <w:tc>
          <w:tcPr>
            <w:tcW w:type="dxa" w:w="800"/>
            <w:tcMar>
              <w:top w:w="55" w:type="dxa"/>
              <w:bottom w:w="55" w:type="dxa"/>
              <w:start w:w="100" w:type="dxa"/>
              <w:end w:w="100" w:type="dxa"/>
            </w:tcMar>
            <w:vAlign w:val="center"/>
            <w:shd w:fill="E8EEF5"/>
          </w:tcPr>
          <w:p>
            <w:pPr>
              <w:keepNext/>
              <w:spacing w:after="0"/>
              <w:jc w:val="center"/>
            </w:pPr>
            <w:r>
              <w:rPr>
                <w:rFonts w:ascii="Calibri" w:hAnsi="Calibri" w:eastAsia="Microsoft YaHei"/>
                <w:b/>
                <w:color w:val="0B2545"/>
                <w:sz w:val="14"/>
              </w:rPr>
              <w:t>证据</w:t>
            </w:r>
          </w:p>
        </w:tc>
        <w:tc>
          <w:tcPr>
            <w:tcW w:type="dxa" w:w="2900"/>
            <w:tcMar>
              <w:top w:w="55" w:type="dxa"/>
              <w:bottom w:w="55" w:type="dxa"/>
              <w:start w:w="100" w:type="dxa"/>
              <w:end w:w="100" w:type="dxa"/>
            </w:tcMar>
            <w:vAlign w:val="center"/>
            <w:shd w:fill="E8EEF5"/>
          </w:tcPr>
          <w:p>
            <w:pPr>
              <w:keepNext/>
              <w:spacing w:after="0"/>
              <w:jc w:val="center"/>
            </w:pPr>
            <w:r>
              <w:rPr>
                <w:rFonts w:ascii="Calibri" w:hAnsi="Calibri" w:eastAsia="Microsoft YaHei"/>
                <w:b/>
                <w:color w:val="0B2545"/>
                <w:sz w:val="14"/>
              </w:rPr>
              <w:t>装置</w:t>
            </w:r>
          </w:p>
        </w:tc>
      </w:tr>
      <w:tr>
        <w:trPr>
          <w:cantSplit/>
        </w:trPr>
        <w:tc>
          <w:tcPr>
            <w:tcW w:type="dxa" w:w="1000"/>
            <w:tcMar>
              <w:top w:w="45" w:type="dxa"/>
              <w:bottom w:w="45" w:type="dxa"/>
              <w:start w:w="100" w:type="dxa"/>
              <w:end w:w="100" w:type="dxa"/>
            </w:tcMar>
          </w:tcPr>
          <w:p>
            <w:pPr>
              <w:keepLines/>
              <w:spacing w:after="0" w:line="252" w:lineRule="auto"/>
            </w:pPr>
            <w:r>
              <w:rPr>
                <w:rFonts w:ascii="Calibri" w:hAnsi="Calibri" w:eastAsia="Microsoft YaHei"/>
                <w:color w:val="0B2545"/>
                <w:sz w:val="14"/>
              </w:rPr>
              <w:t>DSI-001</w:t>
            </w:r>
          </w:p>
        </w:tc>
        <w:tc>
          <w:tcPr>
            <w:tcW w:type="dxa" w:w="900"/>
            <w:tcMar>
              <w:top w:w="45" w:type="dxa"/>
              <w:bottom w:w="45" w:type="dxa"/>
              <w:start w:w="100" w:type="dxa"/>
              <w:end w:w="100" w:type="dxa"/>
            </w:tcMar>
          </w:tcPr>
          <w:p>
            <w:pPr>
              <w:keepLines/>
              <w:spacing w:after="0" w:line="252" w:lineRule="auto"/>
            </w:pPr>
            <w:r>
              <w:rPr>
                <w:rFonts w:ascii="Calibri" w:hAnsi="Calibri" w:eastAsia="Microsoft YaHei"/>
                <w:color w:val="0B2545"/>
                <w:sz w:val="14"/>
              </w:rPr>
              <w:t>DG0</w:t>
            </w:r>
          </w:p>
        </w:tc>
        <w:tc>
          <w:tcPr>
            <w:tcW w:type="dxa" w:w="3760"/>
            <w:tcMar>
              <w:top w:w="45" w:type="dxa"/>
              <w:bottom w:w="45" w:type="dxa"/>
              <w:start w:w="100" w:type="dxa"/>
              <w:end w:w="100" w:type="dxa"/>
            </w:tcMar>
          </w:tcPr>
          <w:p>
            <w:pPr>
              <w:keepLines/>
              <w:spacing w:after="0" w:line="252" w:lineRule="auto"/>
            </w:pPr>
            <w:r>
              <w:rPr>
                <w:rFonts w:ascii="Calibri" w:hAnsi="Calibri" w:eastAsia="Microsoft YaHei"/>
                <w:color w:val="0B2545"/>
                <w:sz w:val="14"/>
              </w:rPr>
              <w:t>IMAS 接口数据结构与数据字典</w:t>
            </w:r>
          </w:p>
        </w:tc>
        <w:tc>
          <w:tcPr>
            <w:tcW w:type="dxa" w:w="800"/>
            <w:tcMar>
              <w:top w:w="45" w:type="dxa"/>
              <w:bottom w:w="45" w:type="dxa"/>
              <w:start w:w="100" w:type="dxa"/>
              <w:end w:w="100" w:type="dxa"/>
            </w:tcMar>
          </w:tcPr>
          <w:p>
            <w:pPr>
              <w:keepLines/>
              <w:spacing w:after="0" w:line="252" w:lineRule="auto"/>
            </w:pPr>
            <w:r>
              <w:rPr>
                <w:rFonts w:ascii="Calibri" w:hAnsi="Calibri" w:eastAsia="Microsoft YaHei"/>
                <w:color w:val="0B2545"/>
                <w:sz w:val="14"/>
              </w:rPr>
              <w:t>E3</w:t>
            </w:r>
          </w:p>
        </w:tc>
        <w:tc>
          <w:tcPr>
            <w:tcW w:type="dxa" w:w="2900"/>
            <w:tcMar>
              <w:top w:w="45" w:type="dxa"/>
              <w:bottom w:w="45" w:type="dxa"/>
              <w:start w:w="100" w:type="dxa"/>
              <w:end w:w="100" w:type="dxa"/>
            </w:tcMar>
          </w:tcPr>
          <w:p>
            <w:pPr>
              <w:keepLines/>
              <w:spacing w:after="0" w:line="252" w:lineRule="auto"/>
            </w:pPr>
            <w:r>
              <w:rPr>
                <w:rFonts w:ascii="Calibri" w:hAnsi="Calibri" w:eastAsia="Microsoft YaHei"/>
                <w:color w:val="0B2545"/>
                <w:sz w:val="14"/>
              </w:rPr>
              <w:t>ITER；EUROfusion devices；JET；ASDEX Upgrade；WEST；TCV；W7-X</w:t>
            </w:r>
          </w:p>
        </w:tc>
      </w:tr>
      <w:tr>
        <w:trPr>
          <w:cantSplit/>
        </w:trPr>
        <w:tc>
          <w:tcPr>
            <w:tcW w:type="dxa" w:w="1000"/>
            <w:tcMar>
              <w:top w:w="45" w:type="dxa"/>
              <w:bottom w:w="45" w:type="dxa"/>
              <w:start w:w="100" w:type="dxa"/>
              <w:end w:w="100" w:type="dxa"/>
            </w:tcMar>
          </w:tcPr>
          <w:p>
            <w:pPr>
              <w:keepLines/>
              <w:spacing w:after="0" w:line="252" w:lineRule="auto"/>
            </w:pPr>
            <w:r>
              <w:rPr>
                <w:rFonts w:ascii="Calibri" w:hAnsi="Calibri" w:eastAsia="Microsoft YaHei"/>
                <w:color w:val="0B2545"/>
                <w:sz w:val="14"/>
              </w:rPr>
              <w:t>DSI-002</w:t>
            </w:r>
          </w:p>
        </w:tc>
        <w:tc>
          <w:tcPr>
            <w:tcW w:type="dxa" w:w="900"/>
            <w:tcMar>
              <w:top w:w="45" w:type="dxa"/>
              <w:bottom w:w="45" w:type="dxa"/>
              <w:start w:w="100" w:type="dxa"/>
              <w:end w:w="100" w:type="dxa"/>
            </w:tcMar>
          </w:tcPr>
          <w:p>
            <w:pPr>
              <w:keepLines/>
              <w:spacing w:after="0" w:line="252" w:lineRule="auto"/>
            </w:pPr>
            <w:r>
              <w:rPr>
                <w:rFonts w:ascii="Calibri" w:hAnsi="Calibri" w:eastAsia="Microsoft YaHei"/>
                <w:color w:val="0B2545"/>
                <w:sz w:val="14"/>
              </w:rPr>
              <w:t>DG0</w:t>
            </w:r>
          </w:p>
        </w:tc>
        <w:tc>
          <w:tcPr>
            <w:tcW w:type="dxa" w:w="3760"/>
            <w:tcMar>
              <w:top w:w="45" w:type="dxa"/>
              <w:bottom w:w="45" w:type="dxa"/>
              <w:start w:w="100" w:type="dxa"/>
              <w:end w:w="100" w:type="dxa"/>
            </w:tcMar>
          </w:tcPr>
          <w:p>
            <w:pPr>
              <w:keepLines/>
              <w:spacing w:after="0" w:line="252" w:lineRule="auto"/>
            </w:pPr>
            <w:r>
              <w:rPr>
                <w:rFonts w:ascii="Calibri" w:hAnsi="Calibri" w:eastAsia="Microsoft YaHei"/>
                <w:color w:val="0B2545"/>
                <w:sz w:val="14"/>
              </w:rPr>
              <w:t>MDSplus 脉冲树、数据采集与时序数据管理</w:t>
            </w:r>
          </w:p>
        </w:tc>
        <w:tc>
          <w:tcPr>
            <w:tcW w:type="dxa" w:w="800"/>
            <w:tcMar>
              <w:top w:w="45" w:type="dxa"/>
              <w:bottom w:w="45" w:type="dxa"/>
              <w:start w:w="100" w:type="dxa"/>
              <w:end w:w="100" w:type="dxa"/>
            </w:tcMar>
          </w:tcPr>
          <w:p>
            <w:pPr>
              <w:keepLines/>
              <w:spacing w:after="0" w:line="252" w:lineRule="auto"/>
            </w:pPr>
            <w:r>
              <w:rPr>
                <w:rFonts w:ascii="Calibri" w:hAnsi="Calibri" w:eastAsia="Microsoft YaHei"/>
                <w:color w:val="0B2545"/>
                <w:sz w:val="14"/>
              </w:rPr>
              <w:t>E4</w:t>
            </w:r>
          </w:p>
        </w:tc>
        <w:tc>
          <w:tcPr>
            <w:tcW w:type="dxa" w:w="2900"/>
            <w:tcMar>
              <w:top w:w="45" w:type="dxa"/>
              <w:bottom w:w="45" w:type="dxa"/>
              <w:start w:w="100" w:type="dxa"/>
              <w:end w:w="100" w:type="dxa"/>
            </w:tcMar>
          </w:tcPr>
          <w:p>
            <w:pPr>
              <w:keepLines/>
              <w:spacing w:after="0" w:line="252" w:lineRule="auto"/>
            </w:pPr>
            <w:r>
              <w:rPr>
                <w:rFonts w:ascii="Calibri" w:hAnsi="Calibri" w:eastAsia="Microsoft YaHei"/>
                <w:color w:val="0B2545"/>
                <w:sz w:val="14"/>
              </w:rPr>
              <w:t>Alcator C-Mod；RFX-mod；TCV；DIII-D；KSTAR；EAST；NSTX-U；SPIDER</w:t>
            </w:r>
          </w:p>
        </w:tc>
      </w:tr>
      <w:tr>
        <w:trPr>
          <w:cantSplit/>
        </w:trPr>
        <w:tc>
          <w:tcPr>
            <w:tcW w:type="dxa" w:w="1000"/>
            <w:tcMar>
              <w:top w:w="45" w:type="dxa"/>
              <w:bottom w:w="45" w:type="dxa"/>
              <w:start w:w="100" w:type="dxa"/>
              <w:end w:w="100" w:type="dxa"/>
            </w:tcMar>
          </w:tcPr>
          <w:p>
            <w:pPr>
              <w:keepLines/>
              <w:spacing w:after="0" w:line="252" w:lineRule="auto"/>
            </w:pPr>
            <w:r>
              <w:rPr>
                <w:rFonts w:ascii="Calibri" w:hAnsi="Calibri" w:eastAsia="Microsoft YaHei"/>
                <w:color w:val="0B2545"/>
                <w:sz w:val="14"/>
              </w:rPr>
              <w:t>DSI-003</w:t>
            </w:r>
          </w:p>
        </w:tc>
        <w:tc>
          <w:tcPr>
            <w:tcW w:type="dxa" w:w="900"/>
            <w:tcMar>
              <w:top w:w="45" w:type="dxa"/>
              <w:bottom w:w="45" w:type="dxa"/>
              <w:start w:w="100" w:type="dxa"/>
              <w:end w:w="100" w:type="dxa"/>
            </w:tcMar>
          </w:tcPr>
          <w:p>
            <w:pPr>
              <w:keepLines/>
              <w:spacing w:after="0" w:line="252" w:lineRule="auto"/>
            </w:pPr>
            <w:r>
              <w:rPr>
                <w:rFonts w:ascii="Calibri" w:hAnsi="Calibri" w:eastAsia="Microsoft YaHei"/>
                <w:color w:val="0B2545"/>
                <w:sz w:val="14"/>
              </w:rPr>
              <w:t>DG0</w:t>
            </w:r>
          </w:p>
        </w:tc>
        <w:tc>
          <w:tcPr>
            <w:tcW w:type="dxa" w:w="3760"/>
            <w:tcMar>
              <w:top w:w="45" w:type="dxa"/>
              <w:bottom w:w="45" w:type="dxa"/>
              <w:start w:w="100" w:type="dxa"/>
              <w:end w:w="100" w:type="dxa"/>
            </w:tcMar>
          </w:tcPr>
          <w:p>
            <w:pPr>
              <w:keepLines/>
              <w:spacing w:after="0" w:line="252" w:lineRule="auto"/>
            </w:pPr>
            <w:r>
              <w:rPr>
                <w:rFonts w:ascii="Calibri" w:hAnsi="Calibri" w:eastAsia="Microsoft YaHei"/>
                <w:color w:val="0B2545"/>
                <w:sz w:val="14"/>
              </w:rPr>
              <w:t>UDA 统一数据访问层</w:t>
            </w:r>
          </w:p>
        </w:tc>
        <w:tc>
          <w:tcPr>
            <w:tcW w:type="dxa" w:w="800"/>
            <w:tcMar>
              <w:top w:w="45" w:type="dxa"/>
              <w:bottom w:w="45" w:type="dxa"/>
              <w:start w:w="100" w:type="dxa"/>
              <w:end w:w="100" w:type="dxa"/>
            </w:tcMar>
          </w:tcPr>
          <w:p>
            <w:pPr>
              <w:keepLines/>
              <w:spacing w:after="0" w:line="252" w:lineRule="auto"/>
            </w:pPr>
            <w:r>
              <w:rPr>
                <w:rFonts w:ascii="Calibri" w:hAnsi="Calibri" w:eastAsia="Microsoft YaHei"/>
                <w:color w:val="0B2545"/>
                <w:sz w:val="14"/>
              </w:rPr>
              <w:t>E3</w:t>
            </w:r>
          </w:p>
        </w:tc>
        <w:tc>
          <w:tcPr>
            <w:tcW w:type="dxa" w:w="2900"/>
            <w:tcMar>
              <w:top w:w="45" w:type="dxa"/>
              <w:bottom w:w="45" w:type="dxa"/>
              <w:start w:w="100" w:type="dxa"/>
              <w:end w:w="100" w:type="dxa"/>
            </w:tcMar>
          </w:tcPr>
          <w:p>
            <w:pPr>
              <w:keepLines/>
              <w:spacing w:after="0" w:line="252" w:lineRule="auto"/>
            </w:pPr>
            <w:r>
              <w:rPr>
                <w:rFonts w:ascii="Calibri" w:hAnsi="Calibri" w:eastAsia="Microsoft YaHei"/>
                <w:color w:val="0B2545"/>
                <w:sz w:val="14"/>
              </w:rPr>
              <w:t>JET；MAST Upgrade；ITER/IMAS workflows；UKAEA facilities</w:t>
            </w:r>
          </w:p>
        </w:tc>
      </w:tr>
      <w:tr>
        <w:trPr>
          <w:cantSplit/>
        </w:trPr>
        <w:tc>
          <w:tcPr>
            <w:tcW w:type="dxa" w:w="1000"/>
            <w:tcMar>
              <w:top w:w="45" w:type="dxa"/>
              <w:bottom w:w="45" w:type="dxa"/>
              <w:start w:w="100" w:type="dxa"/>
              <w:end w:w="100" w:type="dxa"/>
            </w:tcMar>
          </w:tcPr>
          <w:p>
            <w:pPr>
              <w:keepLines/>
              <w:spacing w:after="0" w:line="252" w:lineRule="auto"/>
            </w:pPr>
            <w:r>
              <w:rPr>
                <w:rFonts w:ascii="Calibri" w:hAnsi="Calibri" w:eastAsia="Microsoft YaHei"/>
                <w:color w:val="0B2545"/>
                <w:sz w:val="14"/>
              </w:rPr>
              <w:t>DSI-004</w:t>
            </w:r>
          </w:p>
        </w:tc>
        <w:tc>
          <w:tcPr>
            <w:tcW w:type="dxa" w:w="900"/>
            <w:tcMar>
              <w:top w:w="45" w:type="dxa"/>
              <w:bottom w:w="45" w:type="dxa"/>
              <w:start w:w="100" w:type="dxa"/>
              <w:end w:w="100" w:type="dxa"/>
            </w:tcMar>
          </w:tcPr>
          <w:p>
            <w:pPr>
              <w:keepLines/>
              <w:spacing w:after="0" w:line="252" w:lineRule="auto"/>
            </w:pPr>
            <w:r>
              <w:rPr>
                <w:rFonts w:ascii="Calibri" w:hAnsi="Calibri" w:eastAsia="Microsoft YaHei"/>
                <w:color w:val="0B2545"/>
                <w:sz w:val="14"/>
              </w:rPr>
              <w:t>DG0</w:t>
            </w:r>
          </w:p>
        </w:tc>
        <w:tc>
          <w:tcPr>
            <w:tcW w:type="dxa" w:w="3760"/>
            <w:tcMar>
              <w:top w:w="45" w:type="dxa"/>
              <w:bottom w:w="45" w:type="dxa"/>
              <w:start w:w="100" w:type="dxa"/>
              <w:end w:w="100" w:type="dxa"/>
            </w:tcMar>
          </w:tcPr>
          <w:p>
            <w:pPr>
              <w:keepLines/>
              <w:spacing w:after="0" w:line="252" w:lineRule="auto"/>
            </w:pPr>
            <w:r>
              <w:rPr>
                <w:rFonts w:ascii="Calibri" w:hAnsi="Calibri" w:eastAsia="Microsoft YaHei"/>
                <w:color w:val="0B2545"/>
                <w:sz w:val="14"/>
              </w:rPr>
              <w:t>OMAS：轻量 IMAS 兼容数据对象与装置映射</w:t>
            </w:r>
          </w:p>
        </w:tc>
        <w:tc>
          <w:tcPr>
            <w:tcW w:type="dxa" w:w="800"/>
            <w:tcMar>
              <w:top w:w="45" w:type="dxa"/>
              <w:bottom w:w="45" w:type="dxa"/>
              <w:start w:w="100" w:type="dxa"/>
              <w:end w:w="100" w:type="dxa"/>
            </w:tcMar>
          </w:tcPr>
          <w:p>
            <w:pPr>
              <w:keepLines/>
              <w:spacing w:after="0" w:line="252" w:lineRule="auto"/>
            </w:pPr>
            <w:r>
              <w:rPr>
                <w:rFonts w:ascii="Calibri" w:hAnsi="Calibri" w:eastAsia="Microsoft YaHei"/>
                <w:color w:val="0B2545"/>
                <w:sz w:val="14"/>
              </w:rPr>
              <w:t>E2</w:t>
            </w:r>
          </w:p>
        </w:tc>
        <w:tc>
          <w:tcPr>
            <w:tcW w:type="dxa" w:w="2900"/>
            <w:tcMar>
              <w:top w:w="45" w:type="dxa"/>
              <w:bottom w:w="45" w:type="dxa"/>
              <w:start w:w="100" w:type="dxa"/>
              <w:end w:w="100" w:type="dxa"/>
            </w:tcMar>
          </w:tcPr>
          <w:p>
            <w:pPr>
              <w:keepLines/>
              <w:spacing w:after="0" w:line="252" w:lineRule="auto"/>
            </w:pPr>
            <w:r>
              <w:rPr>
                <w:rFonts w:ascii="Calibri" w:hAnsi="Calibri" w:eastAsia="Microsoft YaHei"/>
                <w:color w:val="0B2545"/>
                <w:sz w:val="14"/>
              </w:rPr>
              <w:t>DIII-D；NSTX-U；ITER scenario studies；GA workflows</w:t>
            </w:r>
          </w:p>
        </w:tc>
      </w:tr>
      <w:tr>
        <w:trPr>
          <w:cantSplit/>
        </w:trPr>
        <w:tc>
          <w:tcPr>
            <w:tcW w:type="dxa" w:w="1000"/>
            <w:tcMar>
              <w:top w:w="45" w:type="dxa"/>
              <w:bottom w:w="45" w:type="dxa"/>
              <w:start w:w="100" w:type="dxa"/>
              <w:end w:w="100" w:type="dxa"/>
            </w:tcMar>
          </w:tcPr>
          <w:p>
            <w:pPr>
              <w:keepLines/>
              <w:spacing w:after="0" w:line="252" w:lineRule="auto"/>
            </w:pPr>
            <w:r>
              <w:rPr>
                <w:rFonts w:ascii="Calibri" w:hAnsi="Calibri" w:eastAsia="Microsoft YaHei"/>
                <w:color w:val="0B2545"/>
                <w:sz w:val="14"/>
              </w:rPr>
              <w:t>DSI-005</w:t>
            </w:r>
          </w:p>
        </w:tc>
        <w:tc>
          <w:tcPr>
            <w:tcW w:type="dxa" w:w="900"/>
            <w:tcMar>
              <w:top w:w="45" w:type="dxa"/>
              <w:bottom w:w="45" w:type="dxa"/>
              <w:start w:w="100" w:type="dxa"/>
              <w:end w:w="100" w:type="dxa"/>
            </w:tcMar>
          </w:tcPr>
          <w:p>
            <w:pPr>
              <w:keepLines/>
              <w:spacing w:after="0" w:line="252" w:lineRule="auto"/>
            </w:pPr>
            <w:r>
              <w:rPr>
                <w:rFonts w:ascii="Calibri" w:hAnsi="Calibri" w:eastAsia="Microsoft YaHei"/>
                <w:color w:val="0B2545"/>
                <w:sz w:val="14"/>
              </w:rPr>
              <w:t>DG0</w:t>
            </w:r>
          </w:p>
        </w:tc>
        <w:tc>
          <w:tcPr>
            <w:tcW w:type="dxa" w:w="3760"/>
            <w:tcMar>
              <w:top w:w="45" w:type="dxa"/>
              <w:bottom w:w="45" w:type="dxa"/>
              <w:start w:w="100" w:type="dxa"/>
              <w:end w:w="100" w:type="dxa"/>
            </w:tcMar>
          </w:tcPr>
          <w:p>
            <w:pPr>
              <w:keepLines/>
              <w:spacing w:after="0" w:line="252" w:lineRule="auto"/>
            </w:pPr>
            <w:r>
              <w:rPr>
                <w:rFonts w:ascii="Calibri" w:hAnsi="Calibri" w:eastAsia="Microsoft YaHei"/>
                <w:color w:val="0B2545"/>
                <w:sz w:val="14"/>
              </w:rPr>
              <w:t>FAIR4Fusion 数据治理蓝图</w:t>
            </w:r>
          </w:p>
        </w:tc>
        <w:tc>
          <w:tcPr>
            <w:tcW w:type="dxa" w:w="800"/>
            <w:tcMar>
              <w:top w:w="45" w:type="dxa"/>
              <w:bottom w:w="45" w:type="dxa"/>
              <w:start w:w="100" w:type="dxa"/>
              <w:end w:w="100" w:type="dxa"/>
            </w:tcMar>
          </w:tcPr>
          <w:p>
            <w:pPr>
              <w:keepLines/>
              <w:spacing w:after="0" w:line="252" w:lineRule="auto"/>
            </w:pPr>
            <w:r>
              <w:rPr>
                <w:rFonts w:ascii="Calibri" w:hAnsi="Calibri" w:eastAsia="Microsoft YaHei"/>
                <w:color w:val="0B2545"/>
                <w:sz w:val="14"/>
              </w:rPr>
              <w:t>E1</w:t>
            </w:r>
          </w:p>
        </w:tc>
        <w:tc>
          <w:tcPr>
            <w:tcW w:type="dxa" w:w="2900"/>
            <w:tcMar>
              <w:top w:w="45" w:type="dxa"/>
              <w:bottom w:w="45" w:type="dxa"/>
              <w:start w:w="100" w:type="dxa"/>
              <w:end w:w="100" w:type="dxa"/>
            </w:tcMar>
          </w:tcPr>
          <w:p>
            <w:pPr>
              <w:keepLines/>
              <w:spacing w:after="0" w:line="252" w:lineRule="auto"/>
            </w:pPr>
            <w:r>
              <w:rPr>
                <w:rFonts w:ascii="Calibri" w:hAnsi="Calibri" w:eastAsia="Microsoft YaHei"/>
                <w:color w:val="0B2545"/>
                <w:sz w:val="14"/>
              </w:rPr>
              <w:t>EUROfusion facilities；ITER-adjacent research ecosystem</w:t>
            </w:r>
          </w:p>
        </w:tc>
      </w:tr>
      <w:tr>
        <w:trPr>
          <w:cantSplit/>
        </w:trPr>
        <w:tc>
          <w:tcPr>
            <w:tcW w:type="dxa" w:w="1000"/>
            <w:tcMar>
              <w:top w:w="45" w:type="dxa"/>
              <w:bottom w:w="45" w:type="dxa"/>
              <w:start w:w="100" w:type="dxa"/>
              <w:end w:w="100" w:type="dxa"/>
            </w:tcMar>
          </w:tcPr>
          <w:p>
            <w:pPr>
              <w:keepLines/>
              <w:spacing w:after="0" w:line="252" w:lineRule="auto"/>
            </w:pPr>
            <w:r>
              <w:rPr>
                <w:rFonts w:ascii="Calibri" w:hAnsi="Calibri" w:eastAsia="Microsoft YaHei"/>
                <w:color w:val="0B2545"/>
                <w:sz w:val="14"/>
              </w:rPr>
              <w:t>DSI-006</w:t>
            </w:r>
          </w:p>
        </w:tc>
        <w:tc>
          <w:tcPr>
            <w:tcW w:type="dxa" w:w="900"/>
            <w:tcMar>
              <w:top w:w="45" w:type="dxa"/>
              <w:bottom w:w="45" w:type="dxa"/>
              <w:start w:w="100" w:type="dxa"/>
              <w:end w:w="100" w:type="dxa"/>
            </w:tcMar>
          </w:tcPr>
          <w:p>
            <w:pPr>
              <w:keepLines/>
              <w:spacing w:after="0" w:line="252" w:lineRule="auto"/>
            </w:pPr>
            <w:r>
              <w:rPr>
                <w:rFonts w:ascii="Calibri" w:hAnsi="Calibri" w:eastAsia="Microsoft YaHei"/>
                <w:color w:val="0B2545"/>
                <w:sz w:val="14"/>
              </w:rPr>
              <w:t>DG0</w:t>
            </w:r>
          </w:p>
        </w:tc>
        <w:tc>
          <w:tcPr>
            <w:tcW w:type="dxa" w:w="3760"/>
            <w:tcMar>
              <w:top w:w="45" w:type="dxa"/>
              <w:bottom w:w="45" w:type="dxa"/>
              <w:start w:w="100" w:type="dxa"/>
              <w:end w:w="100" w:type="dxa"/>
            </w:tcMar>
          </w:tcPr>
          <w:p>
            <w:pPr>
              <w:keepLines/>
              <w:spacing w:after="0" w:line="252" w:lineRule="auto"/>
            </w:pPr>
            <w:r>
              <w:rPr>
                <w:rFonts w:ascii="Calibri" w:hAnsi="Calibri" w:eastAsia="Microsoft YaHei"/>
                <w:color w:val="0B2545"/>
                <w:sz w:val="14"/>
              </w:rPr>
              <w:t>Calcam 相机几何标定与像素—三维映射</w:t>
            </w:r>
          </w:p>
        </w:tc>
        <w:tc>
          <w:tcPr>
            <w:tcW w:type="dxa" w:w="800"/>
            <w:tcMar>
              <w:top w:w="45" w:type="dxa"/>
              <w:bottom w:w="45" w:type="dxa"/>
              <w:start w:w="100" w:type="dxa"/>
              <w:end w:w="100" w:type="dxa"/>
            </w:tcMar>
          </w:tcPr>
          <w:p>
            <w:pPr>
              <w:keepLines/>
              <w:spacing w:after="0" w:line="252" w:lineRule="auto"/>
            </w:pPr>
            <w:r>
              <w:rPr>
                <w:rFonts w:ascii="Calibri" w:hAnsi="Calibri" w:eastAsia="Microsoft YaHei"/>
                <w:color w:val="0B2545"/>
                <w:sz w:val="14"/>
              </w:rPr>
              <w:t>E3</w:t>
            </w:r>
          </w:p>
        </w:tc>
        <w:tc>
          <w:tcPr>
            <w:tcW w:type="dxa" w:w="2900"/>
            <w:tcMar>
              <w:top w:w="45" w:type="dxa"/>
              <w:bottom w:w="45" w:type="dxa"/>
              <w:start w:w="100" w:type="dxa"/>
              <w:end w:w="100" w:type="dxa"/>
            </w:tcMar>
          </w:tcPr>
          <w:p>
            <w:pPr>
              <w:keepLines/>
              <w:spacing w:after="0" w:line="252" w:lineRule="auto"/>
            </w:pPr>
            <w:r>
              <w:rPr>
                <w:rFonts w:ascii="Calibri" w:hAnsi="Calibri" w:eastAsia="Microsoft YaHei"/>
                <w:color w:val="0B2545"/>
                <w:sz w:val="14"/>
              </w:rPr>
              <w:t>JET；MAST Upgrade；fusion camera systems</w:t>
            </w:r>
          </w:p>
        </w:tc>
      </w:tr>
      <w:tr>
        <w:trPr>
          <w:cantSplit/>
        </w:trPr>
        <w:tc>
          <w:tcPr>
            <w:tcW w:type="dxa" w:w="1000"/>
            <w:tcMar>
              <w:top w:w="45" w:type="dxa"/>
              <w:bottom w:w="45" w:type="dxa"/>
              <w:start w:w="100" w:type="dxa"/>
              <w:end w:w="100" w:type="dxa"/>
            </w:tcMar>
          </w:tcPr>
          <w:p>
            <w:pPr>
              <w:keepLines/>
              <w:spacing w:after="0" w:line="252" w:lineRule="auto"/>
            </w:pPr>
            <w:r>
              <w:rPr>
                <w:rFonts w:ascii="Calibri" w:hAnsi="Calibri" w:eastAsia="Microsoft YaHei"/>
                <w:color w:val="0B2545"/>
                <w:sz w:val="14"/>
              </w:rPr>
              <w:t>DG3-011</w:t>
            </w:r>
          </w:p>
        </w:tc>
        <w:tc>
          <w:tcPr>
            <w:tcW w:type="dxa" w:w="900"/>
            <w:tcMar>
              <w:top w:w="45" w:type="dxa"/>
              <w:bottom w:w="45" w:type="dxa"/>
              <w:start w:w="100" w:type="dxa"/>
              <w:end w:w="100" w:type="dxa"/>
            </w:tcMar>
          </w:tcPr>
          <w:p>
            <w:pPr>
              <w:keepLines/>
              <w:spacing w:after="0" w:line="252" w:lineRule="auto"/>
            </w:pPr>
            <w:r>
              <w:rPr>
                <w:rFonts w:ascii="Calibri" w:hAnsi="Calibri" w:eastAsia="Microsoft YaHei"/>
                <w:color w:val="0B2545"/>
                <w:sz w:val="14"/>
              </w:rPr>
              <w:t>DG3</w:t>
            </w:r>
          </w:p>
        </w:tc>
        <w:tc>
          <w:tcPr>
            <w:tcW w:type="dxa" w:w="3760"/>
            <w:tcMar>
              <w:top w:w="45" w:type="dxa"/>
              <w:bottom w:w="45" w:type="dxa"/>
              <w:start w:w="100" w:type="dxa"/>
              <w:end w:w="100" w:type="dxa"/>
            </w:tcMar>
          </w:tcPr>
          <w:p>
            <w:pPr>
              <w:keepLines/>
              <w:spacing w:after="0" w:line="252" w:lineRule="auto"/>
            </w:pPr>
            <w:r>
              <w:rPr>
                <w:rFonts w:ascii="Calibri" w:hAnsi="Calibri" w:eastAsia="Microsoft YaHei"/>
                <w:color w:val="0B2545"/>
                <w:sz w:val="14"/>
              </w:rPr>
              <w:t>电荷交换复合谱：离子温度与转动</w:t>
            </w:r>
          </w:p>
        </w:tc>
        <w:tc>
          <w:tcPr>
            <w:tcW w:type="dxa" w:w="800"/>
            <w:tcMar>
              <w:top w:w="45" w:type="dxa"/>
              <w:bottom w:w="45" w:type="dxa"/>
              <w:start w:w="100" w:type="dxa"/>
              <w:end w:w="100" w:type="dxa"/>
            </w:tcMar>
          </w:tcPr>
          <w:p>
            <w:pPr>
              <w:keepLines/>
              <w:spacing w:after="0" w:line="252" w:lineRule="auto"/>
            </w:pPr>
            <w:r>
              <w:rPr>
                <w:rFonts w:ascii="Calibri" w:hAnsi="Calibri" w:eastAsia="Microsoft YaHei"/>
                <w:color w:val="0B2545"/>
                <w:sz w:val="14"/>
              </w:rPr>
              <w:t>E4</w:t>
            </w:r>
          </w:p>
        </w:tc>
        <w:tc>
          <w:tcPr>
            <w:tcW w:type="dxa" w:w="2900"/>
            <w:tcMar>
              <w:top w:w="45" w:type="dxa"/>
              <w:bottom w:w="45" w:type="dxa"/>
              <w:start w:w="100" w:type="dxa"/>
              <w:end w:w="100" w:type="dxa"/>
            </w:tcMar>
          </w:tcPr>
          <w:p>
            <w:pPr>
              <w:keepLines/>
              <w:spacing w:after="0" w:line="252" w:lineRule="auto"/>
            </w:pPr>
            <w:r>
              <w:rPr>
                <w:rFonts w:ascii="Calibri" w:hAnsi="Calibri" w:eastAsia="Microsoft YaHei"/>
                <w:color w:val="0B2545"/>
                <w:sz w:val="14"/>
              </w:rPr>
              <w:t>DIII-D；HL-2A；JET；KSTAR</w:t>
            </w:r>
          </w:p>
        </w:tc>
      </w:tr>
      <w:tr>
        <w:trPr>
          <w:cantSplit/>
        </w:trPr>
        <w:tc>
          <w:tcPr>
            <w:tcW w:type="dxa" w:w="1000"/>
            <w:tcMar>
              <w:top w:w="45" w:type="dxa"/>
              <w:bottom w:w="45" w:type="dxa"/>
              <w:start w:w="100" w:type="dxa"/>
              <w:end w:w="100" w:type="dxa"/>
            </w:tcMar>
          </w:tcPr>
          <w:p>
            <w:pPr>
              <w:keepLines/>
              <w:spacing w:after="0" w:line="252" w:lineRule="auto"/>
            </w:pPr>
            <w:r>
              <w:rPr>
                <w:rFonts w:ascii="Calibri" w:hAnsi="Calibri" w:eastAsia="Microsoft YaHei"/>
                <w:color w:val="0B2545"/>
                <w:sz w:val="14"/>
              </w:rPr>
              <w:t>DG3-012</w:t>
            </w:r>
          </w:p>
        </w:tc>
        <w:tc>
          <w:tcPr>
            <w:tcW w:type="dxa" w:w="900"/>
            <w:tcMar>
              <w:top w:w="45" w:type="dxa"/>
              <w:bottom w:w="45" w:type="dxa"/>
              <w:start w:w="100" w:type="dxa"/>
              <w:end w:w="100" w:type="dxa"/>
            </w:tcMar>
          </w:tcPr>
          <w:p>
            <w:pPr>
              <w:keepLines/>
              <w:spacing w:after="0" w:line="252" w:lineRule="auto"/>
            </w:pPr>
            <w:r>
              <w:rPr>
                <w:rFonts w:ascii="Calibri" w:hAnsi="Calibri" w:eastAsia="Microsoft YaHei"/>
                <w:color w:val="0B2545"/>
                <w:sz w:val="14"/>
              </w:rPr>
              <w:t>DG3</w:t>
            </w:r>
          </w:p>
        </w:tc>
        <w:tc>
          <w:tcPr>
            <w:tcW w:type="dxa" w:w="3760"/>
            <w:tcMar>
              <w:top w:w="45" w:type="dxa"/>
              <w:bottom w:w="45" w:type="dxa"/>
              <w:start w:w="100" w:type="dxa"/>
              <w:end w:w="100" w:type="dxa"/>
            </w:tcMar>
          </w:tcPr>
          <w:p>
            <w:pPr>
              <w:keepLines/>
              <w:spacing w:after="0" w:line="252" w:lineRule="auto"/>
            </w:pPr>
            <w:r>
              <w:rPr>
                <w:rFonts w:ascii="Calibri" w:hAnsi="Calibri" w:eastAsia="Microsoft YaHei"/>
                <w:color w:val="0B2545"/>
                <w:sz w:val="14"/>
              </w:rPr>
              <w:t>成像X射线晶体谱：二维离子温度、流速与杂质</w:t>
            </w:r>
          </w:p>
        </w:tc>
        <w:tc>
          <w:tcPr>
            <w:tcW w:type="dxa" w:w="800"/>
            <w:tcMar>
              <w:top w:w="45" w:type="dxa"/>
              <w:bottom w:w="45" w:type="dxa"/>
              <w:start w:w="100" w:type="dxa"/>
              <w:end w:w="100" w:type="dxa"/>
            </w:tcMar>
          </w:tcPr>
          <w:p>
            <w:pPr>
              <w:keepLines/>
              <w:spacing w:after="0" w:line="252" w:lineRule="auto"/>
            </w:pPr>
            <w:r>
              <w:rPr>
                <w:rFonts w:ascii="Calibri" w:hAnsi="Calibri" w:eastAsia="Microsoft YaHei"/>
                <w:color w:val="0B2545"/>
                <w:sz w:val="14"/>
              </w:rPr>
              <w:t>E4</w:t>
            </w:r>
          </w:p>
        </w:tc>
        <w:tc>
          <w:tcPr>
            <w:tcW w:type="dxa" w:w="2900"/>
            <w:tcMar>
              <w:top w:w="45" w:type="dxa"/>
              <w:bottom w:w="45" w:type="dxa"/>
              <w:start w:w="100" w:type="dxa"/>
              <w:end w:w="100" w:type="dxa"/>
            </w:tcMar>
          </w:tcPr>
          <w:p>
            <w:pPr>
              <w:keepLines/>
              <w:spacing w:after="0" w:line="252" w:lineRule="auto"/>
            </w:pPr>
            <w:r>
              <w:rPr>
                <w:rFonts w:ascii="Calibri" w:hAnsi="Calibri" w:eastAsia="Microsoft YaHei"/>
                <w:color w:val="0B2545"/>
                <w:sz w:val="14"/>
              </w:rPr>
              <w:t>EAST；KSTAR；SPARC；W7-X</w:t>
            </w:r>
          </w:p>
        </w:tc>
      </w:tr>
      <w:tr>
        <w:trPr>
          <w:cantSplit/>
        </w:trPr>
        <w:tc>
          <w:tcPr>
            <w:tcW w:type="dxa" w:w="1000"/>
            <w:tcMar>
              <w:top w:w="45" w:type="dxa"/>
              <w:bottom w:w="45" w:type="dxa"/>
              <w:start w:w="100" w:type="dxa"/>
              <w:end w:w="100" w:type="dxa"/>
            </w:tcMar>
          </w:tcPr>
          <w:p>
            <w:pPr>
              <w:keepLines/>
              <w:spacing w:after="0" w:line="252" w:lineRule="auto"/>
            </w:pPr>
            <w:r>
              <w:rPr>
                <w:rFonts w:ascii="Calibri" w:hAnsi="Calibri" w:eastAsia="Microsoft YaHei"/>
                <w:color w:val="0B2545"/>
                <w:sz w:val="14"/>
              </w:rPr>
              <w:t>DG3-015</w:t>
            </w:r>
          </w:p>
        </w:tc>
        <w:tc>
          <w:tcPr>
            <w:tcW w:type="dxa" w:w="900"/>
            <w:tcMar>
              <w:top w:w="45" w:type="dxa"/>
              <w:bottom w:w="45" w:type="dxa"/>
              <w:start w:w="100" w:type="dxa"/>
              <w:end w:w="100" w:type="dxa"/>
            </w:tcMar>
          </w:tcPr>
          <w:p>
            <w:pPr>
              <w:keepLines/>
              <w:spacing w:after="0" w:line="252" w:lineRule="auto"/>
            </w:pPr>
            <w:r>
              <w:rPr>
                <w:rFonts w:ascii="Calibri" w:hAnsi="Calibri" w:eastAsia="Microsoft YaHei"/>
                <w:color w:val="0B2545"/>
                <w:sz w:val="14"/>
              </w:rPr>
              <w:t>DG3</w:t>
            </w:r>
          </w:p>
        </w:tc>
        <w:tc>
          <w:tcPr>
            <w:tcW w:type="dxa" w:w="3760"/>
            <w:tcMar>
              <w:top w:w="45" w:type="dxa"/>
              <w:bottom w:w="45" w:type="dxa"/>
              <w:start w:w="100" w:type="dxa"/>
              <w:end w:w="100" w:type="dxa"/>
            </w:tcMar>
          </w:tcPr>
          <w:p>
            <w:pPr>
              <w:keepLines/>
              <w:spacing w:after="0" w:line="252" w:lineRule="auto"/>
            </w:pPr>
            <w:r>
              <w:rPr>
                <w:rFonts w:ascii="Calibri" w:hAnsi="Calibri" w:eastAsia="Microsoft YaHei"/>
                <w:color w:val="0B2545"/>
                <w:sz w:val="14"/>
              </w:rPr>
              <w:t>ITER诊断中性束与氦灰CXRS</w:t>
            </w:r>
          </w:p>
        </w:tc>
        <w:tc>
          <w:tcPr>
            <w:tcW w:type="dxa" w:w="800"/>
            <w:tcMar>
              <w:top w:w="45" w:type="dxa"/>
              <w:bottom w:w="45" w:type="dxa"/>
              <w:start w:w="100" w:type="dxa"/>
              <w:end w:w="100" w:type="dxa"/>
            </w:tcMar>
          </w:tcPr>
          <w:p>
            <w:pPr>
              <w:keepLines/>
              <w:spacing w:after="0" w:line="252" w:lineRule="auto"/>
            </w:pPr>
            <w:r>
              <w:rPr>
                <w:rFonts w:ascii="Calibri" w:hAnsi="Calibri" w:eastAsia="Microsoft YaHei"/>
                <w:color w:val="0B2545"/>
                <w:sz w:val="14"/>
              </w:rPr>
              <w:t>E2</w:t>
            </w:r>
          </w:p>
        </w:tc>
        <w:tc>
          <w:tcPr>
            <w:tcW w:type="dxa" w:w="2900"/>
            <w:tcMar>
              <w:top w:w="45" w:type="dxa"/>
              <w:bottom w:w="45" w:type="dxa"/>
              <w:start w:w="100" w:type="dxa"/>
              <w:end w:w="100" w:type="dxa"/>
            </w:tcMar>
          </w:tcPr>
          <w:p>
            <w:pPr>
              <w:keepLines/>
              <w:spacing w:after="0" w:line="252" w:lineRule="auto"/>
            </w:pPr>
            <w:r>
              <w:rPr>
                <w:rFonts w:ascii="Calibri" w:hAnsi="Calibri" w:eastAsia="Microsoft YaHei"/>
                <w:color w:val="0B2545"/>
                <w:sz w:val="14"/>
              </w:rPr>
              <w:t>ITER；DIII-D/JET method heritage</w:t>
            </w:r>
          </w:p>
        </w:tc>
      </w:tr>
      <w:tr>
        <w:trPr>
          <w:cantSplit/>
        </w:trPr>
        <w:tc>
          <w:tcPr>
            <w:tcW w:type="dxa" w:w="1000"/>
            <w:tcMar>
              <w:top w:w="45" w:type="dxa"/>
              <w:bottom w:w="45" w:type="dxa"/>
              <w:start w:w="100" w:type="dxa"/>
              <w:end w:w="100" w:type="dxa"/>
            </w:tcMar>
          </w:tcPr>
          <w:p>
            <w:pPr>
              <w:keepLines/>
              <w:spacing w:after="0" w:line="252" w:lineRule="auto"/>
            </w:pPr>
            <w:r>
              <w:rPr>
                <w:rFonts w:ascii="Calibri" w:hAnsi="Calibri" w:eastAsia="Microsoft YaHei"/>
                <w:color w:val="0B2545"/>
                <w:sz w:val="14"/>
              </w:rPr>
              <w:t>DG4-020</w:t>
            </w:r>
          </w:p>
        </w:tc>
        <w:tc>
          <w:tcPr>
            <w:tcW w:type="dxa" w:w="900"/>
            <w:tcMar>
              <w:top w:w="45" w:type="dxa"/>
              <w:bottom w:w="45" w:type="dxa"/>
              <w:start w:w="100" w:type="dxa"/>
              <w:end w:w="100" w:type="dxa"/>
            </w:tcMar>
          </w:tcPr>
          <w:p>
            <w:pPr>
              <w:keepLines/>
              <w:spacing w:after="0" w:line="252" w:lineRule="auto"/>
            </w:pPr>
            <w:r>
              <w:rPr>
                <w:rFonts w:ascii="Calibri" w:hAnsi="Calibri" w:eastAsia="Microsoft YaHei"/>
                <w:color w:val="0B2545"/>
                <w:sz w:val="14"/>
              </w:rPr>
              <w:t>DG5</w:t>
            </w:r>
          </w:p>
        </w:tc>
        <w:tc>
          <w:tcPr>
            <w:tcW w:type="dxa" w:w="3760"/>
            <w:tcMar>
              <w:top w:w="45" w:type="dxa"/>
              <w:bottom w:w="45" w:type="dxa"/>
              <w:start w:w="100" w:type="dxa"/>
              <w:end w:w="100" w:type="dxa"/>
            </w:tcMar>
          </w:tcPr>
          <w:p>
            <w:pPr>
              <w:keepLines/>
              <w:spacing w:after="0" w:line="252" w:lineRule="auto"/>
            </w:pPr>
            <w:r>
              <w:rPr>
                <w:rFonts w:ascii="Calibri" w:hAnsi="Calibri" w:eastAsia="Microsoft YaHei"/>
                <w:color w:val="0B2545"/>
                <w:sz w:val="14"/>
              </w:rPr>
              <w:t>硬X射线：逃逸电子制动辐射监测</w:t>
            </w:r>
          </w:p>
        </w:tc>
        <w:tc>
          <w:tcPr>
            <w:tcW w:type="dxa" w:w="800"/>
            <w:tcMar>
              <w:top w:w="45" w:type="dxa"/>
              <w:bottom w:w="45" w:type="dxa"/>
              <w:start w:w="100" w:type="dxa"/>
              <w:end w:w="100" w:type="dxa"/>
            </w:tcMar>
          </w:tcPr>
          <w:p>
            <w:pPr>
              <w:keepLines/>
              <w:spacing w:after="0" w:line="252" w:lineRule="auto"/>
            </w:pPr>
            <w:r>
              <w:rPr>
                <w:rFonts w:ascii="Calibri" w:hAnsi="Calibri" w:eastAsia="Microsoft YaHei"/>
                <w:color w:val="0B2545"/>
                <w:sz w:val="14"/>
              </w:rPr>
              <w:t>E3</w:t>
            </w:r>
          </w:p>
        </w:tc>
        <w:tc>
          <w:tcPr>
            <w:tcW w:type="dxa" w:w="2900"/>
            <w:tcMar>
              <w:top w:w="45" w:type="dxa"/>
              <w:bottom w:w="45" w:type="dxa"/>
              <w:start w:w="100" w:type="dxa"/>
              <w:end w:w="100" w:type="dxa"/>
            </w:tcMar>
          </w:tcPr>
          <w:p>
            <w:pPr>
              <w:keepLines/>
              <w:spacing w:after="0" w:line="252" w:lineRule="auto"/>
            </w:pPr>
            <w:r>
              <w:rPr>
                <w:rFonts w:ascii="Calibri" w:hAnsi="Calibri" w:eastAsia="Microsoft YaHei"/>
                <w:color w:val="0B2545"/>
                <w:sz w:val="14"/>
              </w:rPr>
              <w:t>J-TEXT；HL-2M；SPARC；ITER</w:t>
            </w:r>
          </w:p>
        </w:tc>
      </w:tr>
      <w:tr>
        <w:trPr>
          <w:cantSplit/>
        </w:trPr>
        <w:tc>
          <w:tcPr>
            <w:tcW w:type="dxa" w:w="1000"/>
            <w:tcMar>
              <w:top w:w="45" w:type="dxa"/>
              <w:bottom w:w="45" w:type="dxa"/>
              <w:start w:w="100" w:type="dxa"/>
              <w:end w:w="100" w:type="dxa"/>
            </w:tcMar>
          </w:tcPr>
          <w:p>
            <w:pPr>
              <w:keepLines/>
              <w:spacing w:after="0" w:line="252" w:lineRule="auto"/>
            </w:pPr>
            <w:r>
              <w:rPr>
                <w:rFonts w:ascii="Calibri" w:hAnsi="Calibri" w:eastAsia="Microsoft YaHei"/>
                <w:color w:val="0B2545"/>
                <w:sz w:val="14"/>
              </w:rPr>
              <w:t>DG7-039</w:t>
            </w:r>
          </w:p>
        </w:tc>
        <w:tc>
          <w:tcPr>
            <w:tcW w:type="dxa" w:w="900"/>
            <w:tcMar>
              <w:top w:w="45" w:type="dxa"/>
              <w:bottom w:w="45" w:type="dxa"/>
              <w:start w:w="100" w:type="dxa"/>
              <w:end w:w="100" w:type="dxa"/>
            </w:tcMar>
          </w:tcPr>
          <w:p>
            <w:pPr>
              <w:keepLines/>
              <w:spacing w:after="0" w:line="252" w:lineRule="auto"/>
            </w:pPr>
            <w:r>
              <w:rPr>
                <w:rFonts w:ascii="Calibri" w:hAnsi="Calibri" w:eastAsia="Microsoft YaHei"/>
                <w:color w:val="0B2545"/>
                <w:sz w:val="14"/>
              </w:rPr>
              <w:t>DG7</w:t>
            </w:r>
          </w:p>
        </w:tc>
        <w:tc>
          <w:tcPr>
            <w:tcW w:type="dxa" w:w="3760"/>
            <w:tcMar>
              <w:top w:w="45" w:type="dxa"/>
              <w:bottom w:w="45" w:type="dxa"/>
              <w:start w:w="100" w:type="dxa"/>
              <w:end w:w="100" w:type="dxa"/>
            </w:tcMar>
          </w:tcPr>
          <w:p>
            <w:pPr>
              <w:keepLines/>
              <w:spacing w:after="0" w:line="252" w:lineRule="auto"/>
            </w:pPr>
            <w:r>
              <w:rPr>
                <w:rFonts w:ascii="Calibri" w:hAnsi="Calibri" w:eastAsia="Microsoft YaHei"/>
                <w:color w:val="0B2545"/>
                <w:sz w:val="14"/>
              </w:rPr>
              <w:t>Balmer/Stark偏滤器谱：脱靶、再结合与中性压力</w:t>
            </w:r>
          </w:p>
        </w:tc>
        <w:tc>
          <w:tcPr>
            <w:tcW w:type="dxa" w:w="800"/>
            <w:tcMar>
              <w:top w:w="45" w:type="dxa"/>
              <w:bottom w:w="45" w:type="dxa"/>
              <w:start w:w="100" w:type="dxa"/>
              <w:end w:w="100" w:type="dxa"/>
            </w:tcMar>
          </w:tcPr>
          <w:p>
            <w:pPr>
              <w:keepLines/>
              <w:spacing w:after="0" w:line="252" w:lineRule="auto"/>
            </w:pPr>
            <w:r>
              <w:rPr>
                <w:rFonts w:ascii="Calibri" w:hAnsi="Calibri" w:eastAsia="Microsoft YaHei"/>
                <w:color w:val="0B2545"/>
                <w:sz w:val="14"/>
              </w:rPr>
              <w:t>E4</w:t>
            </w:r>
          </w:p>
        </w:tc>
        <w:tc>
          <w:tcPr>
            <w:tcW w:type="dxa" w:w="2900"/>
            <w:tcMar>
              <w:top w:w="45" w:type="dxa"/>
              <w:bottom w:w="45" w:type="dxa"/>
              <w:start w:w="100" w:type="dxa"/>
              <w:end w:w="100" w:type="dxa"/>
            </w:tcMar>
          </w:tcPr>
          <w:p>
            <w:pPr>
              <w:keepLines/>
              <w:spacing w:after="0" w:line="252" w:lineRule="auto"/>
            </w:pPr>
            <w:r>
              <w:rPr>
                <w:rFonts w:ascii="Calibri" w:hAnsi="Calibri" w:eastAsia="Microsoft YaHei"/>
                <w:color w:val="0B2545"/>
                <w:sz w:val="14"/>
              </w:rPr>
              <w:t>TCV；MAST Upgrade；DIII-D；JET</w:t>
            </w:r>
          </w:p>
        </w:tc>
      </w:tr>
      <w:tr>
        <w:trPr>
          <w:cantSplit/>
        </w:trPr>
        <w:tc>
          <w:tcPr>
            <w:tcW w:type="dxa" w:w="1000"/>
            <w:tcMar>
              <w:top w:w="45" w:type="dxa"/>
              <w:bottom w:w="45" w:type="dxa"/>
              <w:start w:w="100" w:type="dxa"/>
              <w:end w:w="100" w:type="dxa"/>
            </w:tcMar>
          </w:tcPr>
          <w:p>
            <w:pPr>
              <w:keepLines/>
              <w:spacing w:after="0" w:line="252" w:lineRule="auto"/>
            </w:pPr>
            <w:r>
              <w:rPr>
                <w:rFonts w:ascii="Calibri" w:hAnsi="Calibri" w:eastAsia="Microsoft YaHei"/>
                <w:color w:val="0B2545"/>
                <w:sz w:val="14"/>
              </w:rPr>
              <w:t>DG7-042</w:t>
            </w:r>
          </w:p>
        </w:tc>
        <w:tc>
          <w:tcPr>
            <w:tcW w:type="dxa" w:w="900"/>
            <w:tcMar>
              <w:top w:w="45" w:type="dxa"/>
              <w:bottom w:w="45" w:type="dxa"/>
              <w:start w:w="100" w:type="dxa"/>
              <w:end w:w="100" w:type="dxa"/>
            </w:tcMar>
          </w:tcPr>
          <w:p>
            <w:pPr>
              <w:keepLines/>
              <w:spacing w:after="0" w:line="252" w:lineRule="auto"/>
            </w:pPr>
            <w:r>
              <w:rPr>
                <w:rFonts w:ascii="Calibri" w:hAnsi="Calibri" w:eastAsia="Microsoft YaHei"/>
                <w:color w:val="0B2545"/>
                <w:sz w:val="14"/>
              </w:rPr>
              <w:t>DG7</w:t>
            </w:r>
          </w:p>
        </w:tc>
        <w:tc>
          <w:tcPr>
            <w:tcW w:type="dxa" w:w="3760"/>
            <w:tcMar>
              <w:top w:w="45" w:type="dxa"/>
              <w:bottom w:w="45" w:type="dxa"/>
              <w:start w:w="100" w:type="dxa"/>
              <w:end w:w="100" w:type="dxa"/>
            </w:tcMar>
          </w:tcPr>
          <w:p>
            <w:pPr>
              <w:keepLines/>
              <w:spacing w:after="0" w:line="252" w:lineRule="auto"/>
            </w:pPr>
            <w:r>
              <w:rPr>
                <w:rFonts w:ascii="Calibri" w:hAnsi="Calibri" w:eastAsia="Microsoft YaHei"/>
                <w:color w:val="0B2545"/>
                <w:sz w:val="14"/>
              </w:rPr>
              <w:t>第一镜、尘埃与侵蚀/沉积综合监测</w:t>
            </w:r>
          </w:p>
        </w:tc>
        <w:tc>
          <w:tcPr>
            <w:tcW w:type="dxa" w:w="800"/>
            <w:tcMar>
              <w:top w:w="45" w:type="dxa"/>
              <w:bottom w:w="45" w:type="dxa"/>
              <w:start w:w="100" w:type="dxa"/>
              <w:end w:w="100" w:type="dxa"/>
            </w:tcMar>
          </w:tcPr>
          <w:p>
            <w:pPr>
              <w:keepLines/>
              <w:spacing w:after="0" w:line="252" w:lineRule="auto"/>
            </w:pPr>
            <w:r>
              <w:rPr>
                <w:rFonts w:ascii="Calibri" w:hAnsi="Calibri" w:eastAsia="Microsoft YaHei"/>
                <w:color w:val="0B2545"/>
                <w:sz w:val="14"/>
              </w:rPr>
              <w:t>E3</w:t>
            </w:r>
          </w:p>
        </w:tc>
        <w:tc>
          <w:tcPr>
            <w:tcW w:type="dxa" w:w="2900"/>
            <w:tcMar>
              <w:top w:w="45" w:type="dxa"/>
              <w:bottom w:w="45" w:type="dxa"/>
              <w:start w:w="100" w:type="dxa"/>
              <w:end w:w="100" w:type="dxa"/>
            </w:tcMar>
          </w:tcPr>
          <w:p>
            <w:pPr>
              <w:keepLines/>
              <w:spacing w:after="0" w:line="252" w:lineRule="auto"/>
            </w:pPr>
            <w:r>
              <w:rPr>
                <w:rFonts w:ascii="Calibri" w:hAnsi="Calibri" w:eastAsia="Microsoft YaHei"/>
                <w:color w:val="0B2545"/>
                <w:sz w:val="14"/>
              </w:rPr>
              <w:t>ITER R&amp;D；JET；TEXTOR；DIII-D</w:t>
            </w:r>
          </w:p>
        </w:tc>
      </w:tr>
      <w:tr>
        <w:trPr>
          <w:cantSplit/>
        </w:trPr>
        <w:tc>
          <w:tcPr>
            <w:tcW w:type="dxa" w:w="1000"/>
            <w:tcMar>
              <w:top w:w="45" w:type="dxa"/>
              <w:bottom w:w="45" w:type="dxa"/>
              <w:start w:w="100" w:type="dxa"/>
              <w:end w:w="100" w:type="dxa"/>
            </w:tcMar>
          </w:tcPr>
          <w:p>
            <w:pPr>
              <w:keepLines/>
              <w:spacing w:after="0" w:line="252" w:lineRule="auto"/>
            </w:pPr>
            <w:r>
              <w:rPr>
                <w:rFonts w:ascii="Calibri" w:hAnsi="Calibri" w:eastAsia="Microsoft YaHei"/>
                <w:color w:val="0B2545"/>
                <w:sz w:val="14"/>
              </w:rPr>
              <w:t>PDT-010</w:t>
            </w:r>
          </w:p>
        </w:tc>
        <w:tc>
          <w:tcPr>
            <w:tcW w:type="dxa" w:w="900"/>
            <w:tcMar>
              <w:top w:w="45" w:type="dxa"/>
              <w:bottom w:w="45" w:type="dxa"/>
              <w:start w:w="100" w:type="dxa"/>
              <w:end w:w="100" w:type="dxa"/>
            </w:tcMar>
          </w:tcPr>
          <w:p>
            <w:pPr>
              <w:keepLines/>
              <w:spacing w:after="0" w:line="252" w:lineRule="auto"/>
            </w:pPr>
            <w:r>
              <w:rPr>
                <w:rFonts w:ascii="Calibri" w:hAnsi="Calibri" w:eastAsia="Microsoft YaHei"/>
                <w:color w:val="0B2545"/>
                <w:sz w:val="14"/>
              </w:rPr>
              <w:t>DG8</w:t>
            </w:r>
          </w:p>
        </w:tc>
        <w:tc>
          <w:tcPr>
            <w:tcW w:type="dxa" w:w="3760"/>
            <w:tcMar>
              <w:top w:w="45" w:type="dxa"/>
              <w:bottom w:w="45" w:type="dxa"/>
              <w:start w:w="100" w:type="dxa"/>
              <w:end w:w="100" w:type="dxa"/>
            </w:tcMar>
          </w:tcPr>
          <w:p>
            <w:pPr>
              <w:keepLines/>
              <w:spacing w:after="0" w:line="252" w:lineRule="auto"/>
            </w:pPr>
            <w:r>
              <w:rPr>
                <w:rFonts w:ascii="Calibri" w:hAnsi="Calibri" w:eastAsia="Microsoft YaHei"/>
                <w:color w:val="0B2545"/>
                <w:sz w:val="14"/>
              </w:rPr>
              <w:t>ITER 诊断残余气体分析器的燃料、氦灰与杂质监测</w:t>
            </w:r>
          </w:p>
        </w:tc>
        <w:tc>
          <w:tcPr>
            <w:tcW w:type="dxa" w:w="800"/>
            <w:tcMar>
              <w:top w:w="45" w:type="dxa"/>
              <w:bottom w:w="45" w:type="dxa"/>
              <w:start w:w="100" w:type="dxa"/>
              <w:end w:w="100" w:type="dxa"/>
            </w:tcMar>
          </w:tcPr>
          <w:p>
            <w:pPr>
              <w:keepLines/>
              <w:spacing w:after="0" w:line="252" w:lineRule="auto"/>
            </w:pPr>
            <w:r>
              <w:rPr>
                <w:rFonts w:ascii="Calibri" w:hAnsi="Calibri" w:eastAsia="Microsoft YaHei"/>
                <w:color w:val="0B2545"/>
                <w:sz w:val="14"/>
              </w:rPr>
              <w:t>E2</w:t>
            </w:r>
          </w:p>
        </w:tc>
        <w:tc>
          <w:tcPr>
            <w:tcW w:type="dxa" w:w="2900"/>
            <w:tcMar>
              <w:top w:w="45" w:type="dxa"/>
              <w:bottom w:w="45" w:type="dxa"/>
              <w:start w:w="100" w:type="dxa"/>
              <w:end w:w="100" w:type="dxa"/>
            </w:tcMar>
          </w:tcPr>
          <w:p>
            <w:pPr>
              <w:keepLines/>
              <w:spacing w:after="0" w:line="252" w:lineRule="auto"/>
            </w:pPr>
            <w:r>
              <w:rPr>
                <w:rFonts w:ascii="Calibri" w:hAnsi="Calibri" w:eastAsia="Microsoft YaHei"/>
                <w:color w:val="0B2545"/>
                <w:sz w:val="14"/>
              </w:rPr>
              <w:t>ITER prototype</w:t>
            </w:r>
          </w:p>
        </w:tc>
      </w:tr>
      <w:tr>
        <w:trPr>
          <w:cantSplit/>
        </w:trPr>
        <w:tc>
          <w:tcPr>
            <w:tcW w:type="dxa" w:w="1000"/>
            <w:tcMar>
              <w:top w:w="45" w:type="dxa"/>
              <w:bottom w:w="45" w:type="dxa"/>
              <w:start w:w="100" w:type="dxa"/>
              <w:end w:w="100" w:type="dxa"/>
            </w:tcMar>
          </w:tcPr>
          <w:p>
            <w:pPr>
              <w:keepLines/>
              <w:spacing w:after="0" w:line="252" w:lineRule="auto"/>
            </w:pPr>
            <w:r>
              <w:rPr>
                <w:rFonts w:ascii="Calibri" w:hAnsi="Calibri" w:eastAsia="Microsoft YaHei"/>
                <w:color w:val="0B2545"/>
                <w:sz w:val="14"/>
              </w:rPr>
              <w:t>PDT-012</w:t>
            </w:r>
          </w:p>
        </w:tc>
        <w:tc>
          <w:tcPr>
            <w:tcW w:type="dxa" w:w="900"/>
            <w:tcMar>
              <w:top w:w="45" w:type="dxa"/>
              <w:bottom w:w="45" w:type="dxa"/>
              <w:start w:w="100" w:type="dxa"/>
              <w:end w:w="100" w:type="dxa"/>
            </w:tcMar>
          </w:tcPr>
          <w:p>
            <w:pPr>
              <w:keepLines/>
              <w:spacing w:after="0" w:line="252" w:lineRule="auto"/>
            </w:pPr>
            <w:r>
              <w:rPr>
                <w:rFonts w:ascii="Calibri" w:hAnsi="Calibri" w:eastAsia="Microsoft YaHei"/>
                <w:color w:val="0B2545"/>
                <w:sz w:val="14"/>
              </w:rPr>
              <w:t>DG8</w:t>
            </w:r>
          </w:p>
        </w:tc>
        <w:tc>
          <w:tcPr>
            <w:tcW w:type="dxa" w:w="3760"/>
            <w:tcMar>
              <w:top w:w="45" w:type="dxa"/>
              <w:bottom w:w="45" w:type="dxa"/>
              <w:start w:w="100" w:type="dxa"/>
              <w:end w:w="100" w:type="dxa"/>
            </w:tcMar>
          </w:tcPr>
          <w:p>
            <w:pPr>
              <w:keepLines/>
              <w:spacing w:after="0" w:line="252" w:lineRule="auto"/>
            </w:pPr>
            <w:r>
              <w:rPr>
                <w:rFonts w:ascii="Calibri" w:hAnsi="Calibri" w:eastAsia="Microsoft YaHei"/>
                <w:color w:val="0B2545"/>
                <w:sz w:val="14"/>
              </w:rPr>
              <w:t>JET 氚燃料循环在线气相色谱与物料衡算</w:t>
            </w:r>
          </w:p>
        </w:tc>
        <w:tc>
          <w:tcPr>
            <w:tcW w:type="dxa" w:w="800"/>
            <w:tcMar>
              <w:top w:w="45" w:type="dxa"/>
              <w:bottom w:w="45" w:type="dxa"/>
              <w:start w:w="100" w:type="dxa"/>
              <w:end w:w="100" w:type="dxa"/>
            </w:tcMar>
          </w:tcPr>
          <w:p>
            <w:pPr>
              <w:keepLines/>
              <w:spacing w:after="0" w:line="252" w:lineRule="auto"/>
            </w:pPr>
            <w:r>
              <w:rPr>
                <w:rFonts w:ascii="Calibri" w:hAnsi="Calibri" w:eastAsia="Microsoft YaHei"/>
                <w:color w:val="0B2545"/>
                <w:sz w:val="14"/>
              </w:rPr>
              <w:t>E4</w:t>
            </w:r>
          </w:p>
        </w:tc>
        <w:tc>
          <w:tcPr>
            <w:tcW w:type="dxa" w:w="2900"/>
            <w:tcMar>
              <w:top w:w="45" w:type="dxa"/>
              <w:bottom w:w="45" w:type="dxa"/>
              <w:start w:w="100" w:type="dxa"/>
              <w:end w:w="100" w:type="dxa"/>
            </w:tcMar>
          </w:tcPr>
          <w:p>
            <w:pPr>
              <w:keepLines/>
              <w:spacing w:after="0" w:line="252" w:lineRule="auto"/>
            </w:pPr>
            <w:r>
              <w:rPr>
                <w:rFonts w:ascii="Calibri" w:hAnsi="Calibri" w:eastAsia="Microsoft YaHei"/>
                <w:color w:val="0B2545"/>
                <w:sz w:val="14"/>
              </w:rPr>
              <w:t>JET Active Gas Handling System</w:t>
            </w:r>
          </w:p>
        </w:tc>
      </w:tr>
      <w:tr>
        <w:trPr>
          <w:cantSplit/>
        </w:trPr>
        <w:tc>
          <w:tcPr>
            <w:tcW w:type="dxa" w:w="1000"/>
            <w:tcMar>
              <w:top w:w="45" w:type="dxa"/>
              <w:bottom w:w="45" w:type="dxa"/>
              <w:start w:w="100" w:type="dxa"/>
              <w:end w:w="100" w:type="dxa"/>
            </w:tcMar>
          </w:tcPr>
          <w:p>
            <w:pPr>
              <w:keepLines/>
              <w:spacing w:after="0" w:line="252" w:lineRule="auto"/>
            </w:pPr>
            <w:r>
              <w:rPr>
                <w:rFonts w:ascii="Calibri" w:hAnsi="Calibri" w:eastAsia="Microsoft YaHei"/>
                <w:color w:val="0B2545"/>
                <w:sz w:val="14"/>
              </w:rPr>
              <w:t>DSI-009</w:t>
            </w:r>
          </w:p>
        </w:tc>
        <w:tc>
          <w:tcPr>
            <w:tcW w:type="dxa" w:w="900"/>
            <w:tcMar>
              <w:top w:w="45" w:type="dxa"/>
              <w:bottom w:w="45" w:type="dxa"/>
              <w:start w:w="100" w:type="dxa"/>
              <w:end w:w="100" w:type="dxa"/>
            </w:tcMar>
          </w:tcPr>
          <w:p>
            <w:pPr>
              <w:keepLines/>
              <w:spacing w:after="0" w:line="252" w:lineRule="auto"/>
            </w:pPr>
            <w:r>
              <w:rPr>
                <w:rFonts w:ascii="Calibri" w:hAnsi="Calibri" w:eastAsia="Microsoft YaHei"/>
                <w:color w:val="0B2545"/>
                <w:sz w:val="14"/>
              </w:rPr>
              <w:t>DG9</w:t>
            </w:r>
          </w:p>
        </w:tc>
        <w:tc>
          <w:tcPr>
            <w:tcW w:type="dxa" w:w="3760"/>
            <w:tcMar>
              <w:top w:w="45" w:type="dxa"/>
              <w:bottom w:w="45" w:type="dxa"/>
              <w:start w:w="100" w:type="dxa"/>
              <w:end w:w="100" w:type="dxa"/>
            </w:tcMar>
          </w:tcPr>
          <w:p>
            <w:pPr>
              <w:keepLines/>
              <w:spacing w:after="0" w:line="252" w:lineRule="auto"/>
            </w:pPr>
            <w:r>
              <w:rPr>
                <w:rFonts w:ascii="Calibri" w:hAnsi="Calibri" w:eastAsia="Microsoft YaHei"/>
                <w:color w:val="0B2545"/>
                <w:sz w:val="14"/>
              </w:rPr>
              <w:t>CHERAB–Raysect 三维光谱与辐射合成诊断</w:t>
            </w:r>
          </w:p>
        </w:tc>
        <w:tc>
          <w:tcPr>
            <w:tcW w:type="dxa" w:w="800"/>
            <w:tcMar>
              <w:top w:w="45" w:type="dxa"/>
              <w:bottom w:w="45" w:type="dxa"/>
              <w:start w:w="100" w:type="dxa"/>
              <w:end w:w="100" w:type="dxa"/>
            </w:tcMar>
          </w:tcPr>
          <w:p>
            <w:pPr>
              <w:keepLines/>
              <w:spacing w:after="0" w:line="252" w:lineRule="auto"/>
            </w:pPr>
            <w:r>
              <w:rPr>
                <w:rFonts w:ascii="Calibri" w:hAnsi="Calibri" w:eastAsia="Microsoft YaHei"/>
                <w:color w:val="0B2545"/>
                <w:sz w:val="14"/>
              </w:rPr>
              <w:t>E3</w:t>
            </w:r>
          </w:p>
        </w:tc>
        <w:tc>
          <w:tcPr>
            <w:tcW w:type="dxa" w:w="2900"/>
            <w:tcMar>
              <w:top w:w="45" w:type="dxa"/>
              <w:bottom w:w="45" w:type="dxa"/>
              <w:start w:w="100" w:type="dxa"/>
              <w:end w:w="100" w:type="dxa"/>
            </w:tcMar>
          </w:tcPr>
          <w:p>
            <w:pPr>
              <w:keepLines/>
              <w:spacing w:after="0" w:line="252" w:lineRule="auto"/>
            </w:pPr>
            <w:r>
              <w:rPr>
                <w:rFonts w:ascii="Calibri" w:hAnsi="Calibri" w:eastAsia="Microsoft YaHei"/>
                <w:color w:val="0B2545"/>
                <w:sz w:val="14"/>
              </w:rPr>
              <w:t>ASDEX Upgrade；JET；MAST Upgrade；ITER design studies</w:t>
            </w:r>
          </w:p>
        </w:tc>
      </w:tr>
      <w:tr>
        <w:trPr>
          <w:cantSplit/>
        </w:trPr>
        <w:tc>
          <w:tcPr>
            <w:tcW w:type="dxa" w:w="1000"/>
            <w:tcMar>
              <w:top w:w="45" w:type="dxa"/>
              <w:bottom w:w="45" w:type="dxa"/>
              <w:start w:w="100" w:type="dxa"/>
              <w:end w:w="100" w:type="dxa"/>
            </w:tcMar>
          </w:tcPr>
          <w:p>
            <w:pPr>
              <w:keepLines/>
              <w:spacing w:after="0" w:line="252" w:lineRule="auto"/>
            </w:pPr>
            <w:r>
              <w:rPr>
                <w:rFonts w:ascii="Calibri" w:hAnsi="Calibri" w:eastAsia="Microsoft YaHei"/>
                <w:color w:val="0B2545"/>
                <w:sz w:val="14"/>
              </w:rPr>
              <w:t>DSI-013</w:t>
            </w:r>
          </w:p>
        </w:tc>
        <w:tc>
          <w:tcPr>
            <w:tcW w:type="dxa" w:w="900"/>
            <w:tcMar>
              <w:top w:w="45" w:type="dxa"/>
              <w:bottom w:w="45" w:type="dxa"/>
              <w:start w:w="100" w:type="dxa"/>
              <w:end w:w="100" w:type="dxa"/>
            </w:tcMar>
          </w:tcPr>
          <w:p>
            <w:pPr>
              <w:keepLines/>
              <w:spacing w:after="0" w:line="252" w:lineRule="auto"/>
            </w:pPr>
            <w:r>
              <w:rPr>
                <w:rFonts w:ascii="Calibri" w:hAnsi="Calibri" w:eastAsia="Microsoft YaHei"/>
                <w:color w:val="0B2545"/>
                <w:sz w:val="14"/>
              </w:rPr>
              <w:t>DG9</w:t>
            </w:r>
          </w:p>
        </w:tc>
        <w:tc>
          <w:tcPr>
            <w:tcW w:type="dxa" w:w="3760"/>
            <w:tcMar>
              <w:top w:w="45" w:type="dxa"/>
              <w:bottom w:w="45" w:type="dxa"/>
              <w:start w:w="100" w:type="dxa"/>
              <w:end w:w="100" w:type="dxa"/>
            </w:tcMar>
          </w:tcPr>
          <w:p>
            <w:pPr>
              <w:keepLines/>
              <w:spacing w:after="0" w:line="252" w:lineRule="auto"/>
            </w:pPr>
            <w:r>
              <w:rPr>
                <w:rFonts w:ascii="Calibri" w:hAnsi="Calibri" w:eastAsia="Microsoft YaHei"/>
                <w:color w:val="0B2545"/>
                <w:sz w:val="14"/>
              </w:rPr>
              <w:t>ToFu 三维几何、辐射前向模型与层析工具箱</w:t>
            </w:r>
          </w:p>
        </w:tc>
        <w:tc>
          <w:tcPr>
            <w:tcW w:type="dxa" w:w="800"/>
            <w:tcMar>
              <w:top w:w="45" w:type="dxa"/>
              <w:bottom w:w="45" w:type="dxa"/>
              <w:start w:w="100" w:type="dxa"/>
              <w:end w:w="100" w:type="dxa"/>
            </w:tcMar>
          </w:tcPr>
          <w:p>
            <w:pPr>
              <w:keepLines/>
              <w:spacing w:after="0" w:line="252" w:lineRule="auto"/>
            </w:pPr>
            <w:r>
              <w:rPr>
                <w:rFonts w:ascii="Calibri" w:hAnsi="Calibri" w:eastAsia="Microsoft YaHei"/>
                <w:color w:val="0B2545"/>
                <w:sz w:val="14"/>
              </w:rPr>
              <w:t>E2</w:t>
            </w:r>
          </w:p>
        </w:tc>
        <w:tc>
          <w:tcPr>
            <w:tcW w:type="dxa" w:w="2900"/>
            <w:tcMar>
              <w:top w:w="45" w:type="dxa"/>
              <w:bottom w:w="45" w:type="dxa"/>
              <w:start w:w="100" w:type="dxa"/>
              <w:end w:w="100" w:type="dxa"/>
            </w:tcMar>
          </w:tcPr>
          <w:p>
            <w:pPr>
              <w:keepLines/>
              <w:spacing w:after="0" w:line="252" w:lineRule="auto"/>
            </w:pPr>
            <w:r>
              <w:rPr>
                <w:rFonts w:ascii="Calibri" w:hAnsi="Calibri" w:eastAsia="Microsoft YaHei"/>
                <w:color w:val="0B2545"/>
                <w:sz w:val="14"/>
              </w:rPr>
              <w:t>WEST；JET/ITER-oriented geometries；generic tokamaks and stellarators</w:t>
            </w:r>
          </w:p>
        </w:tc>
      </w:tr>
      <w:tr>
        <w:trPr>
          <w:cantSplit/>
        </w:trPr>
        <w:tc>
          <w:tcPr>
            <w:tcW w:type="dxa" w:w="1000"/>
            <w:tcMar>
              <w:top w:w="45" w:type="dxa"/>
              <w:bottom w:w="45" w:type="dxa"/>
              <w:start w:w="100" w:type="dxa"/>
              <w:end w:w="100" w:type="dxa"/>
            </w:tcMar>
          </w:tcPr>
          <w:p>
            <w:pPr>
              <w:keepLines/>
              <w:spacing w:after="0" w:line="252" w:lineRule="auto"/>
            </w:pPr>
            <w:r>
              <w:rPr>
                <w:rFonts w:ascii="Calibri" w:hAnsi="Calibri" w:eastAsia="Microsoft YaHei"/>
                <w:color w:val="0B2545"/>
                <w:sz w:val="14"/>
              </w:rPr>
              <w:t>DSI-015</w:t>
            </w:r>
          </w:p>
        </w:tc>
        <w:tc>
          <w:tcPr>
            <w:tcW w:type="dxa" w:w="900"/>
            <w:tcMar>
              <w:top w:w="45" w:type="dxa"/>
              <w:bottom w:w="45" w:type="dxa"/>
              <w:start w:w="100" w:type="dxa"/>
              <w:end w:w="100" w:type="dxa"/>
            </w:tcMar>
          </w:tcPr>
          <w:p>
            <w:pPr>
              <w:keepLines/>
              <w:spacing w:after="0" w:line="252" w:lineRule="auto"/>
            </w:pPr>
            <w:r>
              <w:rPr>
                <w:rFonts w:ascii="Calibri" w:hAnsi="Calibri" w:eastAsia="Microsoft YaHei"/>
                <w:color w:val="0B2545"/>
                <w:sz w:val="14"/>
              </w:rPr>
              <w:t>DG9</w:t>
            </w:r>
          </w:p>
        </w:tc>
        <w:tc>
          <w:tcPr>
            <w:tcW w:type="dxa" w:w="3760"/>
            <w:tcMar>
              <w:top w:w="45" w:type="dxa"/>
              <w:bottom w:w="45" w:type="dxa"/>
              <w:start w:w="100" w:type="dxa"/>
              <w:end w:w="100" w:type="dxa"/>
            </w:tcMar>
          </w:tcPr>
          <w:p>
            <w:pPr>
              <w:keepLines/>
              <w:spacing w:after="0" w:line="252" w:lineRule="auto"/>
            </w:pPr>
            <w:r>
              <w:rPr>
                <w:rFonts w:ascii="Calibri" w:hAnsi="Calibri" w:eastAsia="Microsoft YaHei"/>
                <w:color w:val="0B2545"/>
                <w:sz w:val="14"/>
              </w:rPr>
              <w:t>XICSRT 晶体 X 射线成像光谱射线追踪</w:t>
            </w:r>
          </w:p>
        </w:tc>
        <w:tc>
          <w:tcPr>
            <w:tcW w:type="dxa" w:w="800"/>
            <w:tcMar>
              <w:top w:w="45" w:type="dxa"/>
              <w:bottom w:w="45" w:type="dxa"/>
              <w:start w:w="100" w:type="dxa"/>
              <w:end w:w="100" w:type="dxa"/>
            </w:tcMar>
          </w:tcPr>
          <w:p>
            <w:pPr>
              <w:keepLines/>
              <w:spacing w:after="0" w:line="252" w:lineRule="auto"/>
            </w:pPr>
            <w:r>
              <w:rPr>
                <w:rFonts w:ascii="Calibri" w:hAnsi="Calibri" w:eastAsia="Microsoft YaHei"/>
                <w:color w:val="0B2545"/>
                <w:sz w:val="14"/>
              </w:rPr>
              <w:t>E2</w:t>
            </w:r>
          </w:p>
        </w:tc>
        <w:tc>
          <w:tcPr>
            <w:tcW w:type="dxa" w:w="2900"/>
            <w:tcMar>
              <w:top w:w="45" w:type="dxa"/>
              <w:bottom w:w="45" w:type="dxa"/>
              <w:start w:w="100" w:type="dxa"/>
              <w:end w:w="100" w:type="dxa"/>
            </w:tcMar>
          </w:tcPr>
          <w:p>
            <w:pPr>
              <w:keepLines/>
              <w:spacing w:after="0" w:line="252" w:lineRule="auto"/>
            </w:pPr>
            <w:r>
              <w:rPr>
                <w:rFonts w:ascii="Calibri" w:hAnsi="Calibri" w:eastAsia="Microsoft YaHei"/>
                <w:color w:val="0B2545"/>
                <w:sz w:val="14"/>
              </w:rPr>
              <w:t>W7-X；ITER XRCS-Core design；NIF-related crystal systems</w:t>
            </w:r>
          </w:p>
        </w:tc>
      </w:tr>
      <w:tr>
        <w:trPr>
          <w:cantSplit/>
        </w:trPr>
        <w:tc>
          <w:tcPr>
            <w:tcW w:type="dxa" w:w="1000"/>
            <w:tcMar>
              <w:top w:w="45" w:type="dxa"/>
              <w:bottom w:w="45" w:type="dxa"/>
              <w:start w:w="100" w:type="dxa"/>
              <w:end w:w="100" w:type="dxa"/>
            </w:tcMar>
          </w:tcPr>
          <w:p>
            <w:pPr>
              <w:keepLines/>
              <w:spacing w:after="0" w:line="252" w:lineRule="auto"/>
            </w:pPr>
            <w:r>
              <w:rPr>
                <w:rFonts w:ascii="Calibri" w:hAnsi="Calibri" w:eastAsia="Microsoft YaHei"/>
                <w:color w:val="0B2545"/>
                <w:sz w:val="14"/>
              </w:rPr>
              <w:t>DSI-014</w:t>
            </w:r>
          </w:p>
        </w:tc>
        <w:tc>
          <w:tcPr>
            <w:tcW w:type="dxa" w:w="900"/>
            <w:tcMar>
              <w:top w:w="45" w:type="dxa"/>
              <w:bottom w:w="45" w:type="dxa"/>
              <w:start w:w="100" w:type="dxa"/>
              <w:end w:w="100" w:type="dxa"/>
            </w:tcMar>
          </w:tcPr>
          <w:p>
            <w:pPr>
              <w:keepLines/>
              <w:spacing w:after="0" w:line="252" w:lineRule="auto"/>
            </w:pPr>
            <w:r>
              <w:rPr>
                <w:rFonts w:ascii="Calibri" w:hAnsi="Calibri" w:eastAsia="Microsoft YaHei"/>
                <w:color w:val="0B2545"/>
                <w:sz w:val="14"/>
              </w:rPr>
              <w:t>DG10</w:t>
            </w:r>
          </w:p>
        </w:tc>
        <w:tc>
          <w:tcPr>
            <w:tcW w:type="dxa" w:w="3760"/>
            <w:tcMar>
              <w:top w:w="45" w:type="dxa"/>
              <w:bottom w:w="45" w:type="dxa"/>
              <w:start w:w="100" w:type="dxa"/>
              <w:end w:w="100" w:type="dxa"/>
            </w:tcMar>
          </w:tcPr>
          <w:p>
            <w:pPr>
              <w:keepLines/>
              <w:spacing w:after="0" w:line="252" w:lineRule="auto"/>
            </w:pPr>
            <w:r>
              <w:rPr>
                <w:rFonts w:ascii="Calibri" w:hAnsi="Calibri" w:eastAsia="Microsoft YaHei"/>
                <w:color w:val="0B2545"/>
                <w:sz w:val="14"/>
              </w:rPr>
              <w:t>TRIPPy 环形辐射视线与反演协议</w:t>
            </w:r>
          </w:p>
        </w:tc>
        <w:tc>
          <w:tcPr>
            <w:tcW w:type="dxa" w:w="800"/>
            <w:tcMar>
              <w:top w:w="45" w:type="dxa"/>
              <w:bottom w:w="45" w:type="dxa"/>
              <w:start w:w="100" w:type="dxa"/>
              <w:end w:w="100" w:type="dxa"/>
            </w:tcMar>
          </w:tcPr>
          <w:p>
            <w:pPr>
              <w:keepLines/>
              <w:spacing w:after="0" w:line="252" w:lineRule="auto"/>
            </w:pPr>
            <w:r>
              <w:rPr>
                <w:rFonts w:ascii="Calibri" w:hAnsi="Calibri" w:eastAsia="Microsoft YaHei"/>
                <w:color w:val="0B2545"/>
                <w:sz w:val="14"/>
              </w:rPr>
              <w:t>E3</w:t>
            </w:r>
          </w:p>
        </w:tc>
        <w:tc>
          <w:tcPr>
            <w:tcW w:type="dxa" w:w="2900"/>
            <w:tcMar>
              <w:top w:w="45" w:type="dxa"/>
              <w:bottom w:w="45" w:type="dxa"/>
              <w:start w:w="100" w:type="dxa"/>
              <w:end w:w="100" w:type="dxa"/>
            </w:tcMar>
          </w:tcPr>
          <w:p>
            <w:pPr>
              <w:keepLines/>
              <w:spacing w:after="0" w:line="252" w:lineRule="auto"/>
            </w:pPr>
            <w:r>
              <w:rPr>
                <w:rFonts w:ascii="Calibri" w:hAnsi="Calibri" w:eastAsia="Microsoft YaHei"/>
                <w:color w:val="0B2545"/>
                <w:sz w:val="14"/>
              </w:rPr>
              <w:t>Alcator C-Mod；NSTX-U</w:t>
            </w:r>
          </w:p>
        </w:tc>
      </w:tr>
      <w:tr>
        <w:trPr>
          <w:cantSplit/>
        </w:trPr>
        <w:tc>
          <w:tcPr>
            <w:tcW w:type="dxa" w:w="1000"/>
            <w:tcMar>
              <w:top w:w="45" w:type="dxa"/>
              <w:bottom w:w="45" w:type="dxa"/>
              <w:start w:w="100" w:type="dxa"/>
              <w:end w:w="100" w:type="dxa"/>
            </w:tcMar>
          </w:tcPr>
          <w:p>
            <w:pPr>
              <w:keepLines/>
              <w:spacing w:after="0" w:line="252" w:lineRule="auto"/>
            </w:pPr>
            <w:r>
              <w:rPr>
                <w:rFonts w:ascii="Calibri" w:hAnsi="Calibri" w:eastAsia="Microsoft YaHei"/>
                <w:color w:val="0B2545"/>
                <w:sz w:val="14"/>
              </w:rPr>
              <w:t>DSI-023</w:t>
            </w:r>
          </w:p>
        </w:tc>
        <w:tc>
          <w:tcPr>
            <w:tcW w:type="dxa" w:w="900"/>
            <w:tcMar>
              <w:top w:w="45" w:type="dxa"/>
              <w:bottom w:w="45" w:type="dxa"/>
              <w:start w:w="100" w:type="dxa"/>
              <w:end w:w="100" w:type="dxa"/>
            </w:tcMar>
          </w:tcPr>
          <w:p>
            <w:pPr>
              <w:keepLines/>
              <w:spacing w:after="0" w:line="252" w:lineRule="auto"/>
            </w:pPr>
            <w:r>
              <w:rPr>
                <w:rFonts w:ascii="Calibri" w:hAnsi="Calibri" w:eastAsia="Microsoft YaHei"/>
                <w:color w:val="0B2545"/>
                <w:sz w:val="14"/>
              </w:rPr>
              <w:t>DG10</w:t>
            </w:r>
          </w:p>
        </w:tc>
        <w:tc>
          <w:tcPr>
            <w:tcW w:type="dxa" w:w="3760"/>
            <w:tcMar>
              <w:top w:w="45" w:type="dxa"/>
              <w:bottom w:w="45" w:type="dxa"/>
              <w:start w:w="100" w:type="dxa"/>
              <w:end w:w="100" w:type="dxa"/>
            </w:tcMar>
          </w:tcPr>
          <w:p>
            <w:pPr>
              <w:keepLines/>
              <w:spacing w:after="0" w:line="252" w:lineRule="auto"/>
            </w:pPr>
            <w:r>
              <w:rPr>
                <w:rFonts w:ascii="Calibri" w:hAnsi="Calibri" w:eastAsia="Microsoft YaHei"/>
                <w:color w:val="0B2545"/>
                <w:sz w:val="14"/>
              </w:rPr>
              <w:t>Minerva 贝叶斯诊断建模与模型数据融合框架</w:t>
            </w:r>
          </w:p>
        </w:tc>
        <w:tc>
          <w:tcPr>
            <w:tcW w:type="dxa" w:w="800"/>
            <w:tcMar>
              <w:top w:w="45" w:type="dxa"/>
              <w:bottom w:w="45" w:type="dxa"/>
              <w:start w:w="100" w:type="dxa"/>
              <w:end w:w="100" w:type="dxa"/>
            </w:tcMar>
          </w:tcPr>
          <w:p>
            <w:pPr>
              <w:keepLines/>
              <w:spacing w:after="0" w:line="252" w:lineRule="auto"/>
            </w:pPr>
            <w:r>
              <w:rPr>
                <w:rFonts w:ascii="Calibri" w:hAnsi="Calibri" w:eastAsia="Microsoft YaHei"/>
                <w:color w:val="0B2545"/>
                <w:sz w:val="14"/>
              </w:rPr>
              <w:t>E3</w:t>
            </w:r>
          </w:p>
        </w:tc>
        <w:tc>
          <w:tcPr>
            <w:tcW w:type="dxa" w:w="2900"/>
            <w:tcMar>
              <w:top w:w="45" w:type="dxa"/>
              <w:bottom w:w="45" w:type="dxa"/>
              <w:start w:w="100" w:type="dxa"/>
              <w:end w:w="100" w:type="dxa"/>
            </w:tcMar>
          </w:tcPr>
          <w:p>
            <w:pPr>
              <w:keepLines/>
              <w:spacing w:after="0" w:line="252" w:lineRule="auto"/>
            </w:pPr>
            <w:r>
              <w:rPr>
                <w:rFonts w:ascii="Calibri" w:hAnsi="Calibri" w:eastAsia="Microsoft YaHei"/>
                <w:color w:val="0B2545"/>
                <w:sz w:val="14"/>
              </w:rPr>
              <w:t>JET；W7-X；MAST and framework applications</w:t>
            </w:r>
          </w:p>
        </w:tc>
      </w:tr>
      <w:tr>
        <w:trPr>
          <w:cantSplit/>
        </w:trPr>
        <w:tc>
          <w:tcPr>
            <w:tcW w:type="dxa" w:w="1000"/>
            <w:tcMar>
              <w:top w:w="45" w:type="dxa"/>
              <w:bottom w:w="45" w:type="dxa"/>
              <w:start w:w="100" w:type="dxa"/>
              <w:end w:w="100" w:type="dxa"/>
            </w:tcMar>
          </w:tcPr>
          <w:p>
            <w:pPr>
              <w:keepLines/>
              <w:spacing w:after="0" w:line="252" w:lineRule="auto"/>
            </w:pPr>
            <w:r>
              <w:rPr>
                <w:rFonts w:ascii="Calibri" w:hAnsi="Calibri" w:eastAsia="Microsoft YaHei"/>
                <w:color w:val="0B2545"/>
                <w:sz w:val="14"/>
              </w:rPr>
              <w:t>DSI-026</w:t>
            </w:r>
          </w:p>
        </w:tc>
        <w:tc>
          <w:tcPr>
            <w:tcW w:type="dxa" w:w="900"/>
            <w:tcMar>
              <w:top w:w="45" w:type="dxa"/>
              <w:bottom w:w="45" w:type="dxa"/>
              <w:start w:w="100" w:type="dxa"/>
              <w:end w:w="100" w:type="dxa"/>
            </w:tcMar>
          </w:tcPr>
          <w:p>
            <w:pPr>
              <w:keepLines/>
              <w:spacing w:after="0" w:line="252" w:lineRule="auto"/>
            </w:pPr>
            <w:r>
              <w:rPr>
                <w:rFonts w:ascii="Calibri" w:hAnsi="Calibri" w:eastAsia="Microsoft YaHei"/>
                <w:color w:val="0B2545"/>
                <w:sz w:val="14"/>
              </w:rPr>
              <w:t>DG10</w:t>
            </w:r>
          </w:p>
        </w:tc>
        <w:tc>
          <w:tcPr>
            <w:tcW w:type="dxa" w:w="3760"/>
            <w:tcMar>
              <w:top w:w="45" w:type="dxa"/>
              <w:bottom w:w="45" w:type="dxa"/>
              <w:start w:w="100" w:type="dxa"/>
              <w:end w:w="100" w:type="dxa"/>
            </w:tcMar>
          </w:tcPr>
          <w:p>
            <w:pPr>
              <w:keepLines/>
              <w:spacing w:after="0" w:line="252" w:lineRule="auto"/>
            </w:pPr>
            <w:r>
              <w:rPr>
                <w:rFonts w:ascii="Calibri" w:hAnsi="Calibri" w:eastAsia="Microsoft YaHei"/>
                <w:color w:val="0B2545"/>
                <w:sz w:val="14"/>
              </w:rPr>
              <w:t>Tomotok 辐射层析 Python 工具包</w:t>
            </w:r>
          </w:p>
        </w:tc>
        <w:tc>
          <w:tcPr>
            <w:tcW w:type="dxa" w:w="800"/>
            <w:tcMar>
              <w:top w:w="45" w:type="dxa"/>
              <w:bottom w:w="45" w:type="dxa"/>
              <w:start w:w="100" w:type="dxa"/>
              <w:end w:w="100" w:type="dxa"/>
            </w:tcMar>
          </w:tcPr>
          <w:p>
            <w:pPr>
              <w:keepLines/>
              <w:spacing w:after="0" w:line="252" w:lineRule="auto"/>
            </w:pPr>
            <w:r>
              <w:rPr>
                <w:rFonts w:ascii="Calibri" w:hAnsi="Calibri" w:eastAsia="Microsoft YaHei"/>
                <w:color w:val="0B2545"/>
                <w:sz w:val="14"/>
              </w:rPr>
              <w:t>E2</w:t>
            </w:r>
          </w:p>
        </w:tc>
        <w:tc>
          <w:tcPr>
            <w:tcW w:type="dxa" w:w="2900"/>
            <w:tcMar>
              <w:top w:w="45" w:type="dxa"/>
              <w:bottom w:w="45" w:type="dxa"/>
              <w:start w:w="100" w:type="dxa"/>
              <w:end w:w="100" w:type="dxa"/>
            </w:tcMar>
          </w:tcPr>
          <w:p>
            <w:pPr>
              <w:keepLines/>
              <w:spacing w:after="0" w:line="252" w:lineRule="auto"/>
            </w:pPr>
            <w:r>
              <w:rPr>
                <w:rFonts w:ascii="Calibri" w:hAnsi="Calibri" w:eastAsia="Microsoft YaHei"/>
                <w:color w:val="0B2545"/>
                <w:sz w:val="14"/>
              </w:rPr>
              <w:t>COMPASS and generic tokamaks</w:t>
            </w:r>
          </w:p>
        </w:tc>
      </w:tr>
      <w:tr>
        <w:trPr>
          <w:cantSplit/>
        </w:trPr>
        <w:tc>
          <w:tcPr>
            <w:tcW w:type="dxa" w:w="1000"/>
            <w:tcMar>
              <w:top w:w="45" w:type="dxa"/>
              <w:bottom w:w="45" w:type="dxa"/>
              <w:start w:w="100" w:type="dxa"/>
              <w:end w:w="100" w:type="dxa"/>
            </w:tcMar>
          </w:tcPr>
          <w:p>
            <w:pPr>
              <w:keepLines/>
              <w:spacing w:after="0" w:line="252" w:lineRule="auto"/>
            </w:pPr>
            <w:r>
              <w:rPr>
                <w:rFonts w:ascii="Calibri" w:hAnsi="Calibri" w:eastAsia="Microsoft YaHei"/>
                <w:color w:val="0B2545"/>
                <w:sz w:val="14"/>
              </w:rPr>
              <w:t>DSI-028</w:t>
            </w:r>
          </w:p>
        </w:tc>
        <w:tc>
          <w:tcPr>
            <w:tcW w:type="dxa" w:w="900"/>
            <w:tcMar>
              <w:top w:w="45" w:type="dxa"/>
              <w:bottom w:w="45" w:type="dxa"/>
              <w:start w:w="100" w:type="dxa"/>
              <w:end w:w="100" w:type="dxa"/>
            </w:tcMar>
          </w:tcPr>
          <w:p>
            <w:pPr>
              <w:keepLines/>
              <w:spacing w:after="0" w:line="252" w:lineRule="auto"/>
            </w:pPr>
            <w:r>
              <w:rPr>
                <w:rFonts w:ascii="Calibri" w:hAnsi="Calibri" w:eastAsia="Microsoft YaHei"/>
                <w:color w:val="0B2545"/>
                <w:sz w:val="14"/>
              </w:rPr>
              <w:t>DG10</w:t>
            </w:r>
          </w:p>
        </w:tc>
        <w:tc>
          <w:tcPr>
            <w:tcW w:type="dxa" w:w="3760"/>
            <w:tcMar>
              <w:top w:w="45" w:type="dxa"/>
              <w:bottom w:w="45" w:type="dxa"/>
              <w:start w:w="100" w:type="dxa"/>
              <w:end w:w="100" w:type="dxa"/>
            </w:tcMar>
          </w:tcPr>
          <w:p>
            <w:pPr>
              <w:keepLines/>
              <w:spacing w:after="0" w:line="252" w:lineRule="auto"/>
            </w:pPr>
            <w:r>
              <w:rPr>
                <w:rFonts w:ascii="Calibri" w:hAnsi="Calibri" w:eastAsia="Microsoft YaHei"/>
                <w:color w:val="0B2545"/>
                <w:sz w:val="14"/>
              </w:rPr>
              <w:t>BITE/Aurora 贝叶斯杂质输运与多谱线反演</w:t>
            </w:r>
          </w:p>
        </w:tc>
        <w:tc>
          <w:tcPr>
            <w:tcW w:type="dxa" w:w="800"/>
            <w:tcMar>
              <w:top w:w="45" w:type="dxa"/>
              <w:bottom w:w="45" w:type="dxa"/>
              <w:start w:w="100" w:type="dxa"/>
              <w:end w:w="100" w:type="dxa"/>
            </w:tcMar>
          </w:tcPr>
          <w:p>
            <w:pPr>
              <w:keepLines/>
              <w:spacing w:after="0" w:line="252" w:lineRule="auto"/>
            </w:pPr>
            <w:r>
              <w:rPr>
                <w:rFonts w:ascii="Calibri" w:hAnsi="Calibri" w:eastAsia="Microsoft YaHei"/>
                <w:color w:val="0B2545"/>
                <w:sz w:val="14"/>
              </w:rPr>
              <w:t>E3</w:t>
            </w:r>
          </w:p>
        </w:tc>
        <w:tc>
          <w:tcPr>
            <w:tcW w:type="dxa" w:w="2900"/>
            <w:tcMar>
              <w:top w:w="45" w:type="dxa"/>
              <w:bottom w:w="45" w:type="dxa"/>
              <w:start w:w="100" w:type="dxa"/>
              <w:end w:w="100" w:type="dxa"/>
            </w:tcMar>
          </w:tcPr>
          <w:p>
            <w:pPr>
              <w:keepLines/>
              <w:spacing w:after="0" w:line="252" w:lineRule="auto"/>
            </w:pPr>
            <w:r>
              <w:rPr>
                <w:rFonts w:ascii="Calibri" w:hAnsi="Calibri" w:eastAsia="Microsoft YaHei"/>
                <w:color w:val="0B2545"/>
                <w:sz w:val="14"/>
              </w:rPr>
              <w:t>Alcator C-Mod</w:t>
            </w:r>
          </w:p>
        </w:tc>
      </w:tr>
      <w:tr>
        <w:trPr>
          <w:cantSplit/>
        </w:trPr>
        <w:tc>
          <w:tcPr>
            <w:tcW w:type="dxa" w:w="1000"/>
            <w:tcMar>
              <w:top w:w="45" w:type="dxa"/>
              <w:bottom w:w="45" w:type="dxa"/>
              <w:start w:w="100" w:type="dxa"/>
              <w:end w:w="100" w:type="dxa"/>
            </w:tcMar>
          </w:tcPr>
          <w:p>
            <w:pPr>
              <w:keepLines/>
              <w:spacing w:after="0" w:line="252" w:lineRule="auto"/>
            </w:pPr>
            <w:r>
              <w:rPr>
                <w:rFonts w:ascii="Calibri" w:hAnsi="Calibri" w:eastAsia="Microsoft YaHei"/>
                <w:color w:val="0B2545"/>
                <w:sz w:val="14"/>
              </w:rPr>
              <w:t>DSI-029</w:t>
            </w:r>
          </w:p>
        </w:tc>
        <w:tc>
          <w:tcPr>
            <w:tcW w:type="dxa" w:w="900"/>
            <w:tcMar>
              <w:top w:w="45" w:type="dxa"/>
              <w:bottom w:w="45" w:type="dxa"/>
              <w:start w:w="100" w:type="dxa"/>
              <w:end w:w="100" w:type="dxa"/>
            </w:tcMar>
          </w:tcPr>
          <w:p>
            <w:pPr>
              <w:keepLines/>
              <w:spacing w:after="0" w:line="252" w:lineRule="auto"/>
            </w:pPr>
            <w:r>
              <w:rPr>
                <w:rFonts w:ascii="Calibri" w:hAnsi="Calibri" w:eastAsia="Microsoft YaHei"/>
                <w:color w:val="0B2545"/>
                <w:sz w:val="14"/>
              </w:rPr>
              <w:t>DG10</w:t>
            </w:r>
          </w:p>
        </w:tc>
        <w:tc>
          <w:tcPr>
            <w:tcW w:type="dxa" w:w="3760"/>
            <w:tcMar>
              <w:top w:w="45" w:type="dxa"/>
              <w:bottom w:w="45" w:type="dxa"/>
              <w:start w:w="100" w:type="dxa"/>
              <w:end w:w="100" w:type="dxa"/>
            </w:tcMar>
          </w:tcPr>
          <w:p>
            <w:pPr>
              <w:keepLines/>
              <w:spacing w:after="0" w:line="252" w:lineRule="auto"/>
            </w:pPr>
            <w:r>
              <w:rPr>
                <w:rFonts w:ascii="Calibri" w:hAnsi="Calibri" w:eastAsia="Microsoft YaHei"/>
                <w:color w:val="0B2545"/>
                <w:sz w:val="14"/>
              </w:rPr>
              <w:t>InDiCA 集成诊断分析框架</w:t>
            </w:r>
          </w:p>
        </w:tc>
        <w:tc>
          <w:tcPr>
            <w:tcW w:type="dxa" w:w="800"/>
            <w:tcMar>
              <w:top w:w="45" w:type="dxa"/>
              <w:bottom w:w="45" w:type="dxa"/>
              <w:start w:w="100" w:type="dxa"/>
              <w:end w:w="100" w:type="dxa"/>
            </w:tcMar>
          </w:tcPr>
          <w:p>
            <w:pPr>
              <w:keepLines/>
              <w:spacing w:after="0" w:line="252" w:lineRule="auto"/>
            </w:pPr>
            <w:r>
              <w:rPr>
                <w:rFonts w:ascii="Calibri" w:hAnsi="Calibri" w:eastAsia="Microsoft YaHei"/>
                <w:color w:val="0B2545"/>
                <w:sz w:val="14"/>
              </w:rPr>
              <w:t>E2</w:t>
            </w:r>
          </w:p>
        </w:tc>
        <w:tc>
          <w:tcPr>
            <w:tcW w:type="dxa" w:w="2900"/>
            <w:tcMar>
              <w:top w:w="45" w:type="dxa"/>
              <w:bottom w:w="45" w:type="dxa"/>
              <w:start w:w="100" w:type="dxa"/>
              <w:end w:w="100" w:type="dxa"/>
            </w:tcMar>
          </w:tcPr>
          <w:p>
            <w:pPr>
              <w:keepLines/>
              <w:spacing w:after="0" w:line="252" w:lineRule="auto"/>
            </w:pPr>
            <w:r>
              <w:rPr>
                <w:rFonts w:ascii="Calibri" w:hAnsi="Calibri" w:eastAsia="Microsoft YaHei"/>
                <w:color w:val="0B2545"/>
                <w:sz w:val="14"/>
              </w:rPr>
              <w:t>MAST Upgrade/UKAEA-oriented development；generic magnetic-confinement devices</w:t>
            </w:r>
          </w:p>
        </w:tc>
      </w:tr>
      <w:tr>
        <w:trPr>
          <w:cantSplit/>
        </w:trPr>
        <w:tc>
          <w:tcPr>
            <w:tcW w:type="dxa" w:w="1000"/>
            <w:tcMar>
              <w:top w:w="45" w:type="dxa"/>
              <w:bottom w:w="45" w:type="dxa"/>
              <w:start w:w="100" w:type="dxa"/>
              <w:end w:w="100" w:type="dxa"/>
            </w:tcMar>
          </w:tcPr>
          <w:p>
            <w:pPr>
              <w:keepLines/>
              <w:spacing w:after="0" w:line="252" w:lineRule="auto"/>
            </w:pPr>
            <w:r>
              <w:rPr>
                <w:rFonts w:ascii="Calibri" w:hAnsi="Calibri" w:eastAsia="Microsoft YaHei"/>
                <w:color w:val="0B2545"/>
                <w:sz w:val="14"/>
              </w:rPr>
              <w:t>DSI-034</w:t>
            </w:r>
          </w:p>
        </w:tc>
        <w:tc>
          <w:tcPr>
            <w:tcW w:type="dxa" w:w="900"/>
            <w:tcMar>
              <w:top w:w="45" w:type="dxa"/>
              <w:bottom w:w="45" w:type="dxa"/>
              <w:start w:w="100" w:type="dxa"/>
              <w:end w:w="100" w:type="dxa"/>
            </w:tcMar>
          </w:tcPr>
          <w:p>
            <w:pPr>
              <w:keepLines/>
              <w:spacing w:after="0" w:line="252" w:lineRule="auto"/>
            </w:pPr>
            <w:r>
              <w:rPr>
                <w:rFonts w:ascii="Calibri" w:hAnsi="Calibri" w:eastAsia="Microsoft YaHei"/>
                <w:color w:val="0B2545"/>
                <w:sz w:val="14"/>
              </w:rPr>
              <w:t>DG10</w:t>
            </w:r>
          </w:p>
        </w:tc>
        <w:tc>
          <w:tcPr>
            <w:tcW w:type="dxa" w:w="3760"/>
            <w:tcMar>
              <w:top w:w="45" w:type="dxa"/>
              <w:bottom w:w="45" w:type="dxa"/>
              <w:start w:w="100" w:type="dxa"/>
              <w:end w:w="100" w:type="dxa"/>
            </w:tcMar>
          </w:tcPr>
          <w:p>
            <w:pPr>
              <w:keepLines/>
              <w:spacing w:after="0" w:line="252" w:lineRule="auto"/>
            </w:pPr>
            <w:r>
              <w:rPr>
                <w:rFonts w:ascii="Calibri" w:hAnsi="Calibri" w:eastAsia="Microsoft YaHei"/>
                <w:color w:val="0B2545"/>
                <w:sz w:val="14"/>
              </w:rPr>
              <w:t>Diag2Diag 多模态诊断超分辨与代理观测</w:t>
            </w:r>
          </w:p>
        </w:tc>
        <w:tc>
          <w:tcPr>
            <w:tcW w:type="dxa" w:w="800"/>
            <w:tcMar>
              <w:top w:w="45" w:type="dxa"/>
              <w:bottom w:w="45" w:type="dxa"/>
              <w:start w:w="100" w:type="dxa"/>
              <w:end w:w="100" w:type="dxa"/>
            </w:tcMar>
          </w:tcPr>
          <w:p>
            <w:pPr>
              <w:keepLines/>
              <w:spacing w:after="0" w:line="252" w:lineRule="auto"/>
            </w:pPr>
            <w:r>
              <w:rPr>
                <w:rFonts w:ascii="Calibri" w:hAnsi="Calibri" w:eastAsia="Microsoft YaHei"/>
                <w:color w:val="0B2545"/>
                <w:sz w:val="14"/>
              </w:rPr>
              <w:t>E3</w:t>
            </w:r>
          </w:p>
        </w:tc>
        <w:tc>
          <w:tcPr>
            <w:tcW w:type="dxa" w:w="2900"/>
            <w:tcMar>
              <w:top w:w="45" w:type="dxa"/>
              <w:bottom w:w="45" w:type="dxa"/>
              <w:start w:w="100" w:type="dxa"/>
              <w:end w:w="100" w:type="dxa"/>
            </w:tcMar>
          </w:tcPr>
          <w:p>
            <w:pPr>
              <w:keepLines/>
              <w:spacing w:after="0" w:line="252" w:lineRule="auto"/>
            </w:pPr>
            <w:r>
              <w:rPr>
                <w:rFonts w:ascii="Calibri" w:hAnsi="Calibri" w:eastAsia="Microsoft YaHei"/>
                <w:color w:val="0B2545"/>
                <w:sz w:val="14"/>
              </w:rPr>
              <w:t>DIII-D</w:t>
            </w:r>
          </w:p>
        </w:tc>
      </w:tr>
      <w:tr>
        <w:trPr>
          <w:cantSplit/>
        </w:trPr>
        <w:tc>
          <w:tcPr>
            <w:tcW w:type="dxa" w:w="1000"/>
            <w:tcMar>
              <w:top w:w="45" w:type="dxa"/>
              <w:bottom w:w="45" w:type="dxa"/>
              <w:start w:w="100" w:type="dxa"/>
              <w:end w:w="100" w:type="dxa"/>
            </w:tcMar>
          </w:tcPr>
          <w:p>
            <w:pPr>
              <w:keepLines/>
              <w:spacing w:after="0" w:line="252" w:lineRule="auto"/>
            </w:pPr>
            <w:r>
              <w:rPr>
                <w:rFonts w:ascii="Calibri" w:hAnsi="Calibri" w:eastAsia="Microsoft YaHei"/>
                <w:color w:val="0B2545"/>
                <w:sz w:val="14"/>
              </w:rPr>
              <w:t>DSI-033</w:t>
            </w:r>
          </w:p>
        </w:tc>
        <w:tc>
          <w:tcPr>
            <w:tcW w:type="dxa" w:w="900"/>
            <w:tcMar>
              <w:top w:w="45" w:type="dxa"/>
              <w:bottom w:w="45" w:type="dxa"/>
              <w:start w:w="100" w:type="dxa"/>
              <w:end w:w="100" w:type="dxa"/>
            </w:tcMar>
          </w:tcPr>
          <w:p>
            <w:pPr>
              <w:keepLines/>
              <w:spacing w:after="0" w:line="252" w:lineRule="auto"/>
            </w:pPr>
            <w:r>
              <w:rPr>
                <w:rFonts w:ascii="Calibri" w:hAnsi="Calibri" w:eastAsia="Microsoft YaHei"/>
                <w:color w:val="0B2545"/>
                <w:sz w:val="14"/>
              </w:rPr>
              <w:t>DG11</w:t>
            </w:r>
          </w:p>
        </w:tc>
        <w:tc>
          <w:tcPr>
            <w:tcW w:type="dxa" w:w="3760"/>
            <w:tcMar>
              <w:top w:w="45" w:type="dxa"/>
              <w:bottom w:w="45" w:type="dxa"/>
              <w:start w:w="100" w:type="dxa"/>
              <w:end w:w="100" w:type="dxa"/>
            </w:tcMar>
          </w:tcPr>
          <w:p>
            <w:pPr>
              <w:keepLines/>
              <w:spacing w:after="0" w:line="252" w:lineRule="auto"/>
            </w:pPr>
            <w:r>
              <w:rPr>
                <w:rFonts w:ascii="Calibri" w:hAnsi="Calibri" w:eastAsia="Microsoft YaHei"/>
                <w:color w:val="0B2545"/>
                <w:sz w:val="14"/>
              </w:rPr>
              <w:t>DisruptionPy 多装置破裂特征提取与基准数据流水线</w:t>
            </w:r>
          </w:p>
        </w:tc>
        <w:tc>
          <w:tcPr>
            <w:tcW w:type="dxa" w:w="800"/>
            <w:tcMar>
              <w:top w:w="45" w:type="dxa"/>
              <w:bottom w:w="45" w:type="dxa"/>
              <w:start w:w="100" w:type="dxa"/>
              <w:end w:w="100" w:type="dxa"/>
            </w:tcMar>
          </w:tcPr>
          <w:p>
            <w:pPr>
              <w:keepLines/>
              <w:spacing w:after="0" w:line="252" w:lineRule="auto"/>
            </w:pPr>
            <w:r>
              <w:rPr>
                <w:rFonts w:ascii="Calibri" w:hAnsi="Calibri" w:eastAsia="Microsoft YaHei"/>
                <w:color w:val="0B2545"/>
                <w:sz w:val="14"/>
              </w:rPr>
              <w:t>E3</w:t>
            </w:r>
          </w:p>
        </w:tc>
        <w:tc>
          <w:tcPr>
            <w:tcW w:type="dxa" w:w="2900"/>
            <w:tcMar>
              <w:top w:w="45" w:type="dxa"/>
              <w:bottom w:w="45" w:type="dxa"/>
              <w:start w:w="100" w:type="dxa"/>
              <w:end w:w="100" w:type="dxa"/>
            </w:tcMar>
          </w:tcPr>
          <w:p>
            <w:pPr>
              <w:keepLines/>
              <w:spacing w:after="0" w:line="252" w:lineRule="auto"/>
            </w:pPr>
            <w:r>
              <w:rPr>
                <w:rFonts w:ascii="Calibri" w:hAnsi="Calibri" w:eastAsia="Microsoft YaHei"/>
                <w:color w:val="0B2545"/>
                <w:sz w:val="14"/>
              </w:rPr>
              <w:t>Alcator C-Mod；DIII-D；EAST；HBT-EP；MAST</w:t>
            </w:r>
          </w:p>
        </w:tc>
      </w:tr>
    </w:tbl>
    <w:p>
      <w:pPr>
        <w:keepNext/>
        <w:pageBreakBefore/>
        <w:spacing w:before="0" w:after="100"/>
      </w:pPr>
      <w:r>
        <w:rPr>
          <w:rFonts w:ascii="Calibri" w:hAnsi="Calibri" w:eastAsia="Microsoft YaHei"/>
          <w:b/>
          <w:caps/>
          <w:color w:val="008C95"/>
          <w:sz w:val="17"/>
        </w:rPr>
        <w:t>10 / DG5 / FUSION PRODUCTS, NEUTRONS, GAMMA RAYS &amp; ENERGETIC PARTICLES</w:t>
      </w:r>
    </w:p>
    <w:p>
      <w:pPr>
        <w:pStyle w:val="Heading1"/>
      </w:pPr>
      <w:r>
        <w:t>聚变产物、中子、伽马与高能粒子</w:t>
      </w:r>
    </w:p>
    <w:tbl>
      <w:tblPr>
        <w:tblStyle w:val="TableGrid"/>
        <w:tblW w:type="dxa" w:w="9360"/>
        <w:jc w:val="left"/>
        <w:tblLayout w:type="fixed"/>
        <w:tblLook w:firstColumn="1" w:firstRow="1" w:lastColumn="0" w:lastRow="0" w:noHBand="0" w:noVBand="1" w:val="04A0"/>
        <w:tblInd w:w="120" w:type="dxa"/>
      </w:tblPr>
      <w:tblGrid>
        <w:gridCol w:w="9360"/>
      </w:tblGrid>
      <w:tr>
        <w:trPr>
          <w:cantSplit/>
        </w:trPr>
        <w:tc>
          <w:tcPr>
            <w:tcW w:type="dxa" w:w="9360"/>
            <w:tcMar>
              <w:top w:w="80" w:type="dxa"/>
              <w:bottom w:w="80" w:type="dxa"/>
              <w:start w:w="120" w:type="dxa"/>
              <w:end w:w="120" w:type="dxa"/>
            </w:tcMar>
            <w:vAlign w:val="center"/>
            <w:shd w:fill="F2F4F7"/>
          </w:tcPr>
          <w:p>
            <w:pPr>
              <w:keepNext/>
              <w:keepLines/>
              <w:spacing w:after="40"/>
            </w:pPr>
            <w:r>
              <w:rPr>
                <w:rFonts w:ascii="Calibri" w:hAnsi="Calibri" w:eastAsia="Microsoft YaHei"/>
                <w:b/>
                <w:color w:val="008C95"/>
                <w:sz w:val="17"/>
              </w:rPr>
              <w:t>CHAPTER SCOPE</w:t>
            </w:r>
          </w:p>
          <w:p>
            <w:pPr>
              <w:spacing w:after="0"/>
            </w:pPr>
            <w:r>
              <w:rPr>
                <w:rFonts w:ascii="Calibri" w:hAnsi="Calibri" w:eastAsia="Microsoft YaHei"/>
                <w:color w:val="0B2545"/>
                <w:sz w:val="20"/>
              </w:rPr>
              <w:t>本章全文展开 9 项主工作，并列出 16 项跨域关联工作。关联工作只在其主任务章节全文展开，避免重复计数。</w:t>
            </w:r>
          </w:p>
        </w:tc>
      </w:tr>
    </w:tbl>
    <w:p>
      <w:pPr>
        <w:spacing w:after="40"/>
      </w:pPr>
    </w:p>
    <w:p>
      <w:pPr>
        <w:pStyle w:val="Heading3"/>
        <w:keepNext/>
      </w:pPr>
      <w:r>
        <w:t>DG5.01  硬X射线：逃逸电子制动辐射监测</w:t>
      </w:r>
    </w:p>
    <w:p>
      <w:pPr>
        <w:keepNext/>
        <w:spacing w:after="80"/>
      </w:pPr>
      <w:r>
        <w:rPr>
          <w:rFonts w:ascii="Calibri" w:hAnsi="Calibri" w:eastAsia="Microsoft YaHei"/>
          <w:i/>
          <w:color w:val="566573"/>
          <w:sz w:val="18"/>
        </w:rPr>
        <w:t>Hard-x-ray monitoring of runaway-electron bremsstrahlung</w:t>
      </w:r>
    </w:p>
    <w:tbl>
      <w:tblPr>
        <w:tblStyle w:val="TableGrid"/>
        <w:tblW w:type="dxa" w:w="9360"/>
        <w:jc w:val="left"/>
        <w:tblLayout w:type="fixed"/>
        <w:tblLook w:firstColumn="1" w:firstRow="1" w:lastColumn="0" w:lastRow="0" w:noHBand="0" w:noVBand="1" w:val="04A0"/>
        <w:tblInd w:w="120" w:type="dxa"/>
      </w:tblPr>
      <w:tblGrid>
        <w:gridCol w:w="1200"/>
        <w:gridCol w:w="750"/>
        <w:gridCol w:w="750"/>
        <w:gridCol w:w="2100"/>
        <w:gridCol w:w="4560"/>
      </w:tblGrid>
      <w:tr>
        <w:trPr>
          <w:tblHeader w:val="true"/>
        </w:trPr>
        <w:tc>
          <w:tcPr>
            <w:tcW w:type="dxa" w:w="12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工作 ID</w:t>
            </w:r>
          </w:p>
        </w:tc>
        <w:tc>
          <w:tcPr>
            <w:tcW w:type="dxa" w:w="7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证据</w:t>
            </w:r>
          </w:p>
        </w:tc>
        <w:tc>
          <w:tcPr>
            <w:tcW w:type="dxa" w:w="7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部署</w:t>
            </w:r>
          </w:p>
        </w:tc>
        <w:tc>
          <w:tcPr>
            <w:tcW w:type="dxa" w:w="21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技术族</w:t>
            </w:r>
          </w:p>
        </w:tc>
        <w:tc>
          <w:tcPr>
            <w:tcW w:type="dxa" w:w="456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装置</w:t>
            </w:r>
          </w:p>
        </w:tc>
      </w:tr>
      <w:tr>
        <w:trPr>
          <w:cantSplit/>
        </w:trPr>
        <w:tc>
          <w:tcPr>
            <w:tcW w:type="dxa" w:w="1200"/>
          </w:tcPr>
          <w:p>
            <w:pPr>
              <w:keepLines/>
              <w:spacing w:after="0" w:line="276" w:lineRule="auto"/>
            </w:pPr>
            <w:r>
              <w:rPr>
                <w:rFonts w:ascii="Calibri" w:hAnsi="Calibri" w:eastAsia="Microsoft YaHei"/>
                <w:color w:val="0B2545"/>
                <w:sz w:val="15"/>
              </w:rPr>
              <w:t>DG4-020</w:t>
            </w:r>
          </w:p>
        </w:tc>
        <w:tc>
          <w:tcPr>
            <w:tcW w:type="dxa" w:w="750"/>
          </w:tcPr>
          <w:p>
            <w:pPr>
              <w:keepLines/>
              <w:spacing w:after="0" w:line="276" w:lineRule="auto"/>
            </w:pPr>
            <w:r>
              <w:rPr>
                <w:rFonts w:ascii="Calibri" w:hAnsi="Calibri" w:eastAsia="Microsoft YaHei"/>
                <w:color w:val="0B2545"/>
                <w:sz w:val="15"/>
              </w:rPr>
              <w:t>E3</w:t>
            </w:r>
          </w:p>
        </w:tc>
        <w:tc>
          <w:tcPr>
            <w:tcW w:type="dxa" w:w="750"/>
          </w:tcPr>
          <w:p>
            <w:pPr>
              <w:keepLines/>
              <w:spacing w:after="0" w:line="276" w:lineRule="auto"/>
            </w:pPr>
            <w:r>
              <w:rPr>
                <w:rFonts w:ascii="Calibri" w:hAnsi="Calibri" w:eastAsia="Microsoft YaHei"/>
                <w:color w:val="0B2545"/>
                <w:sz w:val="15"/>
              </w:rPr>
              <w:t>D3</w:t>
            </w:r>
          </w:p>
        </w:tc>
        <w:tc>
          <w:tcPr>
            <w:tcW w:type="dxa" w:w="2100"/>
          </w:tcPr>
          <w:p>
            <w:pPr>
              <w:keepLines/>
              <w:spacing w:after="0" w:line="276" w:lineRule="auto"/>
            </w:pPr>
            <w:r>
              <w:rPr>
                <w:rFonts w:ascii="Calibri" w:hAnsi="Calibri" w:eastAsia="Microsoft YaHei"/>
                <w:color w:val="0B2545"/>
                <w:sz w:val="15"/>
              </w:rPr>
              <w:t>NUCLEAR_PARTICLE</w:t>
            </w:r>
          </w:p>
        </w:tc>
        <w:tc>
          <w:tcPr>
            <w:tcW w:type="dxa" w:w="4560"/>
          </w:tcPr>
          <w:p>
            <w:pPr>
              <w:keepLines/>
              <w:spacing w:after="0" w:line="276" w:lineRule="auto"/>
            </w:pPr>
            <w:r>
              <w:rPr>
                <w:rFonts w:ascii="Calibri" w:hAnsi="Calibri" w:eastAsia="Microsoft YaHei"/>
                <w:color w:val="0B2545"/>
                <w:sz w:val="15"/>
              </w:rPr>
              <w:t>J-TEXT；HL-2M；SPARC；ITER</w:t>
            </w:r>
          </w:p>
        </w:tc>
      </w:tr>
    </w:tbl>
    <w:p>
      <w:pPr>
        <w:spacing w:before="0" w:after="60"/>
      </w:pPr>
    </w:p>
    <w:p>
      <w:pPr>
        <w:widowControl/>
      </w:pPr>
      <w:r>
        <w:rPr>
          <w:rFonts w:ascii="Calibri" w:hAnsi="Calibri" w:eastAsia="Microsoft YaHei"/>
          <w:b/>
          <w:color w:val="1F4D78"/>
        </w:rPr>
        <w:t>解决问题：</w:t>
      </w:r>
      <w:r>
        <w:rPr>
          <w:rFonts w:ascii="Calibri" w:hAnsi="Calibri" w:eastAsia="Microsoft YaHei"/>
        </w:rPr>
        <w:t>探测逃逸电子产生、能谱和壁撞击，为破裂缓解与损伤评估提供证据。</w:t>
      </w:r>
    </w:p>
    <w:p>
      <w:pPr>
        <w:widowControl/>
      </w:pPr>
      <w:r>
        <w:rPr>
          <w:rFonts w:ascii="Calibri" w:hAnsi="Calibri" w:eastAsia="Microsoft YaHei"/>
          <w:b/>
          <w:color w:val="1F4D78"/>
        </w:rPr>
        <w:t>测量原理：</w:t>
      </w:r>
      <w:r>
        <w:rPr>
          <w:rFonts w:ascii="Calibri" w:hAnsi="Calibri" w:eastAsia="Microsoft YaHei"/>
        </w:rPr>
        <w:t>相对论电子在离子/材料中制动产生HXR；闪烁体或半导体记录能谱和方向。</w:t>
      </w:r>
    </w:p>
    <w:p>
      <w:pPr>
        <w:widowControl/>
      </w:pPr>
      <w:r>
        <w:rPr>
          <w:rFonts w:ascii="Calibri" w:hAnsi="Calibri" w:eastAsia="Microsoft YaHei"/>
          <w:b/>
          <w:color w:val="1F4D78"/>
        </w:rPr>
        <w:t>测量产品：</w:t>
      </w:r>
      <w:r>
        <w:rPr>
          <w:rFonts w:ascii="Calibri" w:hAnsi="Calibri" w:eastAsia="Microsoft YaHei"/>
        </w:rPr>
        <w:t>HXR spectrum；runaway onset；loss-location proxy</w:t>
      </w:r>
    </w:p>
    <w:p>
      <w:pPr>
        <w:widowControl/>
      </w:pPr>
      <w:r>
        <w:rPr>
          <w:rFonts w:ascii="Calibri" w:hAnsi="Calibri" w:eastAsia="Microsoft YaHei"/>
          <w:b/>
          <w:color w:val="1F4D78"/>
        </w:rPr>
        <w:t>时空分辨与覆盖：</w:t>
      </w:r>
      <w:r>
        <w:rPr>
          <w:rFonts w:ascii="Calibri" w:hAnsi="Calibri" w:eastAsia="Microsoft YaHei"/>
        </w:rPr>
        <w:t>时间：因装置、采集和分析链而异；原始来源未给出统一数值。；空间：由视线、几何和反演设定；原始来源未给出统一数值。</w:t>
      </w:r>
    </w:p>
    <w:p>
      <w:pPr>
        <w:widowControl/>
      </w:pPr>
      <w:r>
        <w:rPr>
          <w:rFonts w:ascii="Calibri" w:hAnsi="Calibri" w:eastAsia="Microsoft YaHei"/>
          <w:b/>
          <w:color w:val="1F4D78"/>
        </w:rPr>
        <w:t>仪器与传感器：</w:t>
      </w:r>
      <w:r>
        <w:rPr>
          <w:rFonts w:ascii="Calibri" w:hAnsi="Calibri" w:eastAsia="Microsoft YaHei"/>
        </w:rPr>
        <w:t>scintillators；CdTe/CZT/diamond；collimators；pulse-height electronics；shielding</w:t>
      </w:r>
    </w:p>
    <w:p>
      <w:pPr>
        <w:widowControl/>
      </w:pPr>
      <w:r>
        <w:rPr>
          <w:rFonts w:ascii="Calibri" w:hAnsi="Calibri" w:eastAsia="Microsoft YaHei"/>
          <w:b/>
          <w:color w:val="1F4D78"/>
        </w:rPr>
        <w:t>标定与质量：</w:t>
      </w:r>
      <w:r>
        <w:rPr>
          <w:rFonts w:ascii="Calibri" w:hAnsi="Calibri" w:eastAsia="Microsoft YaHei"/>
        </w:rPr>
        <w:t>用放射源/加速器标定能量、效率、死时间和饱和；测中子/伽马本底。</w:t>
      </w:r>
    </w:p>
    <w:p>
      <w:pPr>
        <w:widowControl/>
      </w:pPr>
      <w:r>
        <w:rPr>
          <w:rFonts w:ascii="Calibri" w:hAnsi="Calibri" w:eastAsia="Microsoft YaHei"/>
          <w:b/>
          <w:color w:val="1F4D78"/>
        </w:rPr>
        <w:t>反演与分析：</w:t>
      </w:r>
      <w:r>
        <w:rPr>
          <w:rFonts w:ascii="Calibri" w:hAnsi="Calibri" w:eastAsia="Microsoft YaHei"/>
        </w:rPr>
        <w:t>脉冲高度去堆积/死时间修正，再用响应矩阵和制动前向模型约束电子分布。</w:t>
      </w:r>
    </w:p>
    <w:p>
      <w:pPr>
        <w:widowControl/>
      </w:pPr>
      <w:r>
        <w:rPr>
          <w:rFonts w:ascii="Calibri" w:hAnsi="Calibri" w:eastAsia="Microsoft YaHei"/>
          <w:b/>
          <w:color w:val="1F4D78"/>
        </w:rPr>
        <w:t>验证与应用：</w:t>
      </w:r>
      <w:r>
        <w:rPr>
          <w:rFonts w:ascii="Calibri" w:hAnsi="Calibri" w:eastAsia="Microsoft YaHei"/>
        </w:rPr>
        <w:t>J-TEXT以放电事件和磁扰动/壁损失相关性验证；SPARC/ITER用蒙特卡洛响应设计。</w:t>
      </w:r>
    </w:p>
    <w:p>
      <w:pPr>
        <w:widowControl/>
      </w:pPr>
      <w:r>
        <w:rPr>
          <w:rFonts w:ascii="Calibri" w:hAnsi="Calibri" w:eastAsia="Microsoft YaHei"/>
          <w:b/>
          <w:color w:val="1F4D78"/>
        </w:rPr>
        <w:t>局限与边界：</w:t>
      </w:r>
      <w:r>
        <w:rPr>
          <w:rFonts w:ascii="Calibri" w:hAnsi="Calibri" w:eastAsia="Microsoft YaHei"/>
        </w:rPr>
        <w:t>计数堆积、方向响应和中子/伽马串扰显著；电子相空间反演非唯一。</w:t>
      </w:r>
    </w:p>
    <w:tbl>
      <w:tblPr>
        <w:tblStyle w:val="TableGrid"/>
        <w:tblW w:type="dxa" w:w="9360"/>
        <w:jc w:val="left"/>
        <w:tblLayout w:type="fixed"/>
        <w:tblLook w:firstColumn="1" w:firstRow="1" w:lastColumn="0" w:lastRow="0" w:noHBand="0" w:noVBand="1" w:val="04A0"/>
        <w:tblInd w:w="120" w:type="dxa"/>
      </w:tblPr>
      <w:tblGrid>
        <w:gridCol w:w="9360"/>
      </w:tblGrid>
      <w:tr>
        <w:trPr>
          <w:cantSplit/>
        </w:trPr>
        <w:tc>
          <w:tcPr>
            <w:tcW w:type="dxa" w:w="9360"/>
            <w:tcMar>
              <w:top w:w="80" w:type="dxa"/>
              <w:bottom w:w="80" w:type="dxa"/>
              <w:start w:w="120" w:type="dxa"/>
              <w:end w:w="120" w:type="dxa"/>
            </w:tcMar>
            <w:vAlign w:val="center"/>
            <w:shd w:fill="EEF7F7"/>
          </w:tcPr>
          <w:p>
            <w:pPr>
              <w:keepNext/>
              <w:keepLines/>
              <w:spacing w:after="40"/>
            </w:pPr>
            <w:r>
              <w:rPr>
                <w:rFonts w:ascii="Calibri" w:hAnsi="Calibri" w:eastAsia="Microsoft YaHei"/>
                <w:b/>
                <w:color w:val="008C95"/>
                <w:sz w:val="17"/>
              </w:rPr>
              <w:t>DIGITAL-TWIN RELEVANCE</w:t>
            </w:r>
          </w:p>
          <w:p>
            <w:pPr>
              <w:spacing w:after="0"/>
            </w:pPr>
            <w:r>
              <w:rPr>
                <w:rFonts w:ascii="Calibri" w:hAnsi="Calibri" w:eastAsia="Microsoft YaHei"/>
                <w:color w:val="0B2545"/>
                <w:sz w:val="20"/>
              </w:rPr>
              <w:t>应作为高能风险事件证据，并与破裂、磁扰动和PFC热响应联动。</w:t>
            </w:r>
          </w:p>
        </w:tc>
      </w:tr>
    </w:tbl>
    <w:p>
      <w:pPr>
        <w:spacing w:after="40"/>
      </w:pPr>
    </w:p>
    <w:tbl>
      <w:tblPr>
        <w:tblStyle w:val="TableGrid"/>
        <w:tblW w:type="dxa" w:w="9360"/>
        <w:jc w:val="left"/>
        <w:tblLayout w:type="fixed"/>
        <w:tblLook w:firstColumn="1" w:firstRow="1" w:lastColumn="0" w:lastRow="0" w:noHBand="0" w:noVBand="1" w:val="04A0"/>
        <w:tblInd w:w="120" w:type="dxa"/>
      </w:tblPr>
      <w:tblGrid>
        <w:gridCol w:w="850"/>
        <w:gridCol w:w="2500"/>
        <w:gridCol w:w="1600"/>
        <w:gridCol w:w="2300"/>
        <w:gridCol w:w="2110"/>
      </w:tblGrid>
      <w:tr>
        <w:trPr>
          <w:tblHeader w:val="true"/>
        </w:trPr>
        <w:tc>
          <w:tcPr>
            <w:tcW w:type="dxa" w:w="8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年份/类型</w:t>
            </w:r>
          </w:p>
        </w:tc>
        <w:tc>
          <w:tcPr>
            <w:tcW w:type="dxa" w:w="25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论文或软件</w:t>
            </w:r>
          </w:p>
        </w:tc>
        <w:tc>
          <w:tcPr>
            <w:tcW w:type="dxa" w:w="16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期刊/开放性</w:t>
            </w:r>
          </w:p>
        </w:tc>
        <w:tc>
          <w:tcPr>
            <w:tcW w:type="dxa" w:w="23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来源类型/关系</w:t>
            </w:r>
          </w:p>
        </w:tc>
        <w:tc>
          <w:tcPr>
            <w:tcW w:type="dxa" w:w="211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链接</w:t>
            </w:r>
          </w:p>
        </w:tc>
      </w:tr>
      <w:tr>
        <w:trPr>
          <w:cantSplit/>
        </w:trPr>
        <w:tc>
          <w:tcPr>
            <w:tcW w:type="dxa" w:w="850"/>
          </w:tcPr>
          <w:p>
            <w:pPr>
              <w:keepLines/>
              <w:spacing w:after="0" w:line="276" w:lineRule="auto"/>
            </w:pPr>
            <w:r>
              <w:rPr>
                <w:rFonts w:ascii="Calibri" w:hAnsi="Calibri" w:eastAsia="Microsoft YaHei"/>
                <w:color w:val="0B2545"/>
                <w:sz w:val="14"/>
              </w:rPr>
              <w:t>2014</w:t>
            </w:r>
          </w:p>
        </w:tc>
        <w:tc>
          <w:tcPr>
            <w:tcW w:type="dxa" w:w="2500"/>
          </w:tcPr>
          <w:p>
            <w:pPr>
              <w:keepLines/>
              <w:spacing w:after="0" w:line="276" w:lineRule="auto"/>
            </w:pPr>
            <w:r>
              <w:rPr>
                <w:rFonts w:ascii="Calibri" w:hAnsi="Calibri" w:eastAsia="Microsoft YaHei"/>
                <w:color w:val="0B2545"/>
                <w:sz w:val="14"/>
              </w:rPr>
              <w:t>Hard X-ray spatial array diagnostics on Joint Texas Experimental Tokamak</w:t>
            </w:r>
          </w:p>
        </w:tc>
        <w:tc>
          <w:tcPr>
            <w:tcW w:type="dxa" w:w="1600"/>
          </w:tcPr>
          <w:p>
            <w:pPr>
              <w:keepLines/>
              <w:spacing w:after="0" w:line="276" w:lineRule="auto"/>
            </w:pPr>
            <w:r>
              <w:rPr>
                <w:rFonts w:ascii="Calibri" w:hAnsi="Calibri" w:eastAsia="Microsoft YaHei"/>
                <w:color w:val="0B2545"/>
                <w:sz w:val="14"/>
              </w:rPr>
              <w:t>Review of Scientific Instruments</w:t>
            </w:r>
          </w:p>
        </w:tc>
        <w:tc>
          <w:tcPr>
            <w:tcW w:type="dxa" w:w="2300"/>
          </w:tcPr>
          <w:p>
            <w:pPr>
              <w:keepLines/>
              <w:spacing w:after="0" w:line="276" w:lineRule="auto"/>
            </w:pPr>
            <w:r>
              <w:rPr>
                <w:rFonts w:ascii="Calibri" w:hAnsi="Calibri" w:eastAsia="Microsoft YaHei"/>
                <w:color w:val="0B2545"/>
                <w:sz w:val="14"/>
              </w:rPr>
              <w:t>peer-reviewed-journal</w:t>
            </w:r>
          </w:p>
        </w:tc>
        <w:tc>
          <w:tcPr>
            <w:tcW w:type="dxa" w:w="2110"/>
          </w:tcPr>
          <w:p>
            <w:pPr>
              <w:keepLines/>
              <w:spacing w:after="0" w:line="276" w:lineRule="auto"/>
            </w:pPr>
            <w:hyperlink r:id="rId83">
              <w:r>
                <w:rPr>
                  <w:rFonts w:ascii="Calibri" w:hAnsi="Calibri" w:eastAsia="Microsoft YaHei"/>
                  <w:color w:val="008C95"/>
                  <w:u w:val="single"/>
                </w:rPr>
                <w:t>打开原始来源 ↗</w:t>
              </w:r>
            </w:hyperlink>
          </w:p>
        </w:tc>
      </w:tr>
      <w:tr>
        <w:trPr>
          <w:cantSplit/>
        </w:trPr>
        <w:tc>
          <w:tcPr>
            <w:tcW w:type="dxa" w:w="850"/>
          </w:tcPr>
          <w:p>
            <w:pPr>
              <w:keepLines/>
              <w:spacing w:after="0" w:line="276" w:lineRule="auto"/>
            </w:pPr>
            <w:r>
              <w:rPr>
                <w:rFonts w:ascii="Calibri" w:hAnsi="Calibri" w:eastAsia="Microsoft YaHei"/>
                <w:color w:val="0B2545"/>
                <w:sz w:val="14"/>
              </w:rPr>
              <w:t>2021</w:t>
            </w:r>
          </w:p>
        </w:tc>
        <w:tc>
          <w:tcPr>
            <w:tcW w:type="dxa" w:w="2500"/>
          </w:tcPr>
          <w:p>
            <w:pPr>
              <w:keepLines/>
              <w:spacing w:after="0" w:line="276" w:lineRule="auto"/>
            </w:pPr>
            <w:r>
              <w:rPr>
                <w:rFonts w:ascii="Calibri" w:hAnsi="Calibri" w:eastAsia="Microsoft YaHei"/>
                <w:color w:val="0B2545"/>
                <w:sz w:val="14"/>
              </w:rPr>
              <w:t>Investigation of Light Transmission Efficiency in ITER Hard X-Ray Monitor</w:t>
            </w:r>
          </w:p>
        </w:tc>
        <w:tc>
          <w:tcPr>
            <w:tcW w:type="dxa" w:w="1600"/>
          </w:tcPr>
          <w:p>
            <w:pPr>
              <w:keepLines/>
              <w:spacing w:after="0" w:line="276" w:lineRule="auto"/>
            </w:pPr>
            <w:r>
              <w:rPr>
                <w:rFonts w:ascii="Calibri" w:hAnsi="Calibri" w:eastAsia="Microsoft YaHei"/>
                <w:color w:val="0B2545"/>
                <w:sz w:val="14"/>
              </w:rPr>
              <w:t>Plasma and Fusion Research</w:t>
            </w:r>
          </w:p>
        </w:tc>
        <w:tc>
          <w:tcPr>
            <w:tcW w:type="dxa" w:w="2300"/>
          </w:tcPr>
          <w:p>
            <w:pPr>
              <w:keepLines/>
              <w:spacing w:after="0" w:line="276" w:lineRule="auto"/>
            </w:pPr>
            <w:r>
              <w:rPr>
                <w:rFonts w:ascii="Calibri" w:hAnsi="Calibri" w:eastAsia="Microsoft YaHei"/>
                <w:color w:val="0B2545"/>
                <w:sz w:val="14"/>
              </w:rPr>
              <w:t>peer-reviewed-journal</w:t>
            </w:r>
          </w:p>
        </w:tc>
        <w:tc>
          <w:tcPr>
            <w:tcW w:type="dxa" w:w="2110"/>
          </w:tcPr>
          <w:p>
            <w:pPr>
              <w:keepLines/>
              <w:spacing w:after="0" w:line="276" w:lineRule="auto"/>
            </w:pPr>
            <w:hyperlink r:id="rId84">
              <w:r>
                <w:rPr>
                  <w:rFonts w:ascii="Calibri" w:hAnsi="Calibri" w:eastAsia="Microsoft YaHei"/>
                  <w:color w:val="008C95"/>
                  <w:u w:val="single"/>
                </w:rPr>
                <w:t>打开原始来源 ↗</w:t>
              </w:r>
            </w:hyperlink>
          </w:p>
        </w:tc>
      </w:tr>
      <w:tr>
        <w:trPr>
          <w:cantSplit/>
        </w:trPr>
        <w:tc>
          <w:tcPr>
            <w:tcW w:type="dxa" w:w="850"/>
          </w:tcPr>
          <w:p>
            <w:pPr>
              <w:keepLines/>
              <w:spacing w:after="0" w:line="276" w:lineRule="auto"/>
            </w:pPr>
            <w:r>
              <w:rPr>
                <w:rFonts w:ascii="Calibri" w:hAnsi="Calibri" w:eastAsia="Microsoft YaHei"/>
                <w:color w:val="0B2545"/>
                <w:sz w:val="14"/>
              </w:rPr>
              <w:t>软件</w:t>
            </w:r>
          </w:p>
        </w:tc>
        <w:tc>
          <w:tcPr>
            <w:tcW w:type="dxa" w:w="2500"/>
          </w:tcPr>
          <w:p>
            <w:pPr>
              <w:keepLines/>
              <w:spacing w:after="0" w:line="276" w:lineRule="auto"/>
            </w:pPr>
            <w:r>
              <w:rPr>
                <w:rFonts w:ascii="Calibri" w:hAnsi="Calibri" w:eastAsia="Microsoft YaHei"/>
                <w:color w:val="0B2545"/>
                <w:sz w:val="14"/>
              </w:rPr>
              <w:t>Geant4</w:t>
            </w:r>
          </w:p>
        </w:tc>
        <w:tc>
          <w:tcPr>
            <w:tcW w:type="dxa" w:w="1600"/>
          </w:tcPr>
          <w:p>
            <w:pPr>
              <w:keepLines/>
              <w:spacing w:after="0" w:line="276" w:lineRule="auto"/>
            </w:pPr>
            <w:r>
              <w:rPr>
                <w:rFonts w:ascii="Calibri" w:hAnsi="Calibri" w:eastAsia="Microsoft YaHei"/>
                <w:color w:val="0B2545"/>
                <w:sz w:val="14"/>
              </w:rPr>
              <w:t>official-enabling</w:t>
            </w:r>
          </w:p>
        </w:tc>
        <w:tc>
          <w:tcPr>
            <w:tcW w:type="dxa" w:w="2300"/>
          </w:tcPr>
          <w:p>
            <w:pPr>
              <w:keepLines/>
              <w:spacing w:after="0" w:line="276" w:lineRule="auto"/>
            </w:pPr>
            <w:r>
              <w:rPr>
                <w:rFonts w:ascii="Calibri" w:hAnsi="Calibri" w:eastAsia="Microsoft YaHei"/>
                <w:color w:val="0B2545"/>
                <w:sz w:val="14"/>
              </w:rPr>
              <w:t>探测器响应/屏蔽/背景模型。</w:t>
            </w:r>
          </w:p>
        </w:tc>
        <w:tc>
          <w:tcPr>
            <w:tcW w:type="dxa" w:w="2110"/>
          </w:tcPr>
          <w:p>
            <w:pPr>
              <w:keepLines/>
              <w:spacing w:after="0" w:line="276" w:lineRule="auto"/>
            </w:pPr>
            <w:hyperlink r:id="rId85">
              <w:r>
                <w:rPr>
                  <w:rFonts w:ascii="Calibri" w:hAnsi="Calibri" w:eastAsia="Microsoft YaHei"/>
                  <w:color w:val="008C95"/>
                  <w:u w:val="single"/>
                </w:rPr>
                <w:t>打开原始来源 ↗</w:t>
              </w:r>
            </w:hyperlink>
          </w:p>
        </w:tc>
      </w:tr>
      <w:tr>
        <w:trPr>
          <w:cantSplit/>
        </w:trPr>
        <w:tc>
          <w:tcPr>
            <w:tcW w:type="dxa" w:w="850"/>
          </w:tcPr>
          <w:p>
            <w:pPr>
              <w:keepLines/>
              <w:spacing w:after="0" w:line="276" w:lineRule="auto"/>
            </w:pPr>
            <w:r>
              <w:rPr>
                <w:rFonts w:ascii="Calibri" w:hAnsi="Calibri" w:eastAsia="Microsoft YaHei"/>
                <w:color w:val="0B2545"/>
                <w:sz w:val="14"/>
              </w:rPr>
              <w:t>软件</w:t>
            </w:r>
          </w:p>
        </w:tc>
        <w:tc>
          <w:tcPr>
            <w:tcW w:type="dxa" w:w="2500"/>
          </w:tcPr>
          <w:p>
            <w:pPr>
              <w:keepLines/>
              <w:spacing w:after="0" w:line="276" w:lineRule="auto"/>
            </w:pPr>
            <w:r>
              <w:rPr>
                <w:rFonts w:ascii="Calibri" w:hAnsi="Calibri" w:eastAsia="Microsoft YaHei"/>
                <w:color w:val="0B2545"/>
                <w:sz w:val="14"/>
              </w:rPr>
              <w:t>装置专有分析/标定软件</w:t>
            </w:r>
          </w:p>
        </w:tc>
        <w:tc>
          <w:tcPr>
            <w:tcW w:type="dxa" w:w="1600"/>
          </w:tcPr>
          <w:p>
            <w:pPr>
              <w:keepLines/>
              <w:spacing w:after="0" w:line="276" w:lineRule="auto"/>
            </w:pPr>
            <w:r>
              <w:rPr>
                <w:rFonts w:ascii="Calibri" w:hAnsi="Calibri" w:eastAsia="Microsoft YaHei"/>
                <w:color w:val="0B2545"/>
                <w:sz w:val="14"/>
              </w:rPr>
              <w:t>not-public</w:t>
            </w:r>
          </w:p>
        </w:tc>
        <w:tc>
          <w:tcPr>
            <w:tcW w:type="dxa" w:w="2300"/>
          </w:tcPr>
          <w:p>
            <w:pPr>
              <w:keepLines/>
              <w:spacing w:after="0" w:line="276" w:lineRule="auto"/>
            </w:pPr>
            <w:r>
              <w:rPr>
                <w:rFonts w:ascii="Calibri" w:hAnsi="Calibri" w:eastAsia="Microsoft YaHei"/>
                <w:color w:val="0B2545"/>
                <w:sz w:val="14"/>
              </w:rPr>
              <w:t>在线事件逻辑和反演未公开。</w:t>
            </w:r>
          </w:p>
        </w:tc>
        <w:tc>
          <w:tcPr>
            <w:tcW w:type="dxa" w:w="2110"/>
          </w:tcPr>
          <w:p>
            <w:pPr>
              <w:keepLines/>
              <w:spacing w:after="0" w:line="276" w:lineRule="auto"/>
            </w:pPr>
            <w:r>
              <w:rPr>
                <w:rFonts w:ascii="Calibri" w:hAnsi="Calibri" w:eastAsia="Microsoft YaHei"/>
                <w:color w:val="0B2545"/>
                <w:sz w:val="14"/>
              </w:rPr>
              <w:t>未公开</w:t>
            </w:r>
          </w:p>
        </w:tc>
      </w:tr>
    </w:tbl>
    <w:p>
      <w:pPr>
        <w:spacing w:before="0" w:after="60"/>
      </w:pPr>
    </w:p>
    <w:p>
      <w:pPr>
        <w:pStyle w:val="Heading3"/>
        <w:keepNext/>
      </w:pPr>
      <w:r>
        <w:t>DG5.02  微裂变室与中子通量监测：聚变功率基准</w:t>
      </w:r>
    </w:p>
    <w:p>
      <w:pPr>
        <w:keepNext/>
        <w:spacing w:after="80"/>
      </w:pPr>
      <w:r>
        <w:rPr>
          <w:rFonts w:ascii="Calibri" w:hAnsi="Calibri" w:eastAsia="Microsoft YaHei"/>
          <w:i/>
          <w:color w:val="566573"/>
          <w:sz w:val="18"/>
        </w:rPr>
        <w:t>Micro-fission chambers and neutron-flux monitors for fusion power</w:t>
      </w:r>
    </w:p>
    <w:tbl>
      <w:tblPr>
        <w:tblStyle w:val="TableGrid"/>
        <w:tblW w:type="dxa" w:w="9360"/>
        <w:jc w:val="left"/>
        <w:tblLayout w:type="fixed"/>
        <w:tblLook w:firstColumn="1" w:firstRow="1" w:lastColumn="0" w:lastRow="0" w:noHBand="0" w:noVBand="1" w:val="04A0"/>
        <w:tblInd w:w="120" w:type="dxa"/>
      </w:tblPr>
      <w:tblGrid>
        <w:gridCol w:w="1200"/>
        <w:gridCol w:w="750"/>
        <w:gridCol w:w="750"/>
        <w:gridCol w:w="2100"/>
        <w:gridCol w:w="4560"/>
      </w:tblGrid>
      <w:tr>
        <w:trPr>
          <w:tblHeader w:val="true"/>
        </w:trPr>
        <w:tc>
          <w:tcPr>
            <w:tcW w:type="dxa" w:w="12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工作 ID</w:t>
            </w:r>
          </w:p>
        </w:tc>
        <w:tc>
          <w:tcPr>
            <w:tcW w:type="dxa" w:w="7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证据</w:t>
            </w:r>
          </w:p>
        </w:tc>
        <w:tc>
          <w:tcPr>
            <w:tcW w:type="dxa" w:w="7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部署</w:t>
            </w:r>
          </w:p>
        </w:tc>
        <w:tc>
          <w:tcPr>
            <w:tcW w:type="dxa" w:w="21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技术族</w:t>
            </w:r>
          </w:p>
        </w:tc>
        <w:tc>
          <w:tcPr>
            <w:tcW w:type="dxa" w:w="456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装置</w:t>
            </w:r>
          </w:p>
        </w:tc>
      </w:tr>
      <w:tr>
        <w:trPr>
          <w:cantSplit/>
        </w:trPr>
        <w:tc>
          <w:tcPr>
            <w:tcW w:type="dxa" w:w="1200"/>
          </w:tcPr>
          <w:p>
            <w:pPr>
              <w:keepLines/>
              <w:spacing w:after="0" w:line="276" w:lineRule="auto"/>
            </w:pPr>
            <w:r>
              <w:rPr>
                <w:rFonts w:ascii="Calibri" w:hAnsi="Calibri" w:eastAsia="Microsoft YaHei"/>
                <w:color w:val="0B2545"/>
                <w:sz w:val="15"/>
              </w:rPr>
              <w:t>DG5-021</w:t>
            </w:r>
          </w:p>
        </w:tc>
        <w:tc>
          <w:tcPr>
            <w:tcW w:type="dxa" w:w="750"/>
          </w:tcPr>
          <w:p>
            <w:pPr>
              <w:keepLines/>
              <w:spacing w:after="0" w:line="276" w:lineRule="auto"/>
            </w:pPr>
            <w:r>
              <w:rPr>
                <w:rFonts w:ascii="Calibri" w:hAnsi="Calibri" w:eastAsia="Microsoft YaHei"/>
                <w:color w:val="0B2545"/>
                <w:sz w:val="15"/>
              </w:rPr>
              <w:t>E1</w:t>
            </w:r>
          </w:p>
        </w:tc>
        <w:tc>
          <w:tcPr>
            <w:tcW w:type="dxa" w:w="750"/>
          </w:tcPr>
          <w:p>
            <w:pPr>
              <w:keepLines/>
              <w:spacing w:after="0" w:line="276" w:lineRule="auto"/>
            </w:pPr>
            <w:r>
              <w:rPr>
                <w:rFonts w:ascii="Calibri" w:hAnsi="Calibri" w:eastAsia="Microsoft YaHei"/>
                <w:color w:val="0B2545"/>
                <w:sz w:val="15"/>
              </w:rPr>
              <w:t>D2</w:t>
            </w:r>
          </w:p>
        </w:tc>
        <w:tc>
          <w:tcPr>
            <w:tcW w:type="dxa" w:w="2100"/>
          </w:tcPr>
          <w:p>
            <w:pPr>
              <w:keepLines/>
              <w:spacing w:after="0" w:line="276" w:lineRule="auto"/>
            </w:pPr>
            <w:r>
              <w:rPr>
                <w:rFonts w:ascii="Calibri" w:hAnsi="Calibri" w:eastAsia="Microsoft YaHei"/>
                <w:color w:val="0B2545"/>
                <w:sz w:val="15"/>
              </w:rPr>
              <w:t>NUCLEAR_PARTICLE</w:t>
            </w:r>
          </w:p>
        </w:tc>
        <w:tc>
          <w:tcPr>
            <w:tcW w:type="dxa" w:w="4560"/>
          </w:tcPr>
          <w:p>
            <w:pPr>
              <w:keepLines/>
              <w:spacing w:after="0" w:line="276" w:lineRule="auto"/>
            </w:pPr>
            <w:r>
              <w:rPr>
                <w:rFonts w:ascii="Calibri" w:hAnsi="Calibri" w:eastAsia="Microsoft YaHei"/>
                <w:color w:val="0B2545"/>
                <w:sz w:val="15"/>
              </w:rPr>
              <w:t>ITER；JET；DIII-D；EAST</w:t>
            </w:r>
          </w:p>
        </w:tc>
      </w:tr>
    </w:tbl>
    <w:p>
      <w:pPr>
        <w:spacing w:before="0" w:after="60"/>
      </w:pPr>
    </w:p>
    <w:p>
      <w:pPr>
        <w:widowControl/>
      </w:pPr>
      <w:r>
        <w:rPr>
          <w:rFonts w:ascii="Calibri" w:hAnsi="Calibri" w:eastAsia="Microsoft YaHei"/>
          <w:b/>
          <w:color w:val="1F4D78"/>
        </w:rPr>
        <w:t>解决问题：</w:t>
      </w:r>
      <w:r>
        <w:rPr>
          <w:rFonts w:ascii="Calibri" w:hAnsi="Calibri" w:eastAsia="Microsoft YaHei"/>
        </w:rPr>
        <w:t>宽动态范围测总中子率和聚变功率，支撑燃烧控制与核计量。</w:t>
      </w:r>
    </w:p>
    <w:p>
      <w:pPr>
        <w:widowControl/>
      </w:pPr>
      <w:r>
        <w:rPr>
          <w:rFonts w:ascii="Calibri" w:hAnsi="Calibri" w:eastAsia="Microsoft YaHei"/>
          <w:b/>
          <w:color w:val="1F4D78"/>
        </w:rPr>
        <w:t>测量原理：</w:t>
      </w:r>
      <w:r>
        <w:rPr>
          <w:rFonts w:ascii="Calibri" w:hAnsi="Calibri" w:eastAsia="Microsoft YaHei"/>
        </w:rPr>
        <w:t>中子在裂变层产生带电碎片；电离室脉冲/电流经响应模型映射为源强。</w:t>
      </w:r>
    </w:p>
    <w:p>
      <w:pPr>
        <w:widowControl/>
      </w:pPr>
      <w:r>
        <w:rPr>
          <w:rFonts w:ascii="Calibri" w:hAnsi="Calibri" w:eastAsia="Microsoft YaHei"/>
          <w:b/>
          <w:color w:val="1F4D78"/>
        </w:rPr>
        <w:t>测量产品：</w:t>
      </w:r>
      <w:r>
        <w:rPr>
          <w:rFonts w:ascii="Calibri" w:hAnsi="Calibri" w:eastAsia="Microsoft YaHei"/>
        </w:rPr>
        <w:t>total neutron rate；fusion power；fluence</w:t>
      </w:r>
    </w:p>
    <w:p>
      <w:pPr>
        <w:widowControl/>
      </w:pPr>
      <w:r>
        <w:rPr>
          <w:rFonts w:ascii="Calibri" w:hAnsi="Calibri" w:eastAsia="Microsoft YaHei"/>
          <w:b/>
          <w:color w:val="1F4D78"/>
        </w:rPr>
        <w:t>时空分辨与覆盖：</w:t>
      </w:r>
      <w:r>
        <w:rPr>
          <w:rFonts w:ascii="Calibri" w:hAnsi="Calibri" w:eastAsia="Microsoft YaHei"/>
        </w:rPr>
        <w:t>时间：因装置、采集和分析链而异；原始来源未给出统一数值。；空间：由视线、几何和反演设定；原始来源未给出统一数值。</w:t>
      </w:r>
    </w:p>
    <w:p>
      <w:pPr>
        <w:widowControl/>
      </w:pPr>
      <w:r>
        <w:rPr>
          <w:rFonts w:ascii="Calibri" w:hAnsi="Calibri" w:eastAsia="Microsoft YaHei"/>
          <w:b/>
          <w:color w:val="1F4D78"/>
        </w:rPr>
        <w:t>仪器与传感器：</w:t>
      </w:r>
      <w:r>
        <w:rPr>
          <w:rFonts w:ascii="Calibri" w:hAnsi="Calibri" w:eastAsia="Microsoft YaHei"/>
        </w:rPr>
        <w:t>micro-fission chambers；neutron flux monitors；ionization electronics；shielding</w:t>
      </w:r>
    </w:p>
    <w:p>
      <w:pPr>
        <w:widowControl/>
      </w:pPr>
      <w:r>
        <w:rPr>
          <w:rFonts w:ascii="Calibri" w:hAnsi="Calibri" w:eastAsia="Microsoft YaHei"/>
          <w:b/>
          <w:color w:val="1F4D78"/>
        </w:rPr>
        <w:t>标定与质量：</w:t>
      </w:r>
      <w:r>
        <w:rPr>
          <w:rFonts w:ascii="Calibri" w:hAnsi="Calibri" w:eastAsia="Microsoft YaHei"/>
        </w:rPr>
        <w:t>用标定中子源/反应堆测效率，通过中子学模型传递到等离子体源；校准脉冲/电流模式重叠。</w:t>
      </w:r>
    </w:p>
    <w:p>
      <w:pPr>
        <w:widowControl/>
      </w:pPr>
      <w:r>
        <w:rPr>
          <w:rFonts w:ascii="Calibri" w:hAnsi="Calibri" w:eastAsia="Microsoft YaHei"/>
          <w:b/>
          <w:color w:val="1F4D78"/>
        </w:rPr>
        <w:t>反演与分析：</w:t>
      </w:r>
      <w:r>
        <w:rPr>
          <w:rFonts w:ascii="Calibri" w:hAnsi="Calibri" w:eastAsia="Microsoft YaHei"/>
        </w:rPr>
        <w:t>修正死时间/本底，结合响应矩阵估计源强，多探测器修正源分布变化。</w:t>
      </w:r>
    </w:p>
    <w:p>
      <w:pPr>
        <w:widowControl/>
      </w:pPr>
      <w:r>
        <w:rPr>
          <w:rFonts w:ascii="Calibri" w:hAnsi="Calibri" w:eastAsia="Microsoft YaHei"/>
          <w:b/>
          <w:color w:val="1F4D78"/>
        </w:rPr>
        <w:t>验证与应用：</w:t>
      </w:r>
      <w:r>
        <w:rPr>
          <w:rFonts w:ascii="Calibri" w:hAnsi="Calibri" w:eastAsia="Microsoft YaHei"/>
        </w:rPr>
        <w:t>两条直接来源均为 ITER 中子通量监视器的中子学分析、测量性能和在位标定规划；没有提供 ITER 真机运行或例行在线证据。</w:t>
      </w:r>
    </w:p>
    <w:p>
      <w:pPr>
        <w:widowControl/>
      </w:pPr>
      <w:r>
        <w:rPr>
          <w:rFonts w:ascii="Calibri" w:hAnsi="Calibri" w:eastAsia="Microsoft YaHei"/>
          <w:b/>
          <w:color w:val="1F4D78"/>
        </w:rPr>
        <w:t>局限与边界：</w:t>
      </w:r>
      <w:r>
        <w:rPr>
          <w:rFonts w:ascii="Calibri" w:hAnsi="Calibri" w:eastAsia="Microsoft YaHei"/>
        </w:rPr>
        <w:t>响应依赖源分布/能谱/屏蔽；燃耗、辐照与高计数饱和需全寿命管理。</w:t>
      </w:r>
    </w:p>
    <w:tbl>
      <w:tblPr>
        <w:tblStyle w:val="TableGrid"/>
        <w:tblW w:type="dxa" w:w="9360"/>
        <w:jc w:val="left"/>
        <w:tblLayout w:type="fixed"/>
        <w:tblLook w:firstColumn="1" w:firstRow="1" w:lastColumn="0" w:lastRow="0" w:noHBand="0" w:noVBand="1" w:val="04A0"/>
        <w:tblInd w:w="120" w:type="dxa"/>
      </w:tblPr>
      <w:tblGrid>
        <w:gridCol w:w="9360"/>
      </w:tblGrid>
      <w:tr>
        <w:trPr>
          <w:cantSplit/>
        </w:trPr>
        <w:tc>
          <w:tcPr>
            <w:tcW w:type="dxa" w:w="9360"/>
            <w:tcMar>
              <w:top w:w="80" w:type="dxa"/>
              <w:bottom w:w="80" w:type="dxa"/>
              <w:start w:w="120" w:type="dxa"/>
              <w:end w:w="120" w:type="dxa"/>
            </w:tcMar>
            <w:vAlign w:val="center"/>
            <w:shd w:fill="EEF7F7"/>
          </w:tcPr>
          <w:p>
            <w:pPr>
              <w:keepNext/>
              <w:keepLines/>
              <w:spacing w:after="40"/>
            </w:pPr>
            <w:r>
              <w:rPr>
                <w:rFonts w:ascii="Calibri" w:hAnsi="Calibri" w:eastAsia="Microsoft YaHei"/>
                <w:b/>
                <w:color w:val="008C95"/>
                <w:sz w:val="17"/>
              </w:rPr>
              <w:t>DIGITAL-TWIN RELEVANCE</w:t>
            </w:r>
          </w:p>
          <w:p>
            <w:pPr>
              <w:spacing w:after="0"/>
            </w:pPr>
            <w:r>
              <w:rPr>
                <w:rFonts w:ascii="Calibri" w:hAnsi="Calibri" w:eastAsia="Microsoft YaHei"/>
                <w:color w:val="0B2545"/>
                <w:sz w:val="20"/>
              </w:rPr>
              <w:t>燃烧功率计量锚点；响应矩阵、燃耗和标定溯源应进入资产孪生。</w:t>
            </w:r>
          </w:p>
        </w:tc>
      </w:tr>
    </w:tbl>
    <w:p>
      <w:pPr>
        <w:spacing w:after="40"/>
      </w:pPr>
    </w:p>
    <w:tbl>
      <w:tblPr>
        <w:tblStyle w:val="TableGrid"/>
        <w:tblW w:type="dxa" w:w="9360"/>
        <w:jc w:val="left"/>
        <w:tblLayout w:type="fixed"/>
        <w:tblLook w:firstColumn="1" w:firstRow="1" w:lastColumn="0" w:lastRow="0" w:noHBand="0" w:noVBand="1" w:val="04A0"/>
        <w:tblInd w:w="120" w:type="dxa"/>
      </w:tblPr>
      <w:tblGrid>
        <w:gridCol w:w="850"/>
        <w:gridCol w:w="2500"/>
        <w:gridCol w:w="1600"/>
        <w:gridCol w:w="2300"/>
        <w:gridCol w:w="2110"/>
      </w:tblGrid>
      <w:tr>
        <w:trPr>
          <w:tblHeader w:val="true"/>
        </w:trPr>
        <w:tc>
          <w:tcPr>
            <w:tcW w:type="dxa" w:w="8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年份/类型</w:t>
            </w:r>
          </w:p>
        </w:tc>
        <w:tc>
          <w:tcPr>
            <w:tcW w:type="dxa" w:w="25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论文或软件</w:t>
            </w:r>
          </w:p>
        </w:tc>
        <w:tc>
          <w:tcPr>
            <w:tcW w:type="dxa" w:w="16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期刊/开放性</w:t>
            </w:r>
          </w:p>
        </w:tc>
        <w:tc>
          <w:tcPr>
            <w:tcW w:type="dxa" w:w="23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来源类型/关系</w:t>
            </w:r>
          </w:p>
        </w:tc>
        <w:tc>
          <w:tcPr>
            <w:tcW w:type="dxa" w:w="211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链接</w:t>
            </w:r>
          </w:p>
        </w:tc>
      </w:tr>
      <w:tr>
        <w:trPr>
          <w:cantSplit/>
        </w:trPr>
        <w:tc>
          <w:tcPr>
            <w:tcW w:type="dxa" w:w="850"/>
          </w:tcPr>
          <w:p>
            <w:pPr>
              <w:keepLines/>
              <w:spacing w:after="0" w:line="276" w:lineRule="auto"/>
            </w:pPr>
            <w:r>
              <w:rPr>
                <w:rFonts w:ascii="Calibri" w:hAnsi="Calibri" w:eastAsia="Microsoft YaHei"/>
                <w:color w:val="0B2545"/>
                <w:sz w:val="14"/>
              </w:rPr>
              <w:t>2016</w:t>
            </w:r>
          </w:p>
        </w:tc>
        <w:tc>
          <w:tcPr>
            <w:tcW w:type="dxa" w:w="2500"/>
          </w:tcPr>
          <w:p>
            <w:pPr>
              <w:keepLines/>
              <w:spacing w:after="0" w:line="276" w:lineRule="auto"/>
            </w:pPr>
            <w:r>
              <w:rPr>
                <w:rFonts w:ascii="Calibri" w:hAnsi="Calibri" w:eastAsia="Microsoft YaHei"/>
                <w:color w:val="0B2545"/>
                <w:sz w:val="14"/>
              </w:rPr>
              <w:t>Neutron Transport Analysis of the Processes Affecting the in situ Calibration of ITER In-Vessel Neutron Flux Monitors Equipped with a Micro-Fission Chamber System</w:t>
            </w:r>
          </w:p>
        </w:tc>
        <w:tc>
          <w:tcPr>
            <w:tcW w:type="dxa" w:w="1600"/>
          </w:tcPr>
          <w:p>
            <w:pPr>
              <w:keepLines/>
              <w:spacing w:after="0" w:line="276" w:lineRule="auto"/>
            </w:pPr>
            <w:r>
              <w:rPr>
                <w:rFonts w:ascii="Calibri" w:hAnsi="Calibri" w:eastAsia="Microsoft YaHei"/>
                <w:color w:val="0B2545"/>
                <w:sz w:val="14"/>
              </w:rPr>
              <w:t>Plasma and Fusion Research</w:t>
            </w:r>
          </w:p>
        </w:tc>
        <w:tc>
          <w:tcPr>
            <w:tcW w:type="dxa" w:w="2300"/>
          </w:tcPr>
          <w:p>
            <w:pPr>
              <w:keepLines/>
              <w:spacing w:after="0" w:line="276" w:lineRule="auto"/>
            </w:pPr>
            <w:r>
              <w:rPr>
                <w:rFonts w:ascii="Calibri" w:hAnsi="Calibri" w:eastAsia="Microsoft YaHei"/>
                <w:color w:val="0B2545"/>
                <w:sz w:val="14"/>
              </w:rPr>
              <w:t>peer-reviewed-journal</w:t>
            </w:r>
          </w:p>
        </w:tc>
        <w:tc>
          <w:tcPr>
            <w:tcW w:type="dxa" w:w="2110"/>
          </w:tcPr>
          <w:p>
            <w:pPr>
              <w:keepLines/>
              <w:spacing w:after="0" w:line="276" w:lineRule="auto"/>
            </w:pPr>
            <w:hyperlink r:id="rId86">
              <w:r>
                <w:rPr>
                  <w:rFonts w:ascii="Calibri" w:hAnsi="Calibri" w:eastAsia="Microsoft YaHei"/>
                  <w:color w:val="008C95"/>
                  <w:u w:val="single"/>
                </w:rPr>
                <w:t>打开原始来源 ↗</w:t>
              </w:r>
            </w:hyperlink>
          </w:p>
        </w:tc>
      </w:tr>
      <w:tr>
        <w:trPr>
          <w:cantSplit/>
        </w:trPr>
        <w:tc>
          <w:tcPr>
            <w:tcW w:type="dxa" w:w="850"/>
          </w:tcPr>
          <w:p>
            <w:pPr>
              <w:keepLines/>
              <w:spacing w:after="0" w:line="276" w:lineRule="auto"/>
            </w:pPr>
            <w:r>
              <w:rPr>
                <w:rFonts w:ascii="Calibri" w:hAnsi="Calibri" w:eastAsia="Microsoft YaHei"/>
                <w:color w:val="0B2545"/>
                <w:sz w:val="14"/>
              </w:rPr>
              <w:t>2023</w:t>
            </w:r>
          </w:p>
        </w:tc>
        <w:tc>
          <w:tcPr>
            <w:tcW w:type="dxa" w:w="2500"/>
          </w:tcPr>
          <w:p>
            <w:pPr>
              <w:keepLines/>
              <w:spacing w:after="0" w:line="276" w:lineRule="auto"/>
            </w:pPr>
            <w:r>
              <w:rPr>
                <w:rFonts w:ascii="Calibri" w:hAnsi="Calibri" w:eastAsia="Microsoft YaHei"/>
                <w:color w:val="0B2545"/>
                <w:sz w:val="14"/>
              </w:rPr>
              <w:t>Neutronic analysis and measurement performance assessment of ITER neutron flux monitor system</w:t>
            </w:r>
          </w:p>
        </w:tc>
        <w:tc>
          <w:tcPr>
            <w:tcW w:type="dxa" w:w="1600"/>
          </w:tcPr>
          <w:p>
            <w:pPr>
              <w:keepLines/>
              <w:spacing w:after="0" w:line="276" w:lineRule="auto"/>
            </w:pPr>
            <w:r>
              <w:rPr>
                <w:rFonts w:ascii="Calibri" w:hAnsi="Calibri" w:eastAsia="Microsoft YaHei"/>
                <w:color w:val="0B2545"/>
                <w:sz w:val="14"/>
              </w:rPr>
              <w:t>Fusion Engineering and Design</w:t>
            </w:r>
          </w:p>
        </w:tc>
        <w:tc>
          <w:tcPr>
            <w:tcW w:type="dxa" w:w="2300"/>
          </w:tcPr>
          <w:p>
            <w:pPr>
              <w:keepLines/>
              <w:spacing w:after="0" w:line="276" w:lineRule="auto"/>
            </w:pPr>
            <w:r>
              <w:rPr>
                <w:rFonts w:ascii="Calibri" w:hAnsi="Calibri" w:eastAsia="Microsoft YaHei"/>
                <w:color w:val="0B2545"/>
                <w:sz w:val="14"/>
              </w:rPr>
              <w:t>peer-reviewed-journal</w:t>
            </w:r>
          </w:p>
        </w:tc>
        <w:tc>
          <w:tcPr>
            <w:tcW w:type="dxa" w:w="2110"/>
          </w:tcPr>
          <w:p>
            <w:pPr>
              <w:keepLines/>
              <w:spacing w:after="0" w:line="276" w:lineRule="auto"/>
            </w:pPr>
            <w:hyperlink r:id="rId87">
              <w:r>
                <w:rPr>
                  <w:rFonts w:ascii="Calibri" w:hAnsi="Calibri" w:eastAsia="Microsoft YaHei"/>
                  <w:color w:val="008C95"/>
                  <w:u w:val="single"/>
                </w:rPr>
                <w:t>打开原始来源 ↗</w:t>
              </w:r>
            </w:hyperlink>
          </w:p>
        </w:tc>
      </w:tr>
      <w:tr>
        <w:trPr>
          <w:cantSplit/>
        </w:trPr>
        <w:tc>
          <w:tcPr>
            <w:tcW w:type="dxa" w:w="850"/>
          </w:tcPr>
          <w:p>
            <w:pPr>
              <w:keepLines/>
              <w:spacing w:after="0" w:line="276" w:lineRule="auto"/>
            </w:pPr>
            <w:r>
              <w:rPr>
                <w:rFonts w:ascii="Calibri" w:hAnsi="Calibri" w:eastAsia="Microsoft YaHei"/>
                <w:color w:val="0B2545"/>
                <w:sz w:val="14"/>
              </w:rPr>
              <w:t>软件</w:t>
            </w:r>
          </w:p>
        </w:tc>
        <w:tc>
          <w:tcPr>
            <w:tcW w:type="dxa" w:w="2500"/>
          </w:tcPr>
          <w:p>
            <w:pPr>
              <w:keepLines/>
              <w:spacing w:after="0" w:line="276" w:lineRule="auto"/>
            </w:pPr>
            <w:r>
              <w:rPr>
                <w:rFonts w:ascii="Calibri" w:hAnsi="Calibri" w:eastAsia="Microsoft YaHei"/>
                <w:color w:val="0B2545"/>
                <w:sz w:val="14"/>
              </w:rPr>
              <w:t>MCNP</w:t>
            </w:r>
          </w:p>
        </w:tc>
        <w:tc>
          <w:tcPr>
            <w:tcW w:type="dxa" w:w="1600"/>
          </w:tcPr>
          <w:p>
            <w:pPr>
              <w:keepLines/>
              <w:spacing w:after="0" w:line="276" w:lineRule="auto"/>
            </w:pPr>
            <w:r>
              <w:rPr>
                <w:rFonts w:ascii="Calibri" w:hAnsi="Calibri" w:eastAsia="Microsoft YaHei"/>
                <w:color w:val="0B2545"/>
                <w:sz w:val="14"/>
              </w:rPr>
              <w:t>controlled-access</w:t>
            </w:r>
          </w:p>
        </w:tc>
        <w:tc>
          <w:tcPr>
            <w:tcW w:type="dxa" w:w="2300"/>
          </w:tcPr>
          <w:p>
            <w:pPr>
              <w:keepLines/>
              <w:spacing w:after="0" w:line="276" w:lineRule="auto"/>
            </w:pPr>
            <w:r>
              <w:rPr>
                <w:rFonts w:ascii="Calibri" w:hAnsi="Calibri" w:eastAsia="Microsoft YaHei"/>
                <w:color w:val="0B2545"/>
                <w:sz w:val="14"/>
              </w:rPr>
              <w:t>响应/屏蔽/标定传递。</w:t>
            </w:r>
          </w:p>
        </w:tc>
        <w:tc>
          <w:tcPr>
            <w:tcW w:type="dxa" w:w="2110"/>
          </w:tcPr>
          <w:p>
            <w:pPr>
              <w:keepLines/>
              <w:spacing w:after="0" w:line="276" w:lineRule="auto"/>
            </w:pPr>
            <w:hyperlink r:id="rId88">
              <w:r>
                <w:rPr>
                  <w:rFonts w:ascii="Calibri" w:hAnsi="Calibri" w:eastAsia="Microsoft YaHei"/>
                  <w:color w:val="008C95"/>
                  <w:u w:val="single"/>
                </w:rPr>
                <w:t>打开原始来源 ↗</w:t>
              </w:r>
            </w:hyperlink>
          </w:p>
        </w:tc>
      </w:tr>
      <w:tr>
        <w:trPr>
          <w:cantSplit/>
        </w:trPr>
        <w:tc>
          <w:tcPr>
            <w:tcW w:type="dxa" w:w="850"/>
          </w:tcPr>
          <w:p>
            <w:pPr>
              <w:keepLines/>
              <w:spacing w:after="0" w:line="276" w:lineRule="auto"/>
            </w:pPr>
            <w:r>
              <w:rPr>
                <w:rFonts w:ascii="Calibri" w:hAnsi="Calibri" w:eastAsia="Microsoft YaHei"/>
                <w:color w:val="0B2545"/>
                <w:sz w:val="14"/>
              </w:rPr>
              <w:t>软件</w:t>
            </w:r>
          </w:p>
        </w:tc>
        <w:tc>
          <w:tcPr>
            <w:tcW w:type="dxa" w:w="2500"/>
          </w:tcPr>
          <w:p>
            <w:pPr>
              <w:keepLines/>
              <w:spacing w:after="0" w:line="276" w:lineRule="auto"/>
            </w:pPr>
            <w:r>
              <w:rPr>
                <w:rFonts w:ascii="Calibri" w:hAnsi="Calibri" w:eastAsia="Microsoft YaHei"/>
                <w:color w:val="0B2545"/>
                <w:sz w:val="14"/>
              </w:rPr>
              <w:t>装置专有分析/标定软件</w:t>
            </w:r>
          </w:p>
        </w:tc>
        <w:tc>
          <w:tcPr>
            <w:tcW w:type="dxa" w:w="1600"/>
          </w:tcPr>
          <w:p>
            <w:pPr>
              <w:keepLines/>
              <w:spacing w:after="0" w:line="276" w:lineRule="auto"/>
            </w:pPr>
            <w:r>
              <w:rPr>
                <w:rFonts w:ascii="Calibri" w:hAnsi="Calibri" w:eastAsia="Microsoft YaHei"/>
                <w:color w:val="0B2545"/>
                <w:sz w:val="14"/>
              </w:rPr>
              <w:t>not-public</w:t>
            </w:r>
          </w:p>
        </w:tc>
        <w:tc>
          <w:tcPr>
            <w:tcW w:type="dxa" w:w="2300"/>
          </w:tcPr>
          <w:p>
            <w:pPr>
              <w:keepLines/>
              <w:spacing w:after="0" w:line="276" w:lineRule="auto"/>
            </w:pPr>
            <w:r>
              <w:rPr>
                <w:rFonts w:ascii="Calibri" w:hAnsi="Calibri" w:eastAsia="Microsoft YaHei"/>
                <w:color w:val="0B2545"/>
                <w:sz w:val="14"/>
              </w:rPr>
              <w:t>在线计量数据库与控制接口未公开。</w:t>
            </w:r>
          </w:p>
        </w:tc>
        <w:tc>
          <w:tcPr>
            <w:tcW w:type="dxa" w:w="2110"/>
          </w:tcPr>
          <w:p>
            <w:pPr>
              <w:keepLines/>
              <w:spacing w:after="0" w:line="276" w:lineRule="auto"/>
            </w:pPr>
            <w:r>
              <w:rPr>
                <w:rFonts w:ascii="Calibri" w:hAnsi="Calibri" w:eastAsia="Microsoft YaHei"/>
                <w:color w:val="0B2545"/>
                <w:sz w:val="14"/>
              </w:rPr>
              <w:t>未公开</w:t>
            </w:r>
          </w:p>
        </w:tc>
      </w:tr>
    </w:tbl>
    <w:p>
      <w:pPr>
        <w:spacing w:before="0" w:after="60"/>
      </w:pPr>
    </w:p>
    <w:p>
      <w:pPr>
        <w:pStyle w:val="Heading3"/>
        <w:keepNext/>
      </w:pPr>
      <w:r>
        <w:t>DG5.03  径向中子相机：聚变反应率剖面</w:t>
      </w:r>
    </w:p>
    <w:p>
      <w:pPr>
        <w:keepNext/>
        <w:spacing w:after="80"/>
      </w:pPr>
      <w:r>
        <w:rPr>
          <w:rFonts w:ascii="Calibri" w:hAnsi="Calibri" w:eastAsia="Microsoft YaHei"/>
          <w:i/>
          <w:color w:val="566573"/>
          <w:sz w:val="18"/>
        </w:rPr>
        <w:t>Radial neutron camera for fusion-reaction-rate profiles</w:t>
      </w:r>
    </w:p>
    <w:tbl>
      <w:tblPr>
        <w:tblStyle w:val="TableGrid"/>
        <w:tblW w:type="dxa" w:w="9360"/>
        <w:jc w:val="left"/>
        <w:tblLayout w:type="fixed"/>
        <w:tblLook w:firstColumn="1" w:firstRow="1" w:lastColumn="0" w:lastRow="0" w:noHBand="0" w:noVBand="1" w:val="04A0"/>
        <w:tblInd w:w="120" w:type="dxa"/>
      </w:tblPr>
      <w:tblGrid>
        <w:gridCol w:w="1200"/>
        <w:gridCol w:w="750"/>
        <w:gridCol w:w="750"/>
        <w:gridCol w:w="2100"/>
        <w:gridCol w:w="4560"/>
      </w:tblGrid>
      <w:tr>
        <w:trPr>
          <w:tblHeader w:val="true"/>
        </w:trPr>
        <w:tc>
          <w:tcPr>
            <w:tcW w:type="dxa" w:w="12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工作 ID</w:t>
            </w:r>
          </w:p>
        </w:tc>
        <w:tc>
          <w:tcPr>
            <w:tcW w:type="dxa" w:w="7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证据</w:t>
            </w:r>
          </w:p>
        </w:tc>
        <w:tc>
          <w:tcPr>
            <w:tcW w:type="dxa" w:w="7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部署</w:t>
            </w:r>
          </w:p>
        </w:tc>
        <w:tc>
          <w:tcPr>
            <w:tcW w:type="dxa" w:w="21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技术族</w:t>
            </w:r>
          </w:p>
        </w:tc>
        <w:tc>
          <w:tcPr>
            <w:tcW w:type="dxa" w:w="456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装置</w:t>
            </w:r>
          </w:p>
        </w:tc>
      </w:tr>
      <w:tr>
        <w:trPr>
          <w:cantSplit/>
        </w:trPr>
        <w:tc>
          <w:tcPr>
            <w:tcW w:type="dxa" w:w="1200"/>
          </w:tcPr>
          <w:p>
            <w:pPr>
              <w:keepLines/>
              <w:spacing w:after="0" w:line="276" w:lineRule="auto"/>
            </w:pPr>
            <w:r>
              <w:rPr>
                <w:rFonts w:ascii="Calibri" w:hAnsi="Calibri" w:eastAsia="Microsoft YaHei"/>
                <w:color w:val="0B2545"/>
                <w:sz w:val="15"/>
              </w:rPr>
              <w:t>DG5-022</w:t>
            </w:r>
          </w:p>
        </w:tc>
        <w:tc>
          <w:tcPr>
            <w:tcW w:type="dxa" w:w="750"/>
          </w:tcPr>
          <w:p>
            <w:pPr>
              <w:keepLines/>
              <w:spacing w:after="0" w:line="276" w:lineRule="auto"/>
            </w:pPr>
            <w:r>
              <w:rPr>
                <w:rFonts w:ascii="Calibri" w:hAnsi="Calibri" w:eastAsia="Microsoft YaHei"/>
                <w:color w:val="0B2545"/>
                <w:sz w:val="15"/>
              </w:rPr>
              <w:t>E3</w:t>
            </w:r>
          </w:p>
        </w:tc>
        <w:tc>
          <w:tcPr>
            <w:tcW w:type="dxa" w:w="750"/>
          </w:tcPr>
          <w:p>
            <w:pPr>
              <w:keepLines/>
              <w:spacing w:after="0" w:line="276" w:lineRule="auto"/>
            </w:pPr>
            <w:r>
              <w:rPr>
                <w:rFonts w:ascii="Calibri" w:hAnsi="Calibri" w:eastAsia="Microsoft YaHei"/>
                <w:color w:val="0B2545"/>
                <w:sz w:val="15"/>
              </w:rPr>
              <w:t>D3</w:t>
            </w:r>
          </w:p>
        </w:tc>
        <w:tc>
          <w:tcPr>
            <w:tcW w:type="dxa" w:w="2100"/>
          </w:tcPr>
          <w:p>
            <w:pPr>
              <w:keepLines/>
              <w:spacing w:after="0" w:line="276" w:lineRule="auto"/>
            </w:pPr>
            <w:r>
              <w:rPr>
                <w:rFonts w:ascii="Calibri" w:hAnsi="Calibri" w:eastAsia="Microsoft YaHei"/>
                <w:color w:val="0B2545"/>
                <w:sz w:val="15"/>
              </w:rPr>
              <w:t>NUCLEAR_PARTICLE</w:t>
            </w:r>
          </w:p>
        </w:tc>
        <w:tc>
          <w:tcPr>
            <w:tcW w:type="dxa" w:w="4560"/>
          </w:tcPr>
          <w:p>
            <w:pPr>
              <w:keepLines/>
              <w:spacing w:after="0" w:line="276" w:lineRule="auto"/>
            </w:pPr>
            <w:r>
              <w:rPr>
                <w:rFonts w:ascii="Calibri" w:hAnsi="Calibri" w:eastAsia="Microsoft YaHei"/>
                <w:color w:val="0B2545"/>
                <w:sz w:val="15"/>
              </w:rPr>
              <w:t>ITER；JET；DIII-D</w:t>
            </w:r>
          </w:p>
        </w:tc>
      </w:tr>
    </w:tbl>
    <w:p>
      <w:pPr>
        <w:spacing w:before="0" w:after="60"/>
      </w:pPr>
    </w:p>
    <w:p>
      <w:pPr>
        <w:widowControl/>
      </w:pPr>
      <w:r>
        <w:rPr>
          <w:rFonts w:ascii="Calibri" w:hAnsi="Calibri" w:eastAsia="Microsoft YaHei"/>
          <w:b/>
          <w:color w:val="1F4D78"/>
        </w:rPr>
        <w:t>解决问题：</w:t>
      </w:r>
      <w:r>
        <w:rPr>
          <w:rFonts w:ascii="Calibri" w:hAnsi="Calibri" w:eastAsia="Microsoft YaHei"/>
        </w:rPr>
        <w:t>空间分辨聚变中子发射，约束反应率剖面、燃料分布和快离子行为。</w:t>
      </w:r>
    </w:p>
    <w:p>
      <w:pPr>
        <w:widowControl/>
      </w:pPr>
      <w:r>
        <w:rPr>
          <w:rFonts w:ascii="Calibri" w:hAnsi="Calibri" w:eastAsia="Microsoft YaHei"/>
          <w:b/>
          <w:color w:val="1F4D78"/>
        </w:rPr>
        <w:t>测量原理：</w:t>
      </w:r>
      <w:r>
        <w:rPr>
          <w:rFonts w:ascii="Calibri" w:hAnsi="Calibri" w:eastAsia="Microsoft YaHei"/>
        </w:rPr>
        <w:t>屏蔽准直孔定义多条弦；探测器计数经中子输运响应和层析反演得到发射率。</w:t>
      </w:r>
    </w:p>
    <w:p>
      <w:pPr>
        <w:widowControl/>
      </w:pPr>
      <w:r>
        <w:rPr>
          <w:rFonts w:ascii="Calibri" w:hAnsi="Calibri" w:eastAsia="Microsoft YaHei"/>
          <w:b/>
          <w:color w:val="1F4D78"/>
        </w:rPr>
        <w:t>测量产品：</w:t>
      </w:r>
      <w:r>
        <w:rPr>
          <w:rFonts w:ascii="Calibri" w:hAnsi="Calibri" w:eastAsia="Microsoft YaHei"/>
        </w:rPr>
        <w:t>line-integrated neutron brightness；emissivity profile；source asymmetry</w:t>
      </w:r>
    </w:p>
    <w:p>
      <w:pPr>
        <w:widowControl/>
      </w:pPr>
      <w:r>
        <w:rPr>
          <w:rFonts w:ascii="Calibri" w:hAnsi="Calibri" w:eastAsia="Microsoft YaHei"/>
          <w:b/>
          <w:color w:val="1F4D78"/>
        </w:rPr>
        <w:t>时空分辨与覆盖：</w:t>
      </w:r>
      <w:r>
        <w:rPr>
          <w:rFonts w:ascii="Calibri" w:hAnsi="Calibri" w:eastAsia="Microsoft YaHei"/>
        </w:rPr>
        <w:t>时间：因装置、采集和分析链而异；原始来源未给出统一数值。；空间：由视线、几何和反演设定；原始来源未给出统一数值。</w:t>
      </w:r>
    </w:p>
    <w:p>
      <w:pPr>
        <w:widowControl/>
      </w:pPr>
      <w:r>
        <w:rPr>
          <w:rFonts w:ascii="Calibri" w:hAnsi="Calibri" w:eastAsia="Microsoft YaHei"/>
          <w:b/>
          <w:color w:val="1F4D78"/>
        </w:rPr>
        <w:t>仪器与传感器：</w:t>
      </w:r>
      <w:r>
        <w:rPr>
          <w:rFonts w:ascii="Calibri" w:hAnsi="Calibri" w:eastAsia="Microsoft YaHei"/>
        </w:rPr>
        <w:t>collimators；scintillators/fission chambers；fast electronics；massive shielding</w:t>
      </w:r>
    </w:p>
    <w:p>
      <w:pPr>
        <w:widowControl/>
      </w:pPr>
      <w:r>
        <w:rPr>
          <w:rFonts w:ascii="Calibri" w:hAnsi="Calibri" w:eastAsia="Microsoft YaHei"/>
          <w:b/>
          <w:color w:val="1F4D78"/>
        </w:rPr>
        <w:t>标定与质量：</w:t>
      </w:r>
      <w:r>
        <w:rPr>
          <w:rFonts w:ascii="Calibri" w:hAnsi="Calibri" w:eastAsia="Microsoft YaHei"/>
        </w:rPr>
        <w:t>用中子源做绝对效率/串扰标定，并以MCNP建立每弦响应；现场校准验证安装偏差。</w:t>
      </w:r>
    </w:p>
    <w:p>
      <w:pPr>
        <w:widowControl/>
      </w:pPr>
      <w:r>
        <w:rPr>
          <w:rFonts w:ascii="Calibri" w:hAnsi="Calibri" w:eastAsia="Microsoft YaHei"/>
          <w:b/>
          <w:color w:val="1F4D78"/>
        </w:rPr>
        <w:t>反演与分析：</w:t>
      </w:r>
      <w:r>
        <w:rPr>
          <w:rFonts w:ascii="Calibri" w:hAnsi="Calibri" w:eastAsia="Microsoft YaHei"/>
        </w:rPr>
        <w:t>死时间/散射本底修正后做正则层析或参数化源拟合，传播响应矩阵误差。</w:t>
      </w:r>
    </w:p>
    <w:p>
      <w:pPr>
        <w:widowControl/>
      </w:pPr>
      <w:r>
        <w:rPr>
          <w:rFonts w:ascii="Calibri" w:hAnsi="Calibri" w:eastAsia="Microsoft YaHei"/>
          <w:b/>
          <w:color w:val="1F4D78"/>
        </w:rPr>
        <w:t>验证与应用：</w:t>
      </w:r>
      <w:r>
        <w:rPr>
          <w:rFonts w:ascii="Calibri" w:hAnsi="Calibri" w:eastAsia="Microsoft YaHei"/>
        </w:rPr>
        <w:t>ITER RNC做详细中子学、原型和现场校准设计；JET中子相机与总中子率/谱仪交叉。</w:t>
      </w:r>
    </w:p>
    <w:p>
      <w:pPr>
        <w:widowControl/>
      </w:pPr>
      <w:r>
        <w:rPr>
          <w:rFonts w:ascii="Calibri" w:hAnsi="Calibri" w:eastAsia="Microsoft YaHei"/>
          <w:b/>
          <w:color w:val="1F4D78"/>
        </w:rPr>
        <w:t>局限与边界：</w:t>
      </w:r>
      <w:r>
        <w:rPr>
          <w:rFonts w:ascii="Calibri" w:hAnsi="Calibri" w:eastAsia="Microsoft YaHei"/>
        </w:rPr>
        <w:t>厚屏蔽、散射串扰和有限弦使层析分辨有限；响应对材料配置敏感。</w:t>
      </w:r>
    </w:p>
    <w:tbl>
      <w:tblPr>
        <w:tblStyle w:val="TableGrid"/>
        <w:tblW w:type="dxa" w:w="9360"/>
        <w:jc w:val="left"/>
        <w:tblLayout w:type="fixed"/>
        <w:tblLook w:firstColumn="1" w:firstRow="1" w:lastColumn="0" w:lastRow="0" w:noHBand="0" w:noVBand="1" w:val="04A0"/>
        <w:tblInd w:w="120" w:type="dxa"/>
      </w:tblPr>
      <w:tblGrid>
        <w:gridCol w:w="9360"/>
      </w:tblGrid>
      <w:tr>
        <w:trPr>
          <w:cantSplit/>
        </w:trPr>
        <w:tc>
          <w:tcPr>
            <w:tcW w:type="dxa" w:w="9360"/>
            <w:tcMar>
              <w:top w:w="80" w:type="dxa"/>
              <w:bottom w:w="80" w:type="dxa"/>
              <w:start w:w="120" w:type="dxa"/>
              <w:end w:w="120" w:type="dxa"/>
            </w:tcMar>
            <w:vAlign w:val="center"/>
            <w:shd w:fill="EEF7F7"/>
          </w:tcPr>
          <w:p>
            <w:pPr>
              <w:keepNext/>
              <w:keepLines/>
              <w:spacing w:after="40"/>
            </w:pPr>
            <w:r>
              <w:rPr>
                <w:rFonts w:ascii="Calibri" w:hAnsi="Calibri" w:eastAsia="Microsoft YaHei"/>
                <w:b/>
                <w:color w:val="008C95"/>
                <w:sz w:val="17"/>
              </w:rPr>
              <w:t>DIGITAL-TWIN RELEVANCE</w:t>
            </w:r>
          </w:p>
          <w:p>
            <w:pPr>
              <w:spacing w:after="0"/>
            </w:pPr>
            <w:r>
              <w:rPr>
                <w:rFonts w:ascii="Calibri" w:hAnsi="Calibri" w:eastAsia="Microsoft YaHei"/>
                <w:color w:val="0B2545"/>
                <w:sz w:val="20"/>
              </w:rPr>
              <w:t>把总聚变功率扩展为空间状态；几何/屏蔽变更必须触发响应矩阵重算。</w:t>
            </w:r>
          </w:p>
        </w:tc>
      </w:tr>
    </w:tbl>
    <w:p>
      <w:pPr>
        <w:spacing w:after="40"/>
      </w:pPr>
    </w:p>
    <w:tbl>
      <w:tblPr>
        <w:tblStyle w:val="TableGrid"/>
        <w:tblW w:type="dxa" w:w="9360"/>
        <w:jc w:val="left"/>
        <w:tblLayout w:type="fixed"/>
        <w:tblLook w:firstColumn="1" w:firstRow="1" w:lastColumn="0" w:lastRow="0" w:noHBand="0" w:noVBand="1" w:val="04A0"/>
        <w:tblInd w:w="120" w:type="dxa"/>
      </w:tblPr>
      <w:tblGrid>
        <w:gridCol w:w="850"/>
        <w:gridCol w:w="2500"/>
        <w:gridCol w:w="1600"/>
        <w:gridCol w:w="2300"/>
        <w:gridCol w:w="2110"/>
      </w:tblGrid>
      <w:tr>
        <w:trPr>
          <w:tblHeader w:val="true"/>
        </w:trPr>
        <w:tc>
          <w:tcPr>
            <w:tcW w:type="dxa" w:w="8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年份/类型</w:t>
            </w:r>
          </w:p>
        </w:tc>
        <w:tc>
          <w:tcPr>
            <w:tcW w:type="dxa" w:w="25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论文或软件</w:t>
            </w:r>
          </w:p>
        </w:tc>
        <w:tc>
          <w:tcPr>
            <w:tcW w:type="dxa" w:w="16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期刊/开放性</w:t>
            </w:r>
          </w:p>
        </w:tc>
        <w:tc>
          <w:tcPr>
            <w:tcW w:type="dxa" w:w="23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来源类型/关系</w:t>
            </w:r>
          </w:p>
        </w:tc>
        <w:tc>
          <w:tcPr>
            <w:tcW w:type="dxa" w:w="211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链接</w:t>
            </w:r>
          </w:p>
        </w:tc>
      </w:tr>
      <w:tr>
        <w:trPr>
          <w:cantSplit/>
        </w:trPr>
        <w:tc>
          <w:tcPr>
            <w:tcW w:type="dxa" w:w="850"/>
          </w:tcPr>
          <w:p>
            <w:pPr>
              <w:keepLines/>
              <w:spacing w:after="0" w:line="276" w:lineRule="auto"/>
            </w:pPr>
            <w:r>
              <w:rPr>
                <w:rFonts w:ascii="Calibri" w:hAnsi="Calibri" w:eastAsia="Microsoft YaHei"/>
                <w:color w:val="0B2545"/>
                <w:sz w:val="14"/>
              </w:rPr>
              <w:t>2019</w:t>
            </w:r>
          </w:p>
        </w:tc>
        <w:tc>
          <w:tcPr>
            <w:tcW w:type="dxa" w:w="2500"/>
          </w:tcPr>
          <w:p>
            <w:pPr>
              <w:keepLines/>
              <w:spacing w:after="0" w:line="276" w:lineRule="auto"/>
            </w:pPr>
            <w:r>
              <w:rPr>
                <w:rFonts w:ascii="Calibri" w:hAnsi="Calibri" w:eastAsia="Microsoft YaHei"/>
                <w:color w:val="0B2545"/>
                <w:sz w:val="14"/>
              </w:rPr>
              <w:t>The ITER radial neutron camera in-port system: Nuclear analyses in support of its design development</w:t>
            </w:r>
          </w:p>
        </w:tc>
        <w:tc>
          <w:tcPr>
            <w:tcW w:type="dxa" w:w="1600"/>
          </w:tcPr>
          <w:p>
            <w:pPr>
              <w:keepLines/>
              <w:spacing w:after="0" w:line="276" w:lineRule="auto"/>
            </w:pPr>
            <w:r>
              <w:rPr>
                <w:rFonts w:ascii="Calibri" w:hAnsi="Calibri" w:eastAsia="Microsoft YaHei"/>
                <w:color w:val="0B2545"/>
                <w:sz w:val="14"/>
              </w:rPr>
              <w:t>Fusion Engineering and Design</w:t>
            </w:r>
          </w:p>
        </w:tc>
        <w:tc>
          <w:tcPr>
            <w:tcW w:type="dxa" w:w="2300"/>
          </w:tcPr>
          <w:p>
            <w:pPr>
              <w:keepLines/>
              <w:spacing w:after="0" w:line="276" w:lineRule="auto"/>
            </w:pPr>
            <w:r>
              <w:rPr>
                <w:rFonts w:ascii="Calibri" w:hAnsi="Calibri" w:eastAsia="Microsoft YaHei"/>
                <w:color w:val="0B2545"/>
                <w:sz w:val="14"/>
              </w:rPr>
              <w:t>peer-reviewed-journal</w:t>
            </w:r>
          </w:p>
        </w:tc>
        <w:tc>
          <w:tcPr>
            <w:tcW w:type="dxa" w:w="2110"/>
          </w:tcPr>
          <w:p>
            <w:pPr>
              <w:keepLines/>
              <w:spacing w:after="0" w:line="276" w:lineRule="auto"/>
            </w:pPr>
            <w:hyperlink r:id="rId89">
              <w:r>
                <w:rPr>
                  <w:rFonts w:ascii="Calibri" w:hAnsi="Calibri" w:eastAsia="Microsoft YaHei"/>
                  <w:color w:val="008C95"/>
                  <w:u w:val="single"/>
                </w:rPr>
                <w:t>打开原始来源 ↗</w:t>
              </w:r>
            </w:hyperlink>
          </w:p>
        </w:tc>
      </w:tr>
      <w:tr>
        <w:trPr>
          <w:cantSplit/>
        </w:trPr>
        <w:tc>
          <w:tcPr>
            <w:tcW w:type="dxa" w:w="850"/>
          </w:tcPr>
          <w:p>
            <w:pPr>
              <w:keepLines/>
              <w:spacing w:after="0" w:line="276" w:lineRule="auto"/>
            </w:pPr>
            <w:r>
              <w:rPr>
                <w:rFonts w:ascii="Calibri" w:hAnsi="Calibri" w:eastAsia="Microsoft YaHei"/>
                <w:color w:val="0B2545"/>
                <w:sz w:val="14"/>
              </w:rPr>
              <w:t>2019</w:t>
            </w:r>
          </w:p>
        </w:tc>
        <w:tc>
          <w:tcPr>
            <w:tcW w:type="dxa" w:w="2500"/>
          </w:tcPr>
          <w:p>
            <w:pPr>
              <w:keepLines/>
              <w:spacing w:after="0" w:line="276" w:lineRule="auto"/>
            </w:pPr>
            <w:r>
              <w:rPr>
                <w:rFonts w:ascii="Calibri" w:hAnsi="Calibri" w:eastAsia="Microsoft YaHei"/>
                <w:color w:val="0B2545"/>
                <w:sz w:val="14"/>
              </w:rPr>
              <w:t>Strategy and guidelines for the calibration of the ITER Radial Neutron Camera</w:t>
            </w:r>
          </w:p>
        </w:tc>
        <w:tc>
          <w:tcPr>
            <w:tcW w:type="dxa" w:w="1600"/>
          </w:tcPr>
          <w:p>
            <w:pPr>
              <w:keepLines/>
              <w:spacing w:after="0" w:line="276" w:lineRule="auto"/>
            </w:pPr>
            <w:r>
              <w:rPr>
                <w:rFonts w:ascii="Calibri" w:hAnsi="Calibri" w:eastAsia="Microsoft YaHei"/>
                <w:color w:val="0B2545"/>
                <w:sz w:val="14"/>
              </w:rPr>
              <w:t>Fusion Engineering and Design</w:t>
            </w:r>
          </w:p>
        </w:tc>
        <w:tc>
          <w:tcPr>
            <w:tcW w:type="dxa" w:w="2300"/>
          </w:tcPr>
          <w:p>
            <w:pPr>
              <w:keepLines/>
              <w:spacing w:after="0" w:line="276" w:lineRule="auto"/>
            </w:pPr>
            <w:r>
              <w:rPr>
                <w:rFonts w:ascii="Calibri" w:hAnsi="Calibri" w:eastAsia="Microsoft YaHei"/>
                <w:color w:val="0B2545"/>
                <w:sz w:val="14"/>
              </w:rPr>
              <w:t>peer-reviewed-journal</w:t>
            </w:r>
          </w:p>
        </w:tc>
        <w:tc>
          <w:tcPr>
            <w:tcW w:type="dxa" w:w="2110"/>
          </w:tcPr>
          <w:p>
            <w:pPr>
              <w:keepLines/>
              <w:spacing w:after="0" w:line="276" w:lineRule="auto"/>
            </w:pPr>
            <w:hyperlink r:id="rId33">
              <w:r>
                <w:rPr>
                  <w:rFonts w:ascii="Calibri" w:hAnsi="Calibri" w:eastAsia="Microsoft YaHei"/>
                  <w:color w:val="008C95"/>
                  <w:u w:val="single"/>
                </w:rPr>
                <w:t>打开原始来源 ↗</w:t>
              </w:r>
            </w:hyperlink>
          </w:p>
        </w:tc>
      </w:tr>
      <w:tr>
        <w:trPr>
          <w:cantSplit/>
        </w:trPr>
        <w:tc>
          <w:tcPr>
            <w:tcW w:type="dxa" w:w="850"/>
          </w:tcPr>
          <w:p>
            <w:pPr>
              <w:keepLines/>
              <w:spacing w:after="0" w:line="276" w:lineRule="auto"/>
            </w:pPr>
            <w:r>
              <w:rPr>
                <w:rFonts w:ascii="Calibri" w:hAnsi="Calibri" w:eastAsia="Microsoft YaHei"/>
                <w:color w:val="0B2545"/>
                <w:sz w:val="14"/>
              </w:rPr>
              <w:t>软件</w:t>
            </w:r>
          </w:p>
        </w:tc>
        <w:tc>
          <w:tcPr>
            <w:tcW w:type="dxa" w:w="2500"/>
          </w:tcPr>
          <w:p>
            <w:pPr>
              <w:keepLines/>
              <w:spacing w:after="0" w:line="276" w:lineRule="auto"/>
            </w:pPr>
            <w:r>
              <w:rPr>
                <w:rFonts w:ascii="Calibri" w:hAnsi="Calibri" w:eastAsia="Microsoft YaHei"/>
                <w:color w:val="0B2545"/>
                <w:sz w:val="14"/>
              </w:rPr>
              <w:t>MCNP</w:t>
            </w:r>
          </w:p>
        </w:tc>
        <w:tc>
          <w:tcPr>
            <w:tcW w:type="dxa" w:w="1600"/>
          </w:tcPr>
          <w:p>
            <w:pPr>
              <w:keepLines/>
              <w:spacing w:after="0" w:line="276" w:lineRule="auto"/>
            </w:pPr>
            <w:r>
              <w:rPr>
                <w:rFonts w:ascii="Calibri" w:hAnsi="Calibri" w:eastAsia="Microsoft YaHei"/>
                <w:color w:val="0B2545"/>
                <w:sz w:val="14"/>
              </w:rPr>
              <w:t>controlled-access</w:t>
            </w:r>
          </w:p>
        </w:tc>
        <w:tc>
          <w:tcPr>
            <w:tcW w:type="dxa" w:w="2300"/>
          </w:tcPr>
          <w:p>
            <w:pPr>
              <w:keepLines/>
              <w:spacing w:after="0" w:line="276" w:lineRule="auto"/>
            </w:pPr>
            <w:r>
              <w:rPr>
                <w:rFonts w:ascii="Calibri" w:hAnsi="Calibri" w:eastAsia="Microsoft YaHei"/>
                <w:color w:val="0B2545"/>
                <w:sz w:val="14"/>
              </w:rPr>
              <w:t>相机响应和散射串扰。</w:t>
            </w:r>
          </w:p>
        </w:tc>
        <w:tc>
          <w:tcPr>
            <w:tcW w:type="dxa" w:w="2110"/>
          </w:tcPr>
          <w:p>
            <w:pPr>
              <w:keepLines/>
              <w:spacing w:after="0" w:line="276" w:lineRule="auto"/>
            </w:pPr>
            <w:hyperlink r:id="rId88">
              <w:r>
                <w:rPr>
                  <w:rFonts w:ascii="Calibri" w:hAnsi="Calibri" w:eastAsia="Microsoft YaHei"/>
                  <w:color w:val="008C95"/>
                  <w:u w:val="single"/>
                </w:rPr>
                <w:t>打开原始来源 ↗</w:t>
              </w:r>
            </w:hyperlink>
          </w:p>
        </w:tc>
      </w:tr>
      <w:tr>
        <w:trPr>
          <w:cantSplit/>
        </w:trPr>
        <w:tc>
          <w:tcPr>
            <w:tcW w:type="dxa" w:w="850"/>
          </w:tcPr>
          <w:p>
            <w:pPr>
              <w:keepLines/>
              <w:spacing w:after="0" w:line="276" w:lineRule="auto"/>
            </w:pPr>
            <w:r>
              <w:rPr>
                <w:rFonts w:ascii="Calibri" w:hAnsi="Calibri" w:eastAsia="Microsoft YaHei"/>
                <w:color w:val="0B2545"/>
                <w:sz w:val="14"/>
              </w:rPr>
              <w:t>软件</w:t>
            </w:r>
          </w:p>
        </w:tc>
        <w:tc>
          <w:tcPr>
            <w:tcW w:type="dxa" w:w="2500"/>
          </w:tcPr>
          <w:p>
            <w:pPr>
              <w:keepLines/>
              <w:spacing w:after="0" w:line="276" w:lineRule="auto"/>
            </w:pPr>
            <w:r>
              <w:rPr>
                <w:rFonts w:ascii="Calibri" w:hAnsi="Calibri" w:eastAsia="Microsoft YaHei"/>
                <w:color w:val="0B2545"/>
                <w:sz w:val="14"/>
              </w:rPr>
              <w:t>装置专有分析/标定软件</w:t>
            </w:r>
          </w:p>
        </w:tc>
        <w:tc>
          <w:tcPr>
            <w:tcW w:type="dxa" w:w="1600"/>
          </w:tcPr>
          <w:p>
            <w:pPr>
              <w:keepLines/>
              <w:spacing w:after="0" w:line="276" w:lineRule="auto"/>
            </w:pPr>
            <w:r>
              <w:rPr>
                <w:rFonts w:ascii="Calibri" w:hAnsi="Calibri" w:eastAsia="Microsoft YaHei"/>
                <w:color w:val="0B2545"/>
                <w:sz w:val="14"/>
              </w:rPr>
              <w:t>not-public</w:t>
            </w:r>
          </w:p>
        </w:tc>
        <w:tc>
          <w:tcPr>
            <w:tcW w:type="dxa" w:w="2300"/>
          </w:tcPr>
          <w:p>
            <w:pPr>
              <w:keepLines/>
              <w:spacing w:after="0" w:line="276" w:lineRule="auto"/>
            </w:pPr>
            <w:r>
              <w:rPr>
                <w:rFonts w:ascii="Calibri" w:hAnsi="Calibri" w:eastAsia="Microsoft YaHei"/>
                <w:color w:val="0B2545"/>
                <w:sz w:val="14"/>
              </w:rPr>
              <w:t>RNC生产层析代码未公开。</w:t>
            </w:r>
          </w:p>
        </w:tc>
        <w:tc>
          <w:tcPr>
            <w:tcW w:type="dxa" w:w="2110"/>
          </w:tcPr>
          <w:p>
            <w:pPr>
              <w:keepLines/>
              <w:spacing w:after="0" w:line="276" w:lineRule="auto"/>
            </w:pPr>
            <w:r>
              <w:rPr>
                <w:rFonts w:ascii="Calibri" w:hAnsi="Calibri" w:eastAsia="Microsoft YaHei"/>
                <w:color w:val="0B2545"/>
                <w:sz w:val="14"/>
              </w:rPr>
              <w:t>未公开</w:t>
            </w:r>
          </w:p>
        </w:tc>
      </w:tr>
    </w:tbl>
    <w:p>
      <w:pPr>
        <w:spacing w:before="0" w:after="60"/>
      </w:pPr>
    </w:p>
    <w:p>
      <w:pPr>
        <w:pStyle w:val="Heading3"/>
        <w:keepNext/>
      </w:pPr>
      <w:r>
        <w:t>DG5.04  高分辨中子能谱：燃料离子与快离子</w:t>
      </w:r>
    </w:p>
    <w:p>
      <w:pPr>
        <w:keepNext/>
        <w:spacing w:after="80"/>
      </w:pPr>
      <w:r>
        <w:rPr>
          <w:rFonts w:ascii="Calibri" w:hAnsi="Calibri" w:eastAsia="Microsoft YaHei"/>
          <w:i/>
          <w:color w:val="566573"/>
          <w:sz w:val="18"/>
        </w:rPr>
        <w:t>High-resolution neutron spectroscopy for fuel ions and fast ions</w:t>
      </w:r>
    </w:p>
    <w:tbl>
      <w:tblPr>
        <w:tblStyle w:val="TableGrid"/>
        <w:tblW w:type="dxa" w:w="9360"/>
        <w:jc w:val="left"/>
        <w:tblLayout w:type="fixed"/>
        <w:tblLook w:firstColumn="1" w:firstRow="1" w:lastColumn="0" w:lastRow="0" w:noHBand="0" w:noVBand="1" w:val="04A0"/>
        <w:tblInd w:w="120" w:type="dxa"/>
      </w:tblPr>
      <w:tblGrid>
        <w:gridCol w:w="1200"/>
        <w:gridCol w:w="750"/>
        <w:gridCol w:w="750"/>
        <w:gridCol w:w="2100"/>
        <w:gridCol w:w="4560"/>
      </w:tblGrid>
      <w:tr>
        <w:trPr>
          <w:tblHeader w:val="true"/>
        </w:trPr>
        <w:tc>
          <w:tcPr>
            <w:tcW w:type="dxa" w:w="12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工作 ID</w:t>
            </w:r>
          </w:p>
        </w:tc>
        <w:tc>
          <w:tcPr>
            <w:tcW w:type="dxa" w:w="7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证据</w:t>
            </w:r>
          </w:p>
        </w:tc>
        <w:tc>
          <w:tcPr>
            <w:tcW w:type="dxa" w:w="7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部署</w:t>
            </w:r>
          </w:p>
        </w:tc>
        <w:tc>
          <w:tcPr>
            <w:tcW w:type="dxa" w:w="21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技术族</w:t>
            </w:r>
          </w:p>
        </w:tc>
        <w:tc>
          <w:tcPr>
            <w:tcW w:type="dxa" w:w="456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装置</w:t>
            </w:r>
          </w:p>
        </w:tc>
      </w:tr>
      <w:tr>
        <w:trPr>
          <w:cantSplit/>
        </w:trPr>
        <w:tc>
          <w:tcPr>
            <w:tcW w:type="dxa" w:w="1200"/>
          </w:tcPr>
          <w:p>
            <w:pPr>
              <w:keepLines/>
              <w:spacing w:after="0" w:line="276" w:lineRule="auto"/>
            </w:pPr>
            <w:r>
              <w:rPr>
                <w:rFonts w:ascii="Calibri" w:hAnsi="Calibri" w:eastAsia="Microsoft YaHei"/>
                <w:color w:val="0B2545"/>
                <w:sz w:val="15"/>
              </w:rPr>
              <w:t>DG5-023</w:t>
            </w:r>
          </w:p>
        </w:tc>
        <w:tc>
          <w:tcPr>
            <w:tcW w:type="dxa" w:w="750"/>
          </w:tcPr>
          <w:p>
            <w:pPr>
              <w:keepLines/>
              <w:spacing w:after="0" w:line="276" w:lineRule="auto"/>
            </w:pPr>
            <w:r>
              <w:rPr>
                <w:rFonts w:ascii="Calibri" w:hAnsi="Calibri" w:eastAsia="Microsoft YaHei"/>
                <w:color w:val="0B2545"/>
                <w:sz w:val="15"/>
              </w:rPr>
              <w:t>E4</w:t>
            </w:r>
          </w:p>
        </w:tc>
        <w:tc>
          <w:tcPr>
            <w:tcW w:type="dxa" w:w="750"/>
          </w:tcPr>
          <w:p>
            <w:pPr>
              <w:keepLines/>
              <w:spacing w:after="0" w:line="276" w:lineRule="auto"/>
            </w:pPr>
            <w:r>
              <w:rPr>
                <w:rFonts w:ascii="Calibri" w:hAnsi="Calibri" w:eastAsia="Microsoft YaHei"/>
                <w:color w:val="0B2545"/>
                <w:sz w:val="15"/>
              </w:rPr>
              <w:t>D4</w:t>
            </w:r>
          </w:p>
        </w:tc>
        <w:tc>
          <w:tcPr>
            <w:tcW w:type="dxa" w:w="2100"/>
          </w:tcPr>
          <w:p>
            <w:pPr>
              <w:keepLines/>
              <w:spacing w:after="0" w:line="276" w:lineRule="auto"/>
            </w:pPr>
            <w:r>
              <w:rPr>
                <w:rFonts w:ascii="Calibri" w:hAnsi="Calibri" w:eastAsia="Microsoft YaHei"/>
                <w:color w:val="0B2545"/>
                <w:sz w:val="15"/>
              </w:rPr>
              <w:t>NUCLEAR_PARTICLE</w:t>
            </w:r>
          </w:p>
        </w:tc>
        <w:tc>
          <w:tcPr>
            <w:tcW w:type="dxa" w:w="4560"/>
          </w:tcPr>
          <w:p>
            <w:pPr>
              <w:keepLines/>
              <w:spacing w:after="0" w:line="276" w:lineRule="auto"/>
            </w:pPr>
            <w:r>
              <w:rPr>
                <w:rFonts w:ascii="Calibri" w:hAnsi="Calibri" w:eastAsia="Microsoft YaHei"/>
                <w:color w:val="0B2545"/>
                <w:sz w:val="15"/>
              </w:rPr>
              <w:t>JET TOFOR/MPR；ITER HRNS</w:t>
            </w:r>
          </w:p>
        </w:tc>
      </w:tr>
    </w:tbl>
    <w:p>
      <w:pPr>
        <w:spacing w:before="0" w:after="60"/>
      </w:pPr>
    </w:p>
    <w:p>
      <w:pPr>
        <w:widowControl/>
      </w:pPr>
      <w:r>
        <w:rPr>
          <w:rFonts w:ascii="Calibri" w:hAnsi="Calibri" w:eastAsia="Microsoft YaHei"/>
          <w:b/>
          <w:color w:val="1F4D78"/>
        </w:rPr>
        <w:t>解决问题：</w:t>
      </w:r>
      <w:r>
        <w:rPr>
          <w:rFonts w:ascii="Calibri" w:hAnsi="Calibri" w:eastAsia="Microsoft YaHei"/>
        </w:rPr>
        <w:t>由中子能谱宽度/形状诊断离子温度、D/T比例和快离子反应通道。</w:t>
      </w:r>
    </w:p>
    <w:p>
      <w:pPr>
        <w:widowControl/>
      </w:pPr>
      <w:r>
        <w:rPr>
          <w:rFonts w:ascii="Calibri" w:hAnsi="Calibri" w:eastAsia="Microsoft YaHei"/>
          <w:b/>
          <w:color w:val="1F4D78"/>
        </w:rPr>
        <w:t>测量原理：</w:t>
      </w:r>
      <w:r>
        <w:rPr>
          <w:rFonts w:ascii="Calibri" w:hAnsi="Calibri" w:eastAsia="Microsoft YaHei"/>
        </w:rPr>
        <w:t>飞行时间、反冲质子或磁质子反冲谱仪测中子能量；多普勒展宽和非热尾部连接反应离子分布。</w:t>
      </w:r>
    </w:p>
    <w:p>
      <w:pPr>
        <w:widowControl/>
      </w:pPr>
      <w:r>
        <w:rPr>
          <w:rFonts w:ascii="Calibri" w:hAnsi="Calibri" w:eastAsia="Microsoft YaHei"/>
          <w:b/>
          <w:color w:val="1F4D78"/>
        </w:rPr>
        <w:t>测量产品：</w:t>
      </w:r>
      <w:r>
        <w:rPr>
          <w:rFonts w:ascii="Calibri" w:hAnsi="Calibri" w:eastAsia="Microsoft YaHei"/>
        </w:rPr>
        <w:t>neutron energy spectrum；ion temperature；fuel ratio；fast-ion contribution</w:t>
      </w:r>
    </w:p>
    <w:p>
      <w:pPr>
        <w:widowControl/>
      </w:pPr>
      <w:r>
        <w:rPr>
          <w:rFonts w:ascii="Calibri" w:hAnsi="Calibri" w:eastAsia="Microsoft YaHei"/>
          <w:b/>
          <w:color w:val="1F4D78"/>
        </w:rPr>
        <w:t>时空分辨与覆盖：</w:t>
      </w:r>
      <w:r>
        <w:rPr>
          <w:rFonts w:ascii="Calibri" w:hAnsi="Calibri" w:eastAsia="Microsoft YaHei"/>
        </w:rPr>
        <w:t>时间：因装置、采集和分析链而异；原始来源未给出统一数值。；空间：由视线、几何和反演设定；原始来源未给出统一数值。</w:t>
      </w:r>
    </w:p>
    <w:p>
      <w:pPr>
        <w:widowControl/>
      </w:pPr>
      <w:r>
        <w:rPr>
          <w:rFonts w:ascii="Calibri" w:hAnsi="Calibri" w:eastAsia="Microsoft YaHei"/>
          <w:b/>
          <w:color w:val="1F4D78"/>
        </w:rPr>
        <w:t>仪器与传感器：</w:t>
      </w:r>
      <w:r>
        <w:rPr>
          <w:rFonts w:ascii="Calibri" w:hAnsi="Calibri" w:eastAsia="Microsoft YaHei"/>
        </w:rPr>
        <w:t>TOFOR；magnetic proton recoil spectrometer；thin-foil proton recoil telescope；fast timing detectors</w:t>
      </w:r>
    </w:p>
    <w:p>
      <w:pPr>
        <w:widowControl/>
      </w:pPr>
      <w:r>
        <w:rPr>
          <w:rFonts w:ascii="Calibri" w:hAnsi="Calibri" w:eastAsia="Microsoft YaHei"/>
          <w:b/>
          <w:color w:val="1F4D78"/>
        </w:rPr>
        <w:t>标定与质量：</w:t>
      </w:r>
      <w:r>
        <w:rPr>
          <w:rFonts w:ascii="Calibri" w:hAnsi="Calibri" w:eastAsia="Microsoft YaHei"/>
        </w:rPr>
        <w:t>用单能/已知谱中子源标定能量、效率与响应；装置上与总中子率和活化诊断核对。</w:t>
      </w:r>
    </w:p>
    <w:p>
      <w:pPr>
        <w:widowControl/>
      </w:pPr>
      <w:r>
        <w:rPr>
          <w:rFonts w:ascii="Calibri" w:hAnsi="Calibri" w:eastAsia="Microsoft YaHei"/>
          <w:b/>
          <w:color w:val="1F4D78"/>
        </w:rPr>
        <w:t>反演与分析：</w:t>
      </w:r>
      <w:r>
        <w:rPr>
          <w:rFonts w:ascii="Calibri" w:hAnsi="Calibri" w:eastAsia="Microsoft YaHei"/>
        </w:rPr>
        <w:t>响应矩阵反卷积和核反应谱模型拟合，分解热/非热组分并给后验。</w:t>
      </w:r>
    </w:p>
    <w:p>
      <w:pPr>
        <w:widowControl/>
      </w:pPr>
      <w:r>
        <w:rPr>
          <w:rFonts w:ascii="Calibri" w:hAnsi="Calibri" w:eastAsia="Microsoft YaHei"/>
          <w:b/>
          <w:color w:val="1F4D78"/>
        </w:rPr>
        <w:t>验证与应用：</w:t>
      </w:r>
      <w:r>
        <w:rPr>
          <w:rFonts w:ascii="Calibri" w:hAnsi="Calibri" w:eastAsia="Microsoft YaHei"/>
        </w:rPr>
        <w:t>JET 在线中子谱系统以 D-D/D-T 装置放电和独立 Ti/CXRS 验证；ITER HRNS原型以束线/模拟评估。</w:t>
      </w:r>
    </w:p>
    <w:p>
      <w:pPr>
        <w:widowControl/>
      </w:pPr>
      <w:r>
        <w:rPr>
          <w:rFonts w:ascii="Calibri" w:hAnsi="Calibri" w:eastAsia="Microsoft YaHei"/>
          <w:b/>
          <w:color w:val="1F4D78"/>
        </w:rPr>
        <w:t>局限与边界：</w:t>
      </w:r>
      <w:r>
        <w:rPr>
          <w:rFonts w:ascii="Calibri" w:hAnsi="Calibri" w:eastAsia="Microsoft YaHei"/>
        </w:rPr>
        <w:t>低计数统计、散射背景和响应反卷积限制时间分辨；快离子解释依赖反应模型。</w:t>
      </w:r>
    </w:p>
    <w:tbl>
      <w:tblPr>
        <w:tblStyle w:val="TableGrid"/>
        <w:tblW w:type="dxa" w:w="9360"/>
        <w:jc w:val="left"/>
        <w:tblLayout w:type="fixed"/>
        <w:tblLook w:firstColumn="1" w:firstRow="1" w:lastColumn="0" w:lastRow="0" w:noHBand="0" w:noVBand="1" w:val="04A0"/>
        <w:tblInd w:w="120" w:type="dxa"/>
      </w:tblPr>
      <w:tblGrid>
        <w:gridCol w:w="9360"/>
      </w:tblGrid>
      <w:tr>
        <w:trPr>
          <w:cantSplit/>
        </w:trPr>
        <w:tc>
          <w:tcPr>
            <w:tcW w:type="dxa" w:w="9360"/>
            <w:tcMar>
              <w:top w:w="80" w:type="dxa"/>
              <w:bottom w:w="80" w:type="dxa"/>
              <w:start w:w="120" w:type="dxa"/>
              <w:end w:w="120" w:type="dxa"/>
            </w:tcMar>
            <w:vAlign w:val="center"/>
            <w:shd w:fill="EEF7F7"/>
          </w:tcPr>
          <w:p>
            <w:pPr>
              <w:keepNext/>
              <w:keepLines/>
              <w:spacing w:after="40"/>
            </w:pPr>
            <w:r>
              <w:rPr>
                <w:rFonts w:ascii="Calibri" w:hAnsi="Calibri" w:eastAsia="Microsoft YaHei"/>
                <w:b/>
                <w:color w:val="008C95"/>
                <w:sz w:val="17"/>
              </w:rPr>
              <w:t>DIGITAL-TWIN RELEVANCE</w:t>
            </w:r>
          </w:p>
          <w:p>
            <w:pPr>
              <w:spacing w:after="0"/>
            </w:pPr>
            <w:r>
              <w:rPr>
                <w:rFonts w:ascii="Calibri" w:hAnsi="Calibri" w:eastAsia="Microsoft YaHei"/>
                <w:color w:val="0B2545"/>
                <w:sz w:val="20"/>
              </w:rPr>
              <w:t>为燃烧与快离子孪生提供能量维度；必须保存响应矩阵和核数据版本。</w:t>
            </w:r>
          </w:p>
        </w:tc>
      </w:tr>
    </w:tbl>
    <w:p>
      <w:pPr>
        <w:spacing w:after="40"/>
      </w:pPr>
    </w:p>
    <w:tbl>
      <w:tblPr>
        <w:tblStyle w:val="TableGrid"/>
        <w:tblW w:type="dxa" w:w="9360"/>
        <w:jc w:val="left"/>
        <w:tblLayout w:type="fixed"/>
        <w:tblLook w:firstColumn="1" w:firstRow="1" w:lastColumn="0" w:lastRow="0" w:noHBand="0" w:noVBand="1" w:val="04A0"/>
        <w:tblInd w:w="120" w:type="dxa"/>
      </w:tblPr>
      <w:tblGrid>
        <w:gridCol w:w="850"/>
        <w:gridCol w:w="2500"/>
        <w:gridCol w:w="1600"/>
        <w:gridCol w:w="2300"/>
        <w:gridCol w:w="2110"/>
      </w:tblGrid>
      <w:tr>
        <w:trPr>
          <w:tblHeader w:val="true"/>
        </w:trPr>
        <w:tc>
          <w:tcPr>
            <w:tcW w:type="dxa" w:w="8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年份/类型</w:t>
            </w:r>
          </w:p>
        </w:tc>
        <w:tc>
          <w:tcPr>
            <w:tcW w:type="dxa" w:w="25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论文或软件</w:t>
            </w:r>
          </w:p>
        </w:tc>
        <w:tc>
          <w:tcPr>
            <w:tcW w:type="dxa" w:w="16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期刊/开放性</w:t>
            </w:r>
          </w:p>
        </w:tc>
        <w:tc>
          <w:tcPr>
            <w:tcW w:type="dxa" w:w="23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来源类型/关系</w:t>
            </w:r>
          </w:p>
        </w:tc>
        <w:tc>
          <w:tcPr>
            <w:tcW w:type="dxa" w:w="211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链接</w:t>
            </w:r>
          </w:p>
        </w:tc>
      </w:tr>
      <w:tr>
        <w:trPr>
          <w:cantSplit/>
        </w:trPr>
        <w:tc>
          <w:tcPr>
            <w:tcW w:type="dxa" w:w="850"/>
          </w:tcPr>
          <w:p>
            <w:pPr>
              <w:keepLines/>
              <w:spacing w:after="0" w:line="276" w:lineRule="auto"/>
            </w:pPr>
            <w:r>
              <w:rPr>
                <w:rFonts w:ascii="Calibri" w:hAnsi="Calibri" w:eastAsia="Microsoft YaHei"/>
                <w:color w:val="0B2545"/>
                <w:sz w:val="14"/>
              </w:rPr>
              <w:t>2021</w:t>
            </w:r>
          </w:p>
        </w:tc>
        <w:tc>
          <w:tcPr>
            <w:tcW w:type="dxa" w:w="2500"/>
          </w:tcPr>
          <w:p>
            <w:pPr>
              <w:keepLines/>
              <w:spacing w:after="0" w:line="276" w:lineRule="auto"/>
            </w:pPr>
            <w:r>
              <w:rPr>
                <w:rFonts w:ascii="Calibri" w:hAnsi="Calibri" w:eastAsia="Microsoft YaHei"/>
                <w:color w:val="0B2545"/>
                <w:sz w:val="14"/>
              </w:rPr>
              <w:t>New method for time alignment and time calibration of the TOFOR time-of-flight neutron spectrometer at JET</w:t>
            </w:r>
          </w:p>
        </w:tc>
        <w:tc>
          <w:tcPr>
            <w:tcW w:type="dxa" w:w="1600"/>
          </w:tcPr>
          <w:p>
            <w:pPr>
              <w:keepLines/>
              <w:spacing w:after="0" w:line="276" w:lineRule="auto"/>
            </w:pPr>
            <w:r>
              <w:rPr>
                <w:rFonts w:ascii="Calibri" w:hAnsi="Calibri" w:eastAsia="Microsoft YaHei"/>
                <w:color w:val="0B2545"/>
                <w:sz w:val="14"/>
              </w:rPr>
              <w:t>Review of Scientific Instruments</w:t>
            </w:r>
          </w:p>
        </w:tc>
        <w:tc>
          <w:tcPr>
            <w:tcW w:type="dxa" w:w="2300"/>
          </w:tcPr>
          <w:p>
            <w:pPr>
              <w:keepLines/>
              <w:spacing w:after="0" w:line="276" w:lineRule="auto"/>
            </w:pPr>
            <w:r>
              <w:rPr>
                <w:rFonts w:ascii="Calibri" w:hAnsi="Calibri" w:eastAsia="Microsoft YaHei"/>
                <w:color w:val="0B2545"/>
                <w:sz w:val="14"/>
              </w:rPr>
              <w:t>peer-reviewed-journal</w:t>
            </w:r>
          </w:p>
        </w:tc>
        <w:tc>
          <w:tcPr>
            <w:tcW w:type="dxa" w:w="2110"/>
          </w:tcPr>
          <w:p>
            <w:pPr>
              <w:keepLines/>
              <w:spacing w:after="0" w:line="276" w:lineRule="auto"/>
            </w:pPr>
            <w:hyperlink r:id="rId90">
              <w:r>
                <w:rPr>
                  <w:rFonts w:ascii="Calibri" w:hAnsi="Calibri" w:eastAsia="Microsoft YaHei"/>
                  <w:color w:val="008C95"/>
                  <w:u w:val="single"/>
                </w:rPr>
                <w:t>打开原始来源 ↗</w:t>
              </w:r>
            </w:hyperlink>
          </w:p>
        </w:tc>
      </w:tr>
      <w:tr>
        <w:trPr>
          <w:cantSplit/>
        </w:trPr>
        <w:tc>
          <w:tcPr>
            <w:tcW w:type="dxa" w:w="850"/>
          </w:tcPr>
          <w:p>
            <w:pPr>
              <w:keepLines/>
              <w:spacing w:after="0" w:line="276" w:lineRule="auto"/>
            </w:pPr>
            <w:r>
              <w:rPr>
                <w:rFonts w:ascii="Calibri" w:hAnsi="Calibri" w:eastAsia="Microsoft YaHei"/>
                <w:color w:val="0B2545"/>
                <w:sz w:val="14"/>
              </w:rPr>
              <w:t>2009</w:t>
            </w:r>
          </w:p>
        </w:tc>
        <w:tc>
          <w:tcPr>
            <w:tcW w:type="dxa" w:w="2500"/>
          </w:tcPr>
          <w:p>
            <w:pPr>
              <w:keepLines/>
              <w:spacing w:after="0" w:line="276" w:lineRule="auto"/>
            </w:pPr>
            <w:r>
              <w:rPr>
                <w:rFonts w:ascii="Calibri" w:hAnsi="Calibri" w:eastAsia="Microsoft YaHei"/>
                <w:color w:val="0B2545"/>
                <w:sz w:val="14"/>
              </w:rPr>
              <w:t>Gain stabilization control system of the upgraded magnetic proton recoil neutron spectrometer at JET</w:t>
            </w:r>
          </w:p>
        </w:tc>
        <w:tc>
          <w:tcPr>
            <w:tcW w:type="dxa" w:w="1600"/>
          </w:tcPr>
          <w:p>
            <w:pPr>
              <w:keepLines/>
              <w:spacing w:after="0" w:line="276" w:lineRule="auto"/>
            </w:pPr>
            <w:r>
              <w:rPr>
                <w:rFonts w:ascii="Calibri" w:hAnsi="Calibri" w:eastAsia="Microsoft YaHei"/>
                <w:color w:val="0B2545"/>
                <w:sz w:val="14"/>
              </w:rPr>
              <w:t>Review of Scientific Instruments</w:t>
            </w:r>
          </w:p>
        </w:tc>
        <w:tc>
          <w:tcPr>
            <w:tcW w:type="dxa" w:w="2300"/>
          </w:tcPr>
          <w:p>
            <w:pPr>
              <w:keepLines/>
              <w:spacing w:after="0" w:line="276" w:lineRule="auto"/>
            </w:pPr>
            <w:r>
              <w:rPr>
                <w:rFonts w:ascii="Calibri" w:hAnsi="Calibri" w:eastAsia="Microsoft YaHei"/>
                <w:color w:val="0B2545"/>
                <w:sz w:val="14"/>
              </w:rPr>
              <w:t>peer-reviewed-journal</w:t>
            </w:r>
          </w:p>
        </w:tc>
        <w:tc>
          <w:tcPr>
            <w:tcW w:type="dxa" w:w="2110"/>
          </w:tcPr>
          <w:p>
            <w:pPr>
              <w:keepLines/>
              <w:spacing w:after="0" w:line="276" w:lineRule="auto"/>
            </w:pPr>
            <w:hyperlink r:id="rId91">
              <w:r>
                <w:rPr>
                  <w:rFonts w:ascii="Calibri" w:hAnsi="Calibri" w:eastAsia="Microsoft YaHei"/>
                  <w:color w:val="008C95"/>
                  <w:u w:val="single"/>
                </w:rPr>
                <w:t>打开原始来源 ↗</w:t>
              </w:r>
            </w:hyperlink>
          </w:p>
        </w:tc>
      </w:tr>
      <w:tr>
        <w:trPr>
          <w:cantSplit/>
        </w:trPr>
        <w:tc>
          <w:tcPr>
            <w:tcW w:type="dxa" w:w="850"/>
          </w:tcPr>
          <w:p>
            <w:pPr>
              <w:keepLines/>
              <w:spacing w:after="0" w:line="276" w:lineRule="auto"/>
            </w:pPr>
            <w:r>
              <w:rPr>
                <w:rFonts w:ascii="Calibri" w:hAnsi="Calibri" w:eastAsia="Microsoft YaHei"/>
                <w:color w:val="0B2545"/>
                <w:sz w:val="14"/>
              </w:rPr>
              <w:t>2025</w:t>
            </w:r>
          </w:p>
        </w:tc>
        <w:tc>
          <w:tcPr>
            <w:tcW w:type="dxa" w:w="2500"/>
          </w:tcPr>
          <w:p>
            <w:pPr>
              <w:keepLines/>
              <w:spacing w:after="0" w:line="276" w:lineRule="auto"/>
            </w:pPr>
            <w:r>
              <w:rPr>
                <w:rFonts w:ascii="Calibri" w:hAnsi="Calibri" w:eastAsia="Microsoft YaHei"/>
                <w:color w:val="0B2545"/>
                <w:sz w:val="14"/>
              </w:rPr>
              <w:t>Development and performance of the thin-foil proton recoil spectrometer for ITER plasma diagnostics</w:t>
            </w:r>
          </w:p>
        </w:tc>
        <w:tc>
          <w:tcPr>
            <w:tcW w:type="dxa" w:w="1600"/>
          </w:tcPr>
          <w:p>
            <w:pPr>
              <w:keepLines/>
              <w:spacing w:after="0" w:line="276" w:lineRule="auto"/>
            </w:pPr>
            <w:r>
              <w:rPr>
                <w:rFonts w:ascii="Calibri" w:hAnsi="Calibri" w:eastAsia="Microsoft YaHei"/>
                <w:color w:val="0B2545"/>
                <w:sz w:val="14"/>
              </w:rPr>
              <w:t>Fusion Engineering and Design</w:t>
            </w:r>
          </w:p>
        </w:tc>
        <w:tc>
          <w:tcPr>
            <w:tcW w:type="dxa" w:w="2300"/>
          </w:tcPr>
          <w:p>
            <w:pPr>
              <w:keepLines/>
              <w:spacing w:after="0" w:line="276" w:lineRule="auto"/>
            </w:pPr>
            <w:r>
              <w:rPr>
                <w:rFonts w:ascii="Calibri" w:hAnsi="Calibri" w:eastAsia="Microsoft YaHei"/>
                <w:color w:val="0B2545"/>
                <w:sz w:val="14"/>
              </w:rPr>
              <w:t>peer-reviewed-journal</w:t>
            </w:r>
          </w:p>
        </w:tc>
        <w:tc>
          <w:tcPr>
            <w:tcW w:type="dxa" w:w="2110"/>
          </w:tcPr>
          <w:p>
            <w:pPr>
              <w:keepLines/>
              <w:spacing w:after="0" w:line="276" w:lineRule="auto"/>
            </w:pPr>
            <w:hyperlink r:id="rId92">
              <w:r>
                <w:rPr>
                  <w:rFonts w:ascii="Calibri" w:hAnsi="Calibri" w:eastAsia="Microsoft YaHei"/>
                  <w:color w:val="008C95"/>
                  <w:u w:val="single"/>
                </w:rPr>
                <w:t>打开原始来源 ↗</w:t>
              </w:r>
            </w:hyperlink>
          </w:p>
        </w:tc>
      </w:tr>
      <w:tr>
        <w:trPr>
          <w:cantSplit/>
        </w:trPr>
        <w:tc>
          <w:tcPr>
            <w:tcW w:type="dxa" w:w="850"/>
          </w:tcPr>
          <w:p>
            <w:pPr>
              <w:keepLines/>
              <w:spacing w:after="0" w:line="276" w:lineRule="auto"/>
            </w:pPr>
            <w:r>
              <w:rPr>
                <w:rFonts w:ascii="Calibri" w:hAnsi="Calibri" w:eastAsia="Microsoft YaHei"/>
                <w:color w:val="0B2545"/>
                <w:sz w:val="14"/>
              </w:rPr>
              <w:t>软件</w:t>
            </w:r>
          </w:p>
        </w:tc>
        <w:tc>
          <w:tcPr>
            <w:tcW w:type="dxa" w:w="2500"/>
          </w:tcPr>
          <w:p>
            <w:pPr>
              <w:keepLines/>
              <w:spacing w:after="0" w:line="276" w:lineRule="auto"/>
            </w:pPr>
            <w:r>
              <w:rPr>
                <w:rFonts w:ascii="Calibri" w:hAnsi="Calibri" w:eastAsia="Microsoft YaHei"/>
                <w:color w:val="0B2545"/>
                <w:sz w:val="14"/>
              </w:rPr>
              <w:t>装置专有分析/标定软件</w:t>
            </w:r>
          </w:p>
        </w:tc>
        <w:tc>
          <w:tcPr>
            <w:tcW w:type="dxa" w:w="1600"/>
          </w:tcPr>
          <w:p>
            <w:pPr>
              <w:keepLines/>
              <w:spacing w:after="0" w:line="276" w:lineRule="auto"/>
            </w:pPr>
            <w:r>
              <w:rPr>
                <w:rFonts w:ascii="Calibri" w:hAnsi="Calibri" w:eastAsia="Microsoft YaHei"/>
                <w:color w:val="0B2545"/>
                <w:sz w:val="14"/>
              </w:rPr>
              <w:t>not-public</w:t>
            </w:r>
          </w:p>
        </w:tc>
        <w:tc>
          <w:tcPr>
            <w:tcW w:type="dxa" w:w="2300"/>
          </w:tcPr>
          <w:p>
            <w:pPr>
              <w:keepLines/>
              <w:spacing w:after="0" w:line="276" w:lineRule="auto"/>
            </w:pPr>
            <w:r>
              <w:rPr>
                <w:rFonts w:ascii="Calibri" w:hAnsi="Calibri" w:eastAsia="Microsoft YaHei"/>
                <w:color w:val="0B2545"/>
                <w:sz w:val="14"/>
              </w:rPr>
              <w:t>JET/ITER谱反卷积和核数据配置未作为完整仓库公开。</w:t>
            </w:r>
          </w:p>
        </w:tc>
        <w:tc>
          <w:tcPr>
            <w:tcW w:type="dxa" w:w="2110"/>
          </w:tcPr>
          <w:p>
            <w:pPr>
              <w:keepLines/>
              <w:spacing w:after="0" w:line="276" w:lineRule="auto"/>
            </w:pPr>
            <w:r>
              <w:rPr>
                <w:rFonts w:ascii="Calibri" w:hAnsi="Calibri" w:eastAsia="Microsoft YaHei"/>
                <w:color w:val="0B2545"/>
                <w:sz w:val="14"/>
              </w:rPr>
              <w:t>未公开</w:t>
            </w:r>
          </w:p>
        </w:tc>
      </w:tr>
    </w:tbl>
    <w:p>
      <w:pPr>
        <w:spacing w:before="0" w:after="60"/>
      </w:pPr>
    </w:p>
    <w:p>
      <w:pPr>
        <w:pStyle w:val="Heading3"/>
        <w:keepNext/>
      </w:pPr>
      <w:r>
        <w:t>DG5.05  中子活化系统：积分聚变中子产额与绝对校核</w:t>
      </w:r>
    </w:p>
    <w:p>
      <w:pPr>
        <w:keepNext/>
        <w:spacing w:after="80"/>
      </w:pPr>
      <w:r>
        <w:rPr>
          <w:rFonts w:ascii="Calibri" w:hAnsi="Calibri" w:eastAsia="Microsoft YaHei"/>
          <w:i/>
          <w:color w:val="566573"/>
          <w:sz w:val="18"/>
        </w:rPr>
        <w:t>Neutron activation system for integral yield and absolute cross-check</w:t>
      </w:r>
    </w:p>
    <w:tbl>
      <w:tblPr>
        <w:tblStyle w:val="TableGrid"/>
        <w:tblW w:type="dxa" w:w="9360"/>
        <w:jc w:val="left"/>
        <w:tblLayout w:type="fixed"/>
        <w:tblLook w:firstColumn="1" w:firstRow="1" w:lastColumn="0" w:lastRow="0" w:noHBand="0" w:noVBand="1" w:val="04A0"/>
        <w:tblInd w:w="120" w:type="dxa"/>
      </w:tblPr>
      <w:tblGrid>
        <w:gridCol w:w="1200"/>
        <w:gridCol w:w="750"/>
        <w:gridCol w:w="750"/>
        <w:gridCol w:w="2100"/>
        <w:gridCol w:w="4560"/>
      </w:tblGrid>
      <w:tr>
        <w:trPr>
          <w:tblHeader w:val="true"/>
        </w:trPr>
        <w:tc>
          <w:tcPr>
            <w:tcW w:type="dxa" w:w="12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工作 ID</w:t>
            </w:r>
          </w:p>
        </w:tc>
        <w:tc>
          <w:tcPr>
            <w:tcW w:type="dxa" w:w="7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证据</w:t>
            </w:r>
          </w:p>
        </w:tc>
        <w:tc>
          <w:tcPr>
            <w:tcW w:type="dxa" w:w="7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部署</w:t>
            </w:r>
          </w:p>
        </w:tc>
        <w:tc>
          <w:tcPr>
            <w:tcW w:type="dxa" w:w="21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技术族</w:t>
            </w:r>
          </w:p>
        </w:tc>
        <w:tc>
          <w:tcPr>
            <w:tcW w:type="dxa" w:w="456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装置</w:t>
            </w:r>
          </w:p>
        </w:tc>
      </w:tr>
      <w:tr>
        <w:trPr>
          <w:cantSplit/>
        </w:trPr>
        <w:tc>
          <w:tcPr>
            <w:tcW w:type="dxa" w:w="1200"/>
          </w:tcPr>
          <w:p>
            <w:pPr>
              <w:keepLines/>
              <w:spacing w:after="0" w:line="276" w:lineRule="auto"/>
            </w:pPr>
            <w:r>
              <w:rPr>
                <w:rFonts w:ascii="Calibri" w:hAnsi="Calibri" w:eastAsia="Microsoft YaHei"/>
                <w:color w:val="0B2545"/>
                <w:sz w:val="15"/>
              </w:rPr>
              <w:t>DG5-024</w:t>
            </w:r>
          </w:p>
        </w:tc>
        <w:tc>
          <w:tcPr>
            <w:tcW w:type="dxa" w:w="750"/>
          </w:tcPr>
          <w:p>
            <w:pPr>
              <w:keepLines/>
              <w:spacing w:after="0" w:line="276" w:lineRule="auto"/>
            </w:pPr>
            <w:r>
              <w:rPr>
                <w:rFonts w:ascii="Calibri" w:hAnsi="Calibri" w:eastAsia="Microsoft YaHei"/>
                <w:color w:val="0B2545"/>
                <w:sz w:val="15"/>
              </w:rPr>
              <w:t>E3</w:t>
            </w:r>
          </w:p>
        </w:tc>
        <w:tc>
          <w:tcPr>
            <w:tcW w:type="dxa" w:w="750"/>
          </w:tcPr>
          <w:p>
            <w:pPr>
              <w:keepLines/>
              <w:spacing w:after="0" w:line="276" w:lineRule="auto"/>
            </w:pPr>
            <w:r>
              <w:rPr>
                <w:rFonts w:ascii="Calibri" w:hAnsi="Calibri" w:eastAsia="Microsoft YaHei"/>
                <w:color w:val="0B2545"/>
                <w:sz w:val="15"/>
              </w:rPr>
              <w:t>D3</w:t>
            </w:r>
          </w:p>
        </w:tc>
        <w:tc>
          <w:tcPr>
            <w:tcW w:type="dxa" w:w="2100"/>
          </w:tcPr>
          <w:p>
            <w:pPr>
              <w:keepLines/>
              <w:spacing w:after="0" w:line="276" w:lineRule="auto"/>
            </w:pPr>
            <w:r>
              <w:rPr>
                <w:rFonts w:ascii="Calibri" w:hAnsi="Calibri" w:eastAsia="Microsoft YaHei"/>
                <w:color w:val="0B2545"/>
                <w:sz w:val="15"/>
              </w:rPr>
              <w:t>NUCLEAR_PARTICLE</w:t>
            </w:r>
          </w:p>
        </w:tc>
        <w:tc>
          <w:tcPr>
            <w:tcW w:type="dxa" w:w="4560"/>
          </w:tcPr>
          <w:p>
            <w:pPr>
              <w:keepLines/>
              <w:spacing w:after="0" w:line="276" w:lineRule="auto"/>
            </w:pPr>
            <w:r>
              <w:rPr>
                <w:rFonts w:ascii="Calibri" w:hAnsi="Calibri" w:eastAsia="Microsoft YaHei"/>
                <w:color w:val="0B2545"/>
                <w:sz w:val="15"/>
              </w:rPr>
              <w:t>ITER design；JET；EAST</w:t>
            </w:r>
          </w:p>
        </w:tc>
      </w:tr>
    </w:tbl>
    <w:p>
      <w:pPr>
        <w:spacing w:before="0" w:after="60"/>
      </w:pPr>
    </w:p>
    <w:p>
      <w:pPr>
        <w:widowControl/>
      </w:pPr>
      <w:r>
        <w:rPr>
          <w:rFonts w:ascii="Calibri" w:hAnsi="Calibri" w:eastAsia="Microsoft YaHei"/>
          <w:b/>
          <w:color w:val="1F4D78"/>
        </w:rPr>
        <w:t>解决问题：</w:t>
      </w:r>
      <w:r>
        <w:rPr>
          <w:rFonts w:ascii="Calibri" w:hAnsi="Calibri" w:eastAsia="Microsoft YaHei"/>
        </w:rPr>
        <w:t>给出独立、时间积分的中子产额和能谱阈值信息，校核实时中子监测。</w:t>
      </w:r>
    </w:p>
    <w:p>
      <w:pPr>
        <w:widowControl/>
      </w:pPr>
      <w:r>
        <w:rPr>
          <w:rFonts w:ascii="Calibri" w:hAnsi="Calibri" w:eastAsia="Microsoft YaHei"/>
          <w:b/>
          <w:color w:val="1F4D78"/>
        </w:rPr>
        <w:t>测量原理：</w:t>
      </w:r>
      <w:r>
        <w:rPr>
          <w:rFonts w:ascii="Calibri" w:hAnsi="Calibri" w:eastAsia="Microsoft YaHei"/>
        </w:rPr>
        <w:t>选定箔片发生阈值/俘获反应；照射后用伽马谱测活度，结合截面、衰变和输运求通量。</w:t>
      </w:r>
    </w:p>
    <w:p>
      <w:pPr>
        <w:widowControl/>
      </w:pPr>
      <w:r>
        <w:rPr>
          <w:rFonts w:ascii="Calibri" w:hAnsi="Calibri" w:eastAsia="Microsoft YaHei"/>
          <w:b/>
          <w:color w:val="1F4D78"/>
        </w:rPr>
        <w:t>测量产品：</w:t>
      </w:r>
      <w:r>
        <w:rPr>
          <w:rFonts w:ascii="Calibri" w:hAnsi="Calibri" w:eastAsia="Microsoft YaHei"/>
        </w:rPr>
        <w:t>shot-integrated neutron yield；fluence；spectral-index ratios</w:t>
      </w:r>
    </w:p>
    <w:p>
      <w:pPr>
        <w:widowControl/>
      </w:pPr>
      <w:r>
        <w:rPr>
          <w:rFonts w:ascii="Calibri" w:hAnsi="Calibri" w:eastAsia="Microsoft YaHei"/>
          <w:b/>
          <w:color w:val="1F4D78"/>
        </w:rPr>
        <w:t>时空分辨与覆盖：</w:t>
      </w:r>
      <w:r>
        <w:rPr>
          <w:rFonts w:ascii="Calibri" w:hAnsi="Calibri" w:eastAsia="Microsoft YaHei"/>
        </w:rPr>
        <w:t>时间：因装置、采集和分析链而异；原始来源未给出统一数值。；空间：由视线、几何和反演设定；原始来源未给出统一数值。</w:t>
      </w:r>
    </w:p>
    <w:p>
      <w:pPr>
        <w:widowControl/>
      </w:pPr>
      <w:r>
        <w:rPr>
          <w:rFonts w:ascii="Calibri" w:hAnsi="Calibri" w:eastAsia="Microsoft YaHei"/>
          <w:b/>
          <w:color w:val="1F4D78"/>
        </w:rPr>
        <w:t>仪器与传感器：</w:t>
      </w:r>
      <w:r>
        <w:rPr>
          <w:rFonts w:ascii="Calibri" w:hAnsi="Calibri" w:eastAsia="Microsoft YaHei"/>
        </w:rPr>
        <w:t>activation foils；pneumatic transfer；HPGe gamma spectrometer；dosimetry standards</w:t>
      </w:r>
    </w:p>
    <w:p>
      <w:pPr>
        <w:widowControl/>
      </w:pPr>
      <w:r>
        <w:rPr>
          <w:rFonts w:ascii="Calibri" w:hAnsi="Calibri" w:eastAsia="Microsoft YaHei"/>
          <w:b/>
          <w:color w:val="1F4D78"/>
        </w:rPr>
        <w:t>标定与质量：</w:t>
      </w:r>
      <w:r>
        <w:rPr>
          <w:rFonts w:ascii="Calibri" w:hAnsi="Calibri" w:eastAsia="Microsoft YaHei"/>
        </w:rPr>
        <w:t>箔质量/成分和HPGe效率溯源；用标准源校准伽马能量/效率并采用评价核数据。</w:t>
      </w:r>
    </w:p>
    <w:p>
      <w:pPr>
        <w:widowControl/>
      </w:pPr>
      <w:r>
        <w:rPr>
          <w:rFonts w:ascii="Calibri" w:hAnsi="Calibri" w:eastAsia="Microsoft YaHei"/>
          <w:b/>
          <w:color w:val="1F4D78"/>
        </w:rPr>
        <w:t>反演与分析：</w:t>
      </w:r>
      <w:r>
        <w:rPr>
          <w:rFonts w:ascii="Calibri" w:hAnsi="Calibri" w:eastAsia="Microsoft YaHei"/>
        </w:rPr>
        <w:t>活度峰拟合、衰变修正和响应折叠；多箔阈值比提供粗能谱约束。</w:t>
      </w:r>
    </w:p>
    <w:p>
      <w:pPr>
        <w:widowControl/>
      </w:pPr>
      <w:r>
        <w:rPr>
          <w:rFonts w:ascii="Calibri" w:hAnsi="Calibri" w:eastAsia="Microsoft YaHei"/>
          <w:b/>
          <w:color w:val="1F4D78"/>
        </w:rPr>
        <w:t>验证与应用：</w:t>
      </w:r>
      <w:r>
        <w:rPr>
          <w:rFonts w:ascii="Calibri" w:hAnsi="Calibri" w:eastAsia="Microsoft YaHei"/>
        </w:rPr>
        <w:t>JET等以裂变室和总中子率交叉；ITER通过系统设计、核数据和输运不确定度预算。</w:t>
      </w:r>
    </w:p>
    <w:p>
      <w:pPr>
        <w:widowControl/>
      </w:pPr>
      <w:r>
        <w:rPr>
          <w:rFonts w:ascii="Calibri" w:hAnsi="Calibri" w:eastAsia="Microsoft YaHei"/>
          <w:b/>
          <w:color w:val="1F4D78"/>
        </w:rPr>
        <w:t>局限与边界：</w:t>
      </w:r>
      <w:r>
        <w:rPr>
          <w:rFonts w:ascii="Calibri" w:hAnsi="Calibri" w:eastAsia="Microsoft YaHei"/>
        </w:rPr>
        <w:t>不是实时诊断；转运时间、箔位置、核截面和屏蔽模型决定误差。</w:t>
      </w:r>
    </w:p>
    <w:tbl>
      <w:tblPr>
        <w:tblStyle w:val="TableGrid"/>
        <w:tblW w:type="dxa" w:w="9360"/>
        <w:jc w:val="left"/>
        <w:tblLayout w:type="fixed"/>
        <w:tblLook w:firstColumn="1" w:firstRow="1" w:lastColumn="0" w:lastRow="0" w:noHBand="0" w:noVBand="1" w:val="04A0"/>
        <w:tblInd w:w="120" w:type="dxa"/>
      </w:tblPr>
      <w:tblGrid>
        <w:gridCol w:w="9360"/>
      </w:tblGrid>
      <w:tr>
        <w:trPr>
          <w:cantSplit/>
        </w:trPr>
        <w:tc>
          <w:tcPr>
            <w:tcW w:type="dxa" w:w="9360"/>
            <w:tcMar>
              <w:top w:w="80" w:type="dxa"/>
              <w:bottom w:w="80" w:type="dxa"/>
              <w:start w:w="120" w:type="dxa"/>
              <w:end w:w="120" w:type="dxa"/>
            </w:tcMar>
            <w:vAlign w:val="center"/>
            <w:shd w:fill="EEF7F7"/>
          </w:tcPr>
          <w:p>
            <w:pPr>
              <w:keepNext/>
              <w:keepLines/>
              <w:spacing w:after="40"/>
            </w:pPr>
            <w:r>
              <w:rPr>
                <w:rFonts w:ascii="Calibri" w:hAnsi="Calibri" w:eastAsia="Microsoft YaHei"/>
                <w:b/>
                <w:color w:val="008C95"/>
                <w:sz w:val="17"/>
              </w:rPr>
              <w:t>DIGITAL-TWIN RELEVANCE</w:t>
            </w:r>
          </w:p>
          <w:p>
            <w:pPr>
              <w:spacing w:after="0"/>
            </w:pPr>
            <w:r>
              <w:rPr>
                <w:rFonts w:ascii="Calibri" w:hAnsi="Calibri" w:eastAsia="Microsoft YaHei"/>
                <w:color w:val="0B2545"/>
                <w:sz w:val="20"/>
              </w:rPr>
              <w:t>提供独立计量闭环和长期漂移审计，适合做数字孪生定期真值检查。</w:t>
            </w:r>
          </w:p>
        </w:tc>
      </w:tr>
    </w:tbl>
    <w:p>
      <w:pPr>
        <w:spacing w:after="40"/>
      </w:pPr>
    </w:p>
    <w:tbl>
      <w:tblPr>
        <w:tblStyle w:val="TableGrid"/>
        <w:tblW w:type="dxa" w:w="9360"/>
        <w:jc w:val="left"/>
        <w:tblLayout w:type="fixed"/>
        <w:tblLook w:firstColumn="1" w:firstRow="1" w:lastColumn="0" w:lastRow="0" w:noHBand="0" w:noVBand="1" w:val="04A0"/>
        <w:tblInd w:w="120" w:type="dxa"/>
      </w:tblPr>
      <w:tblGrid>
        <w:gridCol w:w="850"/>
        <w:gridCol w:w="2500"/>
        <w:gridCol w:w="1600"/>
        <w:gridCol w:w="2300"/>
        <w:gridCol w:w="2110"/>
      </w:tblGrid>
      <w:tr>
        <w:trPr>
          <w:tblHeader w:val="true"/>
        </w:trPr>
        <w:tc>
          <w:tcPr>
            <w:tcW w:type="dxa" w:w="8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年份/类型</w:t>
            </w:r>
          </w:p>
        </w:tc>
        <w:tc>
          <w:tcPr>
            <w:tcW w:type="dxa" w:w="25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论文或软件</w:t>
            </w:r>
          </w:p>
        </w:tc>
        <w:tc>
          <w:tcPr>
            <w:tcW w:type="dxa" w:w="16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期刊/开放性</w:t>
            </w:r>
          </w:p>
        </w:tc>
        <w:tc>
          <w:tcPr>
            <w:tcW w:type="dxa" w:w="23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来源类型/关系</w:t>
            </w:r>
          </w:p>
        </w:tc>
        <w:tc>
          <w:tcPr>
            <w:tcW w:type="dxa" w:w="211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链接</w:t>
            </w:r>
          </w:p>
        </w:tc>
      </w:tr>
      <w:tr>
        <w:trPr>
          <w:cantSplit/>
        </w:trPr>
        <w:tc>
          <w:tcPr>
            <w:tcW w:type="dxa" w:w="850"/>
          </w:tcPr>
          <w:p>
            <w:pPr>
              <w:keepLines/>
              <w:spacing w:after="0" w:line="276" w:lineRule="auto"/>
            </w:pPr>
            <w:r>
              <w:rPr>
                <w:rFonts w:ascii="Calibri" w:hAnsi="Calibri" w:eastAsia="Microsoft YaHei"/>
                <w:color w:val="0B2545"/>
                <w:sz w:val="14"/>
              </w:rPr>
              <w:t>2020</w:t>
            </w:r>
          </w:p>
        </w:tc>
        <w:tc>
          <w:tcPr>
            <w:tcW w:type="dxa" w:w="2500"/>
          </w:tcPr>
          <w:p>
            <w:pPr>
              <w:keepLines/>
              <w:spacing w:after="0" w:line="276" w:lineRule="auto"/>
            </w:pPr>
            <w:r>
              <w:rPr>
                <w:rFonts w:ascii="Calibri" w:hAnsi="Calibri" w:eastAsia="Microsoft YaHei"/>
                <w:color w:val="0B2545"/>
                <w:sz w:val="14"/>
              </w:rPr>
              <w:t>ITER neutron activation system technical specification</w:t>
            </w:r>
          </w:p>
        </w:tc>
        <w:tc>
          <w:tcPr>
            <w:tcW w:type="dxa" w:w="1600"/>
          </w:tcPr>
          <w:p>
            <w:pPr>
              <w:keepLines/>
              <w:spacing w:after="0" w:line="276" w:lineRule="auto"/>
            </w:pPr>
            <w:r>
              <w:rPr>
                <w:rFonts w:ascii="Calibri" w:hAnsi="Calibri" w:eastAsia="Microsoft YaHei"/>
                <w:color w:val="0B2545"/>
                <w:sz w:val="14"/>
              </w:rPr>
              <w:t>Official procurement technical specification</w:t>
            </w:r>
          </w:p>
        </w:tc>
        <w:tc>
          <w:tcPr>
            <w:tcW w:type="dxa" w:w="2300"/>
          </w:tcPr>
          <w:p>
            <w:pPr>
              <w:keepLines/>
              <w:spacing w:after="0" w:line="276" w:lineRule="auto"/>
            </w:pPr>
            <w:r>
              <w:rPr>
                <w:rFonts w:ascii="Calibri" w:hAnsi="Calibri" w:eastAsia="Microsoft YaHei"/>
                <w:color w:val="0B2545"/>
                <w:sz w:val="14"/>
              </w:rPr>
              <w:t>official-technical-document</w:t>
            </w:r>
          </w:p>
        </w:tc>
        <w:tc>
          <w:tcPr>
            <w:tcW w:type="dxa" w:w="2110"/>
          </w:tcPr>
          <w:p>
            <w:pPr>
              <w:keepLines/>
              <w:spacing w:after="0" w:line="276" w:lineRule="auto"/>
            </w:pPr>
            <w:hyperlink r:id="rId93">
              <w:r>
                <w:rPr>
                  <w:rFonts w:ascii="Calibri" w:hAnsi="Calibri" w:eastAsia="Microsoft YaHei"/>
                  <w:color w:val="008C95"/>
                  <w:u w:val="single"/>
                </w:rPr>
                <w:t>打开原始来源 ↗</w:t>
              </w:r>
            </w:hyperlink>
          </w:p>
        </w:tc>
      </w:tr>
      <w:tr>
        <w:trPr>
          <w:cantSplit/>
        </w:trPr>
        <w:tc>
          <w:tcPr>
            <w:tcW w:type="dxa" w:w="850"/>
          </w:tcPr>
          <w:p>
            <w:pPr>
              <w:keepLines/>
              <w:spacing w:after="0" w:line="276" w:lineRule="auto"/>
            </w:pPr>
            <w:r>
              <w:rPr>
                <w:rFonts w:ascii="Calibri" w:hAnsi="Calibri" w:eastAsia="Microsoft YaHei"/>
                <w:color w:val="0B2545"/>
                <w:sz w:val="14"/>
              </w:rPr>
              <w:t>软件</w:t>
            </w:r>
          </w:p>
        </w:tc>
        <w:tc>
          <w:tcPr>
            <w:tcW w:type="dxa" w:w="2500"/>
          </w:tcPr>
          <w:p>
            <w:pPr>
              <w:keepLines/>
              <w:spacing w:after="0" w:line="276" w:lineRule="auto"/>
            </w:pPr>
            <w:r>
              <w:rPr>
                <w:rFonts w:ascii="Calibri" w:hAnsi="Calibri" w:eastAsia="Microsoft YaHei"/>
                <w:color w:val="0B2545"/>
                <w:sz w:val="14"/>
              </w:rPr>
              <w:t>MCNP</w:t>
            </w:r>
          </w:p>
        </w:tc>
        <w:tc>
          <w:tcPr>
            <w:tcW w:type="dxa" w:w="1600"/>
          </w:tcPr>
          <w:p>
            <w:pPr>
              <w:keepLines/>
              <w:spacing w:after="0" w:line="276" w:lineRule="auto"/>
            </w:pPr>
            <w:r>
              <w:rPr>
                <w:rFonts w:ascii="Calibri" w:hAnsi="Calibri" w:eastAsia="Microsoft YaHei"/>
                <w:color w:val="0B2545"/>
                <w:sz w:val="14"/>
              </w:rPr>
              <w:t>controlled-access</w:t>
            </w:r>
          </w:p>
        </w:tc>
        <w:tc>
          <w:tcPr>
            <w:tcW w:type="dxa" w:w="2300"/>
          </w:tcPr>
          <w:p>
            <w:pPr>
              <w:keepLines/>
              <w:spacing w:after="0" w:line="276" w:lineRule="auto"/>
            </w:pPr>
            <w:r>
              <w:rPr>
                <w:rFonts w:ascii="Calibri" w:hAnsi="Calibri" w:eastAsia="Microsoft YaHei"/>
                <w:color w:val="0B2545"/>
                <w:sz w:val="14"/>
              </w:rPr>
              <w:t>活化位置响应与谱折叠。</w:t>
            </w:r>
          </w:p>
        </w:tc>
        <w:tc>
          <w:tcPr>
            <w:tcW w:type="dxa" w:w="2110"/>
          </w:tcPr>
          <w:p>
            <w:pPr>
              <w:keepLines/>
              <w:spacing w:after="0" w:line="276" w:lineRule="auto"/>
            </w:pPr>
            <w:hyperlink r:id="rId88">
              <w:r>
                <w:rPr>
                  <w:rFonts w:ascii="Calibri" w:hAnsi="Calibri" w:eastAsia="Microsoft YaHei"/>
                  <w:color w:val="008C95"/>
                  <w:u w:val="single"/>
                </w:rPr>
                <w:t>打开原始来源 ↗</w:t>
              </w:r>
            </w:hyperlink>
          </w:p>
        </w:tc>
      </w:tr>
      <w:tr>
        <w:trPr>
          <w:cantSplit/>
        </w:trPr>
        <w:tc>
          <w:tcPr>
            <w:tcW w:type="dxa" w:w="850"/>
          </w:tcPr>
          <w:p>
            <w:pPr>
              <w:keepLines/>
              <w:spacing w:after="0" w:line="276" w:lineRule="auto"/>
            </w:pPr>
            <w:r>
              <w:rPr>
                <w:rFonts w:ascii="Calibri" w:hAnsi="Calibri" w:eastAsia="Microsoft YaHei"/>
                <w:color w:val="0B2545"/>
                <w:sz w:val="14"/>
              </w:rPr>
              <w:t>软件</w:t>
            </w:r>
          </w:p>
        </w:tc>
        <w:tc>
          <w:tcPr>
            <w:tcW w:type="dxa" w:w="2500"/>
          </w:tcPr>
          <w:p>
            <w:pPr>
              <w:keepLines/>
              <w:spacing w:after="0" w:line="276" w:lineRule="auto"/>
            </w:pPr>
            <w:r>
              <w:rPr>
                <w:rFonts w:ascii="Calibri" w:hAnsi="Calibri" w:eastAsia="Microsoft YaHei"/>
                <w:color w:val="0B2545"/>
                <w:sz w:val="14"/>
              </w:rPr>
              <w:t>装置专有分析/标定软件</w:t>
            </w:r>
          </w:p>
        </w:tc>
        <w:tc>
          <w:tcPr>
            <w:tcW w:type="dxa" w:w="1600"/>
          </w:tcPr>
          <w:p>
            <w:pPr>
              <w:keepLines/>
              <w:spacing w:after="0" w:line="276" w:lineRule="auto"/>
            </w:pPr>
            <w:r>
              <w:rPr>
                <w:rFonts w:ascii="Calibri" w:hAnsi="Calibri" w:eastAsia="Microsoft YaHei"/>
                <w:color w:val="0B2545"/>
                <w:sz w:val="14"/>
              </w:rPr>
              <w:t>not-public</w:t>
            </w:r>
          </w:p>
        </w:tc>
        <w:tc>
          <w:tcPr>
            <w:tcW w:type="dxa" w:w="2300"/>
          </w:tcPr>
          <w:p>
            <w:pPr>
              <w:keepLines/>
              <w:spacing w:after="0" w:line="276" w:lineRule="auto"/>
            </w:pPr>
            <w:r>
              <w:rPr>
                <w:rFonts w:ascii="Calibri" w:hAnsi="Calibri" w:eastAsia="Microsoft YaHei"/>
                <w:color w:val="0B2545"/>
                <w:sz w:val="14"/>
              </w:rPr>
              <w:t>气动控制和活度分析生产代码未公开。</w:t>
            </w:r>
          </w:p>
        </w:tc>
        <w:tc>
          <w:tcPr>
            <w:tcW w:type="dxa" w:w="2110"/>
          </w:tcPr>
          <w:p>
            <w:pPr>
              <w:keepLines/>
              <w:spacing w:after="0" w:line="276" w:lineRule="auto"/>
            </w:pPr>
            <w:r>
              <w:rPr>
                <w:rFonts w:ascii="Calibri" w:hAnsi="Calibri" w:eastAsia="Microsoft YaHei"/>
                <w:color w:val="0B2545"/>
                <w:sz w:val="14"/>
              </w:rPr>
              <w:t>未公开</w:t>
            </w:r>
          </w:p>
        </w:tc>
      </w:tr>
    </w:tbl>
    <w:p>
      <w:pPr>
        <w:spacing w:before="0" w:after="60"/>
      </w:pPr>
    </w:p>
    <w:p>
      <w:pPr>
        <w:pStyle w:val="Heading3"/>
        <w:keepNext/>
      </w:pPr>
      <w:r>
        <w:t>DG5.06  伽马射线能谱：快离子核反应与逃逸电子</w:t>
      </w:r>
    </w:p>
    <w:p>
      <w:pPr>
        <w:keepNext/>
        <w:spacing w:after="80"/>
      </w:pPr>
      <w:r>
        <w:rPr>
          <w:rFonts w:ascii="Calibri" w:hAnsi="Calibri" w:eastAsia="Microsoft YaHei"/>
          <w:i/>
          <w:color w:val="566573"/>
          <w:sz w:val="18"/>
        </w:rPr>
        <w:t>Gamma-ray spectroscopy for fast-ion nuclear reactions</w:t>
      </w:r>
    </w:p>
    <w:tbl>
      <w:tblPr>
        <w:tblStyle w:val="TableGrid"/>
        <w:tblW w:type="dxa" w:w="9360"/>
        <w:jc w:val="left"/>
        <w:tblLayout w:type="fixed"/>
        <w:tblLook w:firstColumn="1" w:firstRow="1" w:lastColumn="0" w:lastRow="0" w:noHBand="0" w:noVBand="1" w:val="04A0"/>
        <w:tblInd w:w="120" w:type="dxa"/>
      </w:tblPr>
      <w:tblGrid>
        <w:gridCol w:w="1200"/>
        <w:gridCol w:w="750"/>
        <w:gridCol w:w="750"/>
        <w:gridCol w:w="2100"/>
        <w:gridCol w:w="4560"/>
      </w:tblGrid>
      <w:tr>
        <w:trPr>
          <w:tblHeader w:val="true"/>
        </w:trPr>
        <w:tc>
          <w:tcPr>
            <w:tcW w:type="dxa" w:w="12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工作 ID</w:t>
            </w:r>
          </w:p>
        </w:tc>
        <w:tc>
          <w:tcPr>
            <w:tcW w:type="dxa" w:w="7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证据</w:t>
            </w:r>
          </w:p>
        </w:tc>
        <w:tc>
          <w:tcPr>
            <w:tcW w:type="dxa" w:w="7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部署</w:t>
            </w:r>
          </w:p>
        </w:tc>
        <w:tc>
          <w:tcPr>
            <w:tcW w:type="dxa" w:w="21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技术族</w:t>
            </w:r>
          </w:p>
        </w:tc>
        <w:tc>
          <w:tcPr>
            <w:tcW w:type="dxa" w:w="456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装置</w:t>
            </w:r>
          </w:p>
        </w:tc>
      </w:tr>
      <w:tr>
        <w:trPr>
          <w:cantSplit/>
        </w:trPr>
        <w:tc>
          <w:tcPr>
            <w:tcW w:type="dxa" w:w="1200"/>
          </w:tcPr>
          <w:p>
            <w:pPr>
              <w:keepLines/>
              <w:spacing w:after="0" w:line="276" w:lineRule="auto"/>
            </w:pPr>
            <w:r>
              <w:rPr>
                <w:rFonts w:ascii="Calibri" w:hAnsi="Calibri" w:eastAsia="Microsoft YaHei"/>
                <w:color w:val="0B2545"/>
                <w:sz w:val="15"/>
              </w:rPr>
              <w:t>DG5-025</w:t>
            </w:r>
          </w:p>
        </w:tc>
        <w:tc>
          <w:tcPr>
            <w:tcW w:type="dxa" w:w="750"/>
          </w:tcPr>
          <w:p>
            <w:pPr>
              <w:keepLines/>
              <w:spacing w:after="0" w:line="276" w:lineRule="auto"/>
            </w:pPr>
            <w:r>
              <w:rPr>
                <w:rFonts w:ascii="Calibri" w:hAnsi="Calibri" w:eastAsia="Microsoft YaHei"/>
                <w:color w:val="0B2545"/>
                <w:sz w:val="15"/>
              </w:rPr>
              <w:t>E4</w:t>
            </w:r>
          </w:p>
        </w:tc>
        <w:tc>
          <w:tcPr>
            <w:tcW w:type="dxa" w:w="750"/>
          </w:tcPr>
          <w:p>
            <w:pPr>
              <w:keepLines/>
              <w:spacing w:after="0" w:line="276" w:lineRule="auto"/>
            </w:pPr>
            <w:r>
              <w:rPr>
                <w:rFonts w:ascii="Calibri" w:hAnsi="Calibri" w:eastAsia="Microsoft YaHei"/>
                <w:color w:val="0B2545"/>
                <w:sz w:val="15"/>
              </w:rPr>
              <w:t>D4</w:t>
            </w:r>
          </w:p>
        </w:tc>
        <w:tc>
          <w:tcPr>
            <w:tcW w:type="dxa" w:w="2100"/>
          </w:tcPr>
          <w:p>
            <w:pPr>
              <w:keepLines/>
              <w:spacing w:after="0" w:line="276" w:lineRule="auto"/>
            </w:pPr>
            <w:r>
              <w:rPr>
                <w:rFonts w:ascii="Calibri" w:hAnsi="Calibri" w:eastAsia="Microsoft YaHei"/>
                <w:color w:val="0B2545"/>
                <w:sz w:val="15"/>
              </w:rPr>
              <w:t>NUCLEAR_PARTICLE</w:t>
            </w:r>
          </w:p>
        </w:tc>
        <w:tc>
          <w:tcPr>
            <w:tcW w:type="dxa" w:w="4560"/>
          </w:tcPr>
          <w:p>
            <w:pPr>
              <w:keepLines/>
              <w:spacing w:after="0" w:line="276" w:lineRule="auto"/>
            </w:pPr>
            <w:r>
              <w:rPr>
                <w:rFonts w:ascii="Calibri" w:hAnsi="Calibri" w:eastAsia="Microsoft YaHei"/>
                <w:color w:val="0B2545"/>
                <w:sz w:val="15"/>
              </w:rPr>
              <w:t>JET；ITER relevance</w:t>
            </w:r>
          </w:p>
        </w:tc>
      </w:tr>
    </w:tbl>
    <w:p>
      <w:pPr>
        <w:spacing w:before="0" w:after="60"/>
      </w:pPr>
    </w:p>
    <w:p>
      <w:pPr>
        <w:widowControl/>
      </w:pPr>
      <w:r>
        <w:rPr>
          <w:rFonts w:ascii="Calibri" w:hAnsi="Calibri" w:eastAsia="Microsoft YaHei"/>
          <w:b/>
          <w:color w:val="1F4D78"/>
        </w:rPr>
        <w:t>解决问题：</w:t>
      </w:r>
      <w:r>
        <w:rPr>
          <w:rFonts w:ascii="Calibri" w:hAnsi="Calibri" w:eastAsia="Microsoft YaHei"/>
        </w:rPr>
        <w:t>利用特征核伽马线诊断高能离子反应、快离子分布和燃料反应通道。</w:t>
      </w:r>
    </w:p>
    <w:p>
      <w:pPr>
        <w:widowControl/>
      </w:pPr>
      <w:r>
        <w:rPr>
          <w:rFonts w:ascii="Calibri" w:hAnsi="Calibri" w:eastAsia="Microsoft YaHei"/>
          <w:b/>
          <w:color w:val="1F4D78"/>
        </w:rPr>
        <w:t>测量原理：</w:t>
      </w:r>
      <w:r>
        <w:rPr>
          <w:rFonts w:ascii="Calibri" w:hAnsi="Calibri" w:eastAsia="Microsoft YaHei"/>
        </w:rPr>
        <w:t>快离子与杂质/燃料发生核反应产生特征伽马；能量和多普勒展宽编码反应与离子运动。</w:t>
      </w:r>
    </w:p>
    <w:p>
      <w:pPr>
        <w:widowControl/>
      </w:pPr>
      <w:r>
        <w:rPr>
          <w:rFonts w:ascii="Calibri" w:hAnsi="Calibri" w:eastAsia="Microsoft YaHei"/>
          <w:b/>
          <w:color w:val="1F4D78"/>
        </w:rPr>
        <w:t>测量产品：</w:t>
      </w:r>
      <w:r>
        <w:rPr>
          <w:rFonts w:ascii="Calibri" w:hAnsi="Calibri" w:eastAsia="Microsoft YaHei"/>
        </w:rPr>
        <w:t>gamma spectrum；fast-ion reaction rate；energetic-ion distribution proxy</w:t>
      </w:r>
    </w:p>
    <w:p>
      <w:pPr>
        <w:widowControl/>
      </w:pPr>
      <w:r>
        <w:rPr>
          <w:rFonts w:ascii="Calibri" w:hAnsi="Calibri" w:eastAsia="Microsoft YaHei"/>
          <w:b/>
          <w:color w:val="1F4D78"/>
        </w:rPr>
        <w:t>时空分辨与覆盖：</w:t>
      </w:r>
      <w:r>
        <w:rPr>
          <w:rFonts w:ascii="Calibri" w:hAnsi="Calibri" w:eastAsia="Microsoft YaHei"/>
        </w:rPr>
        <w:t>时间：因装置、采集和分析链而异；原始来源未给出统一数值。；空间：由视线、几何和反演设定；原始来源未给出统一数值。</w:t>
      </w:r>
    </w:p>
    <w:p>
      <w:pPr>
        <w:widowControl/>
      </w:pPr>
      <w:r>
        <w:rPr>
          <w:rFonts w:ascii="Calibri" w:hAnsi="Calibri" w:eastAsia="Microsoft YaHei"/>
          <w:b/>
          <w:color w:val="1F4D78"/>
        </w:rPr>
        <w:t>仪器与传感器：</w:t>
      </w:r>
      <w:r>
        <w:rPr>
          <w:rFonts w:ascii="Calibri" w:hAnsi="Calibri" w:eastAsia="Microsoft YaHei"/>
        </w:rPr>
        <w:t>LaBr3/BGO/HPGe detectors；collimators；pulse-height electronics；neutron shielding</w:t>
      </w:r>
    </w:p>
    <w:p>
      <w:pPr>
        <w:widowControl/>
      </w:pPr>
      <w:r>
        <w:rPr>
          <w:rFonts w:ascii="Calibri" w:hAnsi="Calibri" w:eastAsia="Microsoft YaHei"/>
          <w:b/>
          <w:color w:val="1F4D78"/>
        </w:rPr>
        <w:t>标定与质量：</w:t>
      </w:r>
      <w:r>
        <w:rPr>
          <w:rFonts w:ascii="Calibri" w:hAnsi="Calibri" w:eastAsia="Microsoft YaHei"/>
        </w:rPr>
        <w:t>标准伽马源校准能量/效率/非线性；以蒙特卡洛评估中子诱发背景和屏蔽。</w:t>
      </w:r>
    </w:p>
    <w:p>
      <w:pPr>
        <w:widowControl/>
      </w:pPr>
      <w:r>
        <w:rPr>
          <w:rFonts w:ascii="Calibri" w:hAnsi="Calibri" w:eastAsia="Microsoft YaHei"/>
          <w:b/>
          <w:color w:val="1F4D78"/>
        </w:rPr>
        <w:t>反演与分析：</w:t>
      </w:r>
      <w:r>
        <w:rPr>
          <w:rFonts w:ascii="Calibri" w:hAnsi="Calibri" w:eastAsia="Microsoft YaHei"/>
        </w:rPr>
        <w:t>死时间/堆积修正，峰形和核反应前向模型拟合；与中子谱/FIDA联合约束。</w:t>
      </w:r>
    </w:p>
    <w:p>
      <w:pPr>
        <w:widowControl/>
      </w:pPr>
      <w:r>
        <w:rPr>
          <w:rFonts w:ascii="Calibri" w:hAnsi="Calibri" w:eastAsia="Microsoft YaHei"/>
          <w:b/>
          <w:color w:val="1F4D78"/>
        </w:rPr>
        <w:t>验证与应用：</w:t>
      </w:r>
      <w:r>
        <w:rPr>
          <w:rFonts w:ascii="Calibri" w:hAnsi="Calibri" w:eastAsia="Microsoft YaHei"/>
        </w:rPr>
        <w:t>JET 装置常规伽马谱测量在 ICRH/NBI 和 D-T 场景中与已知反应、快离子诊断及总中子率交叉。</w:t>
      </w:r>
    </w:p>
    <w:p>
      <w:pPr>
        <w:widowControl/>
      </w:pPr>
      <w:r>
        <w:rPr>
          <w:rFonts w:ascii="Calibri" w:hAnsi="Calibri" w:eastAsia="Microsoft YaHei"/>
          <w:b/>
          <w:color w:val="1F4D78"/>
        </w:rPr>
        <w:t>局限与边界：</w:t>
      </w:r>
      <w:r>
        <w:rPr>
          <w:rFonts w:ascii="Calibri" w:hAnsi="Calibri" w:eastAsia="Microsoft YaHei"/>
        </w:rPr>
        <w:t>中子背景、峰重叠、低效率和核截面误差限制时间/空间分辨。</w:t>
      </w:r>
    </w:p>
    <w:tbl>
      <w:tblPr>
        <w:tblStyle w:val="TableGrid"/>
        <w:tblW w:type="dxa" w:w="9360"/>
        <w:jc w:val="left"/>
        <w:tblLayout w:type="fixed"/>
        <w:tblLook w:firstColumn="1" w:firstRow="1" w:lastColumn="0" w:lastRow="0" w:noHBand="0" w:noVBand="1" w:val="04A0"/>
        <w:tblInd w:w="120" w:type="dxa"/>
      </w:tblPr>
      <w:tblGrid>
        <w:gridCol w:w="9360"/>
      </w:tblGrid>
      <w:tr>
        <w:trPr>
          <w:cantSplit/>
        </w:trPr>
        <w:tc>
          <w:tcPr>
            <w:tcW w:type="dxa" w:w="9360"/>
            <w:tcMar>
              <w:top w:w="80" w:type="dxa"/>
              <w:bottom w:w="80" w:type="dxa"/>
              <w:start w:w="120" w:type="dxa"/>
              <w:end w:w="120" w:type="dxa"/>
            </w:tcMar>
            <w:vAlign w:val="center"/>
            <w:shd w:fill="EEF7F7"/>
          </w:tcPr>
          <w:p>
            <w:pPr>
              <w:keepNext/>
              <w:keepLines/>
              <w:spacing w:after="40"/>
            </w:pPr>
            <w:r>
              <w:rPr>
                <w:rFonts w:ascii="Calibri" w:hAnsi="Calibri" w:eastAsia="Microsoft YaHei"/>
                <w:b/>
                <w:color w:val="008C95"/>
                <w:sz w:val="17"/>
              </w:rPr>
              <w:t>DIGITAL-TWIN RELEVANCE</w:t>
            </w:r>
          </w:p>
          <w:p>
            <w:pPr>
              <w:spacing w:after="0"/>
            </w:pPr>
            <w:r>
              <w:rPr>
                <w:rFonts w:ascii="Calibri" w:hAnsi="Calibri" w:eastAsia="Microsoft YaHei"/>
                <w:color w:val="0B2545"/>
                <w:sz w:val="20"/>
              </w:rPr>
              <w:t>为快离子孪生增加核反应特异性，但必须带探测器响应与背景模型。</w:t>
            </w:r>
          </w:p>
        </w:tc>
      </w:tr>
    </w:tbl>
    <w:p>
      <w:pPr>
        <w:spacing w:after="40"/>
      </w:pPr>
    </w:p>
    <w:tbl>
      <w:tblPr>
        <w:tblStyle w:val="TableGrid"/>
        <w:tblW w:type="dxa" w:w="9360"/>
        <w:jc w:val="left"/>
        <w:tblLayout w:type="fixed"/>
        <w:tblLook w:firstColumn="1" w:firstRow="1" w:lastColumn="0" w:lastRow="0" w:noHBand="0" w:noVBand="1" w:val="04A0"/>
        <w:tblInd w:w="120" w:type="dxa"/>
      </w:tblPr>
      <w:tblGrid>
        <w:gridCol w:w="850"/>
        <w:gridCol w:w="2500"/>
        <w:gridCol w:w="1600"/>
        <w:gridCol w:w="2300"/>
        <w:gridCol w:w="2110"/>
      </w:tblGrid>
      <w:tr>
        <w:trPr>
          <w:tblHeader w:val="true"/>
        </w:trPr>
        <w:tc>
          <w:tcPr>
            <w:tcW w:type="dxa" w:w="8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年份/类型</w:t>
            </w:r>
          </w:p>
        </w:tc>
        <w:tc>
          <w:tcPr>
            <w:tcW w:type="dxa" w:w="25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论文或软件</w:t>
            </w:r>
          </w:p>
        </w:tc>
        <w:tc>
          <w:tcPr>
            <w:tcW w:type="dxa" w:w="16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期刊/开放性</w:t>
            </w:r>
          </w:p>
        </w:tc>
        <w:tc>
          <w:tcPr>
            <w:tcW w:type="dxa" w:w="23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来源类型/关系</w:t>
            </w:r>
          </w:p>
        </w:tc>
        <w:tc>
          <w:tcPr>
            <w:tcW w:type="dxa" w:w="211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链接</w:t>
            </w:r>
          </w:p>
        </w:tc>
      </w:tr>
      <w:tr>
        <w:trPr>
          <w:cantSplit/>
        </w:trPr>
        <w:tc>
          <w:tcPr>
            <w:tcW w:type="dxa" w:w="850"/>
          </w:tcPr>
          <w:p>
            <w:pPr>
              <w:keepLines/>
              <w:spacing w:after="0" w:line="276" w:lineRule="auto"/>
            </w:pPr>
            <w:r>
              <w:rPr>
                <w:rFonts w:ascii="Calibri" w:hAnsi="Calibri" w:eastAsia="Microsoft YaHei"/>
                <w:color w:val="0B2545"/>
                <w:sz w:val="14"/>
              </w:rPr>
              <w:t>2013</w:t>
            </w:r>
          </w:p>
        </w:tc>
        <w:tc>
          <w:tcPr>
            <w:tcW w:type="dxa" w:w="2500"/>
          </w:tcPr>
          <w:p>
            <w:pPr>
              <w:keepLines/>
              <w:spacing w:after="0" w:line="276" w:lineRule="auto"/>
            </w:pPr>
            <w:r>
              <w:rPr>
                <w:rFonts w:ascii="Calibri" w:hAnsi="Calibri" w:eastAsia="Microsoft YaHei"/>
                <w:color w:val="0B2545"/>
                <w:sz w:val="14"/>
              </w:rPr>
              <w:t>Definition of the radiation fields for the JET gamma-ray spectrometer diagnostics</w:t>
            </w:r>
          </w:p>
        </w:tc>
        <w:tc>
          <w:tcPr>
            <w:tcW w:type="dxa" w:w="1600"/>
          </w:tcPr>
          <w:p>
            <w:pPr>
              <w:keepLines/>
              <w:spacing w:after="0" w:line="276" w:lineRule="auto"/>
            </w:pPr>
            <w:r>
              <w:rPr>
                <w:rFonts w:ascii="Calibri" w:hAnsi="Calibri" w:eastAsia="Microsoft YaHei"/>
                <w:color w:val="0B2545"/>
                <w:sz w:val="14"/>
              </w:rPr>
              <w:t>Fusion Engineering and Design</w:t>
            </w:r>
          </w:p>
        </w:tc>
        <w:tc>
          <w:tcPr>
            <w:tcW w:type="dxa" w:w="2300"/>
          </w:tcPr>
          <w:p>
            <w:pPr>
              <w:keepLines/>
              <w:spacing w:after="0" w:line="276" w:lineRule="auto"/>
            </w:pPr>
            <w:r>
              <w:rPr>
                <w:rFonts w:ascii="Calibri" w:hAnsi="Calibri" w:eastAsia="Microsoft YaHei"/>
                <w:color w:val="0B2545"/>
                <w:sz w:val="14"/>
              </w:rPr>
              <w:t>peer-reviewed-journal</w:t>
            </w:r>
          </w:p>
        </w:tc>
        <w:tc>
          <w:tcPr>
            <w:tcW w:type="dxa" w:w="2110"/>
          </w:tcPr>
          <w:p>
            <w:pPr>
              <w:keepLines/>
              <w:spacing w:after="0" w:line="276" w:lineRule="auto"/>
            </w:pPr>
            <w:hyperlink r:id="rId94">
              <w:r>
                <w:rPr>
                  <w:rFonts w:ascii="Calibri" w:hAnsi="Calibri" w:eastAsia="Microsoft YaHei"/>
                  <w:color w:val="008C95"/>
                  <w:u w:val="single"/>
                </w:rPr>
                <w:t>打开原始来源 ↗</w:t>
              </w:r>
            </w:hyperlink>
          </w:p>
        </w:tc>
      </w:tr>
      <w:tr>
        <w:trPr>
          <w:cantSplit/>
        </w:trPr>
        <w:tc>
          <w:tcPr>
            <w:tcW w:type="dxa" w:w="850"/>
          </w:tcPr>
          <w:p>
            <w:pPr>
              <w:keepLines/>
              <w:spacing w:after="0" w:line="276" w:lineRule="auto"/>
            </w:pPr>
            <w:r>
              <w:rPr>
                <w:rFonts w:ascii="Calibri" w:hAnsi="Calibri" w:eastAsia="Microsoft YaHei"/>
                <w:color w:val="0B2545"/>
                <w:sz w:val="14"/>
              </w:rPr>
              <w:t>软件</w:t>
            </w:r>
          </w:p>
        </w:tc>
        <w:tc>
          <w:tcPr>
            <w:tcW w:type="dxa" w:w="2500"/>
          </w:tcPr>
          <w:p>
            <w:pPr>
              <w:keepLines/>
              <w:spacing w:after="0" w:line="276" w:lineRule="auto"/>
            </w:pPr>
            <w:r>
              <w:rPr>
                <w:rFonts w:ascii="Calibri" w:hAnsi="Calibri" w:eastAsia="Microsoft YaHei"/>
                <w:color w:val="0B2545"/>
                <w:sz w:val="14"/>
              </w:rPr>
              <w:t>Geant4</w:t>
            </w:r>
          </w:p>
        </w:tc>
        <w:tc>
          <w:tcPr>
            <w:tcW w:type="dxa" w:w="1600"/>
          </w:tcPr>
          <w:p>
            <w:pPr>
              <w:keepLines/>
              <w:spacing w:after="0" w:line="276" w:lineRule="auto"/>
            </w:pPr>
            <w:r>
              <w:rPr>
                <w:rFonts w:ascii="Calibri" w:hAnsi="Calibri" w:eastAsia="Microsoft YaHei"/>
                <w:color w:val="0B2545"/>
                <w:sz w:val="14"/>
              </w:rPr>
              <w:t>official-enabling</w:t>
            </w:r>
          </w:p>
        </w:tc>
        <w:tc>
          <w:tcPr>
            <w:tcW w:type="dxa" w:w="2300"/>
          </w:tcPr>
          <w:p>
            <w:pPr>
              <w:keepLines/>
              <w:spacing w:after="0" w:line="276" w:lineRule="auto"/>
            </w:pPr>
            <w:r>
              <w:rPr>
                <w:rFonts w:ascii="Calibri" w:hAnsi="Calibri" w:eastAsia="Microsoft YaHei"/>
                <w:color w:val="0B2545"/>
                <w:sz w:val="14"/>
              </w:rPr>
              <w:t>探测器效率、屏蔽和背景响应。</w:t>
            </w:r>
          </w:p>
        </w:tc>
        <w:tc>
          <w:tcPr>
            <w:tcW w:type="dxa" w:w="2110"/>
          </w:tcPr>
          <w:p>
            <w:pPr>
              <w:keepLines/>
              <w:spacing w:after="0" w:line="276" w:lineRule="auto"/>
            </w:pPr>
            <w:hyperlink r:id="rId85">
              <w:r>
                <w:rPr>
                  <w:rFonts w:ascii="Calibri" w:hAnsi="Calibri" w:eastAsia="Microsoft YaHei"/>
                  <w:color w:val="008C95"/>
                  <w:u w:val="single"/>
                </w:rPr>
                <w:t>打开原始来源 ↗</w:t>
              </w:r>
            </w:hyperlink>
          </w:p>
        </w:tc>
      </w:tr>
      <w:tr>
        <w:trPr>
          <w:cantSplit/>
        </w:trPr>
        <w:tc>
          <w:tcPr>
            <w:tcW w:type="dxa" w:w="850"/>
          </w:tcPr>
          <w:p>
            <w:pPr>
              <w:keepLines/>
              <w:spacing w:after="0" w:line="276" w:lineRule="auto"/>
            </w:pPr>
            <w:r>
              <w:rPr>
                <w:rFonts w:ascii="Calibri" w:hAnsi="Calibri" w:eastAsia="Microsoft YaHei"/>
                <w:color w:val="0B2545"/>
                <w:sz w:val="14"/>
              </w:rPr>
              <w:t>软件</w:t>
            </w:r>
          </w:p>
        </w:tc>
        <w:tc>
          <w:tcPr>
            <w:tcW w:type="dxa" w:w="2500"/>
          </w:tcPr>
          <w:p>
            <w:pPr>
              <w:keepLines/>
              <w:spacing w:after="0" w:line="276" w:lineRule="auto"/>
            </w:pPr>
            <w:r>
              <w:rPr>
                <w:rFonts w:ascii="Calibri" w:hAnsi="Calibri" w:eastAsia="Microsoft YaHei"/>
                <w:color w:val="0B2545"/>
                <w:sz w:val="14"/>
              </w:rPr>
              <w:t>装置专有分析/标定软件</w:t>
            </w:r>
          </w:p>
        </w:tc>
        <w:tc>
          <w:tcPr>
            <w:tcW w:type="dxa" w:w="1600"/>
          </w:tcPr>
          <w:p>
            <w:pPr>
              <w:keepLines/>
              <w:spacing w:after="0" w:line="276" w:lineRule="auto"/>
            </w:pPr>
            <w:r>
              <w:rPr>
                <w:rFonts w:ascii="Calibri" w:hAnsi="Calibri" w:eastAsia="Microsoft YaHei"/>
                <w:color w:val="0B2545"/>
                <w:sz w:val="14"/>
              </w:rPr>
              <w:t>not-public</w:t>
            </w:r>
          </w:p>
        </w:tc>
        <w:tc>
          <w:tcPr>
            <w:tcW w:type="dxa" w:w="2300"/>
          </w:tcPr>
          <w:p>
            <w:pPr>
              <w:keepLines/>
              <w:spacing w:after="0" w:line="276" w:lineRule="auto"/>
            </w:pPr>
            <w:r>
              <w:rPr>
                <w:rFonts w:ascii="Calibri" w:hAnsi="Calibri" w:eastAsia="Microsoft YaHei"/>
                <w:color w:val="0B2545"/>
                <w:sz w:val="14"/>
              </w:rPr>
              <w:t>JET峰拟合/核反应反演未公开。</w:t>
            </w:r>
          </w:p>
        </w:tc>
        <w:tc>
          <w:tcPr>
            <w:tcW w:type="dxa" w:w="2110"/>
          </w:tcPr>
          <w:p>
            <w:pPr>
              <w:keepLines/>
              <w:spacing w:after="0" w:line="276" w:lineRule="auto"/>
            </w:pPr>
            <w:r>
              <w:rPr>
                <w:rFonts w:ascii="Calibri" w:hAnsi="Calibri" w:eastAsia="Microsoft YaHei"/>
                <w:color w:val="0B2545"/>
                <w:sz w:val="14"/>
              </w:rPr>
              <w:t>未公开</w:t>
            </w:r>
          </w:p>
        </w:tc>
      </w:tr>
    </w:tbl>
    <w:p>
      <w:pPr>
        <w:spacing w:before="0" w:after="60"/>
      </w:pPr>
    </w:p>
    <w:p>
      <w:pPr>
        <w:pStyle w:val="Heading3"/>
        <w:keepNext/>
      </w:pPr>
      <w:r>
        <w:t>DG5.07  FIDA与成像FIDA：快离子相空间</w:t>
      </w:r>
    </w:p>
    <w:p>
      <w:pPr>
        <w:keepNext/>
        <w:spacing w:after="80"/>
      </w:pPr>
      <w:r>
        <w:rPr>
          <w:rFonts w:ascii="Calibri" w:hAnsi="Calibri" w:eastAsia="Microsoft YaHei"/>
          <w:i/>
          <w:color w:val="566573"/>
          <w:sz w:val="18"/>
        </w:rPr>
        <w:t>FIDA and imaging FIDA for fast-ion phase space</w:t>
      </w:r>
    </w:p>
    <w:tbl>
      <w:tblPr>
        <w:tblStyle w:val="TableGrid"/>
        <w:tblW w:type="dxa" w:w="9360"/>
        <w:jc w:val="left"/>
        <w:tblLayout w:type="fixed"/>
        <w:tblLook w:firstColumn="1" w:firstRow="1" w:lastColumn="0" w:lastRow="0" w:noHBand="0" w:noVBand="1" w:val="04A0"/>
        <w:tblInd w:w="120" w:type="dxa"/>
      </w:tblPr>
      <w:tblGrid>
        <w:gridCol w:w="1200"/>
        <w:gridCol w:w="750"/>
        <w:gridCol w:w="750"/>
        <w:gridCol w:w="2100"/>
        <w:gridCol w:w="4560"/>
      </w:tblGrid>
      <w:tr>
        <w:trPr>
          <w:tblHeader w:val="true"/>
        </w:trPr>
        <w:tc>
          <w:tcPr>
            <w:tcW w:type="dxa" w:w="12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工作 ID</w:t>
            </w:r>
          </w:p>
        </w:tc>
        <w:tc>
          <w:tcPr>
            <w:tcW w:type="dxa" w:w="7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证据</w:t>
            </w:r>
          </w:p>
        </w:tc>
        <w:tc>
          <w:tcPr>
            <w:tcW w:type="dxa" w:w="7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部署</w:t>
            </w:r>
          </w:p>
        </w:tc>
        <w:tc>
          <w:tcPr>
            <w:tcW w:type="dxa" w:w="21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技术族</w:t>
            </w:r>
          </w:p>
        </w:tc>
        <w:tc>
          <w:tcPr>
            <w:tcW w:type="dxa" w:w="456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装置</w:t>
            </w:r>
          </w:p>
        </w:tc>
      </w:tr>
      <w:tr>
        <w:trPr>
          <w:cantSplit/>
        </w:trPr>
        <w:tc>
          <w:tcPr>
            <w:tcW w:type="dxa" w:w="1200"/>
          </w:tcPr>
          <w:p>
            <w:pPr>
              <w:keepLines/>
              <w:spacing w:after="0" w:line="276" w:lineRule="auto"/>
            </w:pPr>
            <w:r>
              <w:rPr>
                <w:rFonts w:ascii="Calibri" w:hAnsi="Calibri" w:eastAsia="Microsoft YaHei"/>
                <w:color w:val="0B2545"/>
                <w:sz w:val="15"/>
              </w:rPr>
              <w:t>DG5-026</w:t>
            </w:r>
          </w:p>
        </w:tc>
        <w:tc>
          <w:tcPr>
            <w:tcW w:type="dxa" w:w="750"/>
          </w:tcPr>
          <w:p>
            <w:pPr>
              <w:keepLines/>
              <w:spacing w:after="0" w:line="276" w:lineRule="auto"/>
            </w:pPr>
            <w:r>
              <w:rPr>
                <w:rFonts w:ascii="Calibri" w:hAnsi="Calibri" w:eastAsia="Microsoft YaHei"/>
                <w:color w:val="0B2545"/>
                <w:sz w:val="15"/>
              </w:rPr>
              <w:t>E4</w:t>
            </w:r>
          </w:p>
        </w:tc>
        <w:tc>
          <w:tcPr>
            <w:tcW w:type="dxa" w:w="750"/>
          </w:tcPr>
          <w:p>
            <w:pPr>
              <w:keepLines/>
              <w:spacing w:after="0" w:line="276" w:lineRule="auto"/>
            </w:pPr>
            <w:r>
              <w:rPr>
                <w:rFonts w:ascii="Calibri" w:hAnsi="Calibri" w:eastAsia="Microsoft YaHei"/>
                <w:color w:val="0B2545"/>
                <w:sz w:val="15"/>
              </w:rPr>
              <w:t>D4</w:t>
            </w:r>
          </w:p>
        </w:tc>
        <w:tc>
          <w:tcPr>
            <w:tcW w:type="dxa" w:w="2100"/>
          </w:tcPr>
          <w:p>
            <w:pPr>
              <w:keepLines/>
              <w:spacing w:after="0" w:line="276" w:lineRule="auto"/>
            </w:pPr>
            <w:r>
              <w:rPr>
                <w:rFonts w:ascii="Calibri" w:hAnsi="Calibri" w:eastAsia="Microsoft YaHei"/>
                <w:color w:val="0B2545"/>
                <w:sz w:val="15"/>
              </w:rPr>
              <w:t>OPTICAL</w:t>
            </w:r>
          </w:p>
        </w:tc>
        <w:tc>
          <w:tcPr>
            <w:tcW w:type="dxa" w:w="4560"/>
          </w:tcPr>
          <w:p>
            <w:pPr>
              <w:keepLines/>
              <w:spacing w:after="0" w:line="276" w:lineRule="auto"/>
            </w:pPr>
            <w:r>
              <w:rPr>
                <w:rFonts w:ascii="Calibri" w:hAnsi="Calibri" w:eastAsia="Microsoft YaHei"/>
                <w:color w:val="0B2545"/>
                <w:sz w:val="15"/>
              </w:rPr>
              <w:t>DIII-D；MAST；ASDEX Upgrade；LHD</w:t>
            </w:r>
          </w:p>
        </w:tc>
      </w:tr>
    </w:tbl>
    <w:p>
      <w:pPr>
        <w:spacing w:before="0" w:after="60"/>
      </w:pPr>
    </w:p>
    <w:p>
      <w:pPr>
        <w:widowControl/>
      </w:pPr>
      <w:r>
        <w:rPr>
          <w:rFonts w:ascii="Calibri" w:hAnsi="Calibri" w:eastAsia="Microsoft YaHei"/>
          <w:b/>
          <w:color w:val="1F4D78"/>
        </w:rPr>
        <w:t>解决问题：</w:t>
      </w:r>
      <w:r>
        <w:rPr>
          <w:rFonts w:ascii="Calibri" w:hAnsi="Calibri" w:eastAsia="Microsoft YaHei"/>
        </w:rPr>
        <w:t>测量中性束快离子分布、再分布和损失前兆。</w:t>
      </w:r>
    </w:p>
    <w:p>
      <w:pPr>
        <w:widowControl/>
      </w:pPr>
      <w:r>
        <w:rPr>
          <w:rFonts w:ascii="Calibri" w:hAnsi="Calibri" w:eastAsia="Microsoft YaHei"/>
          <w:b/>
          <w:color w:val="1F4D78"/>
        </w:rPr>
        <w:t>测量原理：</w:t>
      </w:r>
      <w:r>
        <w:rPr>
          <w:rFonts w:ascii="Calibri" w:hAnsi="Calibri" w:eastAsia="Microsoft YaHei"/>
        </w:rPr>
        <w:t>快离子电荷交换后发射多普勒位移Dα；波长/视线选择采样速度空间，成像系统增加二维空间。</w:t>
      </w:r>
    </w:p>
    <w:p>
      <w:pPr>
        <w:widowControl/>
      </w:pPr>
      <w:r>
        <w:rPr>
          <w:rFonts w:ascii="Calibri" w:hAnsi="Calibri" w:eastAsia="Microsoft YaHei"/>
          <w:b/>
          <w:color w:val="1F4D78"/>
        </w:rPr>
        <w:t>测量产品：</w:t>
      </w:r>
      <w:r>
        <w:rPr>
          <w:rFonts w:ascii="Calibri" w:hAnsi="Calibri" w:eastAsia="Microsoft YaHei"/>
        </w:rPr>
        <w:t>fast-ion spectral radiance；phase-space projections；redistribution</w:t>
      </w:r>
    </w:p>
    <w:p>
      <w:pPr>
        <w:widowControl/>
      </w:pPr>
      <w:r>
        <w:rPr>
          <w:rFonts w:ascii="Calibri" w:hAnsi="Calibri" w:eastAsia="Microsoft YaHei"/>
          <w:b/>
          <w:color w:val="1F4D78"/>
        </w:rPr>
        <w:t>时空分辨与覆盖：</w:t>
      </w:r>
      <w:r>
        <w:rPr>
          <w:rFonts w:ascii="Calibri" w:hAnsi="Calibri" w:eastAsia="Microsoft YaHei"/>
        </w:rPr>
        <w:t>时间：因装置、采集和分析链而异；原始来源未给出统一数值。；空间：由视线、几何和反演设定；原始来源未给出统一数值。</w:t>
      </w:r>
    </w:p>
    <w:p>
      <w:pPr>
        <w:widowControl/>
      </w:pPr>
      <w:r>
        <w:rPr>
          <w:rFonts w:ascii="Calibri" w:hAnsi="Calibri" w:eastAsia="Microsoft YaHei"/>
          <w:b/>
          <w:color w:val="1F4D78"/>
        </w:rPr>
        <w:t>仪器与传感器：</w:t>
      </w:r>
      <w:r>
        <w:rPr>
          <w:rFonts w:ascii="Calibri" w:hAnsi="Calibri" w:eastAsia="Microsoft YaHei"/>
        </w:rPr>
        <w:t>neutral beam；high-throughput spectrometers；filtered cameras；fiber views</w:t>
      </w:r>
    </w:p>
    <w:p>
      <w:pPr>
        <w:widowControl/>
      </w:pPr>
      <w:r>
        <w:rPr>
          <w:rFonts w:ascii="Calibri" w:hAnsi="Calibri" w:eastAsia="Microsoft YaHei"/>
          <w:b/>
          <w:color w:val="1F4D78"/>
        </w:rPr>
        <w:t>标定与质量：</w:t>
      </w:r>
      <w:r>
        <w:rPr>
          <w:rFonts w:ascii="Calibri" w:hAnsi="Calibri" w:eastAsia="Microsoft YaHei"/>
        </w:rPr>
        <w:t>绝对/相对辐亮度、波长、视线和仪器函数标定；束调制分离主动光并测背景。</w:t>
      </w:r>
    </w:p>
    <w:p>
      <w:pPr>
        <w:widowControl/>
      </w:pPr>
      <w:r>
        <w:rPr>
          <w:rFonts w:ascii="Calibri" w:hAnsi="Calibri" w:eastAsia="Microsoft YaHei"/>
          <w:b/>
          <w:color w:val="1F4D78"/>
        </w:rPr>
        <w:t>反演与分析：</w:t>
      </w:r>
      <w:r>
        <w:rPr>
          <w:rFonts w:ascii="Calibri" w:hAnsi="Calibri" w:eastAsia="Microsoft YaHei"/>
        </w:rPr>
        <w:t>FIDASIM联合束、原子和轨道模型生成权函数；谱拟合或正则反演快离子分布。</w:t>
      </w:r>
    </w:p>
    <w:p>
      <w:pPr>
        <w:widowControl/>
      </w:pPr>
      <w:r>
        <w:rPr>
          <w:rFonts w:ascii="Calibri" w:hAnsi="Calibri" w:eastAsia="Microsoft YaHei"/>
          <w:b/>
          <w:color w:val="1F4D78"/>
        </w:rPr>
        <w:t>验证与应用：</w:t>
      </w:r>
      <w:r>
        <w:rPr>
          <w:rFonts w:ascii="Calibri" w:hAnsi="Calibri" w:eastAsia="Microsoft YaHei"/>
        </w:rPr>
        <w:t>装置上与中子率、NPA、FILD及MHD事件交叉；合成信号闭环验证权函数。</w:t>
      </w:r>
    </w:p>
    <w:p>
      <w:pPr>
        <w:widowControl/>
      </w:pPr>
      <w:r>
        <w:rPr>
          <w:rFonts w:ascii="Calibri" w:hAnsi="Calibri" w:eastAsia="Microsoft YaHei"/>
          <w:b/>
          <w:color w:val="1F4D78"/>
        </w:rPr>
        <w:t>局限与边界：</w:t>
      </w:r>
      <w:r>
        <w:rPr>
          <w:rFonts w:ascii="Calibri" w:hAnsi="Calibri" w:eastAsia="Microsoft YaHei"/>
        </w:rPr>
        <w:t>束发射/被动Dα/杂质重叠；中性密度、halo和相空间稀疏采样造成模型依赖。</w:t>
      </w:r>
    </w:p>
    <w:tbl>
      <w:tblPr>
        <w:tblStyle w:val="TableGrid"/>
        <w:tblW w:type="dxa" w:w="9360"/>
        <w:jc w:val="left"/>
        <w:tblLayout w:type="fixed"/>
        <w:tblLook w:firstColumn="1" w:firstRow="1" w:lastColumn="0" w:lastRow="0" w:noHBand="0" w:noVBand="1" w:val="04A0"/>
        <w:tblInd w:w="120" w:type="dxa"/>
      </w:tblPr>
      <w:tblGrid>
        <w:gridCol w:w="9360"/>
      </w:tblGrid>
      <w:tr>
        <w:trPr>
          <w:cantSplit/>
        </w:trPr>
        <w:tc>
          <w:tcPr>
            <w:tcW w:type="dxa" w:w="9360"/>
            <w:tcMar>
              <w:top w:w="80" w:type="dxa"/>
              <w:bottom w:w="80" w:type="dxa"/>
              <w:start w:w="120" w:type="dxa"/>
              <w:end w:w="120" w:type="dxa"/>
            </w:tcMar>
            <w:vAlign w:val="center"/>
            <w:shd w:fill="EEF7F7"/>
          </w:tcPr>
          <w:p>
            <w:pPr>
              <w:keepNext/>
              <w:keepLines/>
              <w:spacing w:after="40"/>
            </w:pPr>
            <w:r>
              <w:rPr>
                <w:rFonts w:ascii="Calibri" w:hAnsi="Calibri" w:eastAsia="Microsoft YaHei"/>
                <w:b/>
                <w:color w:val="008C95"/>
                <w:sz w:val="17"/>
              </w:rPr>
              <w:t>DIGITAL-TWIN RELEVANCE</w:t>
            </w:r>
          </w:p>
          <w:p>
            <w:pPr>
              <w:spacing w:after="0"/>
            </w:pPr>
            <w:r>
              <w:rPr>
                <w:rFonts w:ascii="Calibri" w:hAnsi="Calibri" w:eastAsia="Microsoft YaHei"/>
                <w:color w:val="0B2545"/>
                <w:sz w:val="20"/>
              </w:rPr>
              <w:t>是快离子孪生的核心局部观测；将权函数、束状态和背景后验纳入数据产品。</w:t>
            </w:r>
          </w:p>
        </w:tc>
      </w:tr>
    </w:tbl>
    <w:p>
      <w:pPr>
        <w:spacing w:after="40"/>
      </w:pPr>
    </w:p>
    <w:tbl>
      <w:tblPr>
        <w:tblStyle w:val="TableGrid"/>
        <w:tblW w:type="dxa" w:w="9360"/>
        <w:jc w:val="left"/>
        <w:tblLayout w:type="fixed"/>
        <w:tblLook w:firstColumn="1" w:firstRow="1" w:lastColumn="0" w:lastRow="0" w:noHBand="0" w:noVBand="1" w:val="04A0"/>
        <w:tblInd w:w="120" w:type="dxa"/>
      </w:tblPr>
      <w:tblGrid>
        <w:gridCol w:w="850"/>
        <w:gridCol w:w="2500"/>
        <w:gridCol w:w="1600"/>
        <w:gridCol w:w="2300"/>
        <w:gridCol w:w="2110"/>
      </w:tblGrid>
      <w:tr>
        <w:trPr>
          <w:tblHeader w:val="true"/>
        </w:trPr>
        <w:tc>
          <w:tcPr>
            <w:tcW w:type="dxa" w:w="8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年份/类型</w:t>
            </w:r>
          </w:p>
        </w:tc>
        <w:tc>
          <w:tcPr>
            <w:tcW w:type="dxa" w:w="25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论文或软件</w:t>
            </w:r>
          </w:p>
        </w:tc>
        <w:tc>
          <w:tcPr>
            <w:tcW w:type="dxa" w:w="16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期刊/开放性</w:t>
            </w:r>
          </w:p>
        </w:tc>
        <w:tc>
          <w:tcPr>
            <w:tcW w:type="dxa" w:w="23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来源类型/关系</w:t>
            </w:r>
          </w:p>
        </w:tc>
        <w:tc>
          <w:tcPr>
            <w:tcW w:type="dxa" w:w="211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链接</w:t>
            </w:r>
          </w:p>
        </w:tc>
      </w:tr>
      <w:tr>
        <w:trPr>
          <w:cantSplit/>
        </w:trPr>
        <w:tc>
          <w:tcPr>
            <w:tcW w:type="dxa" w:w="850"/>
          </w:tcPr>
          <w:p>
            <w:pPr>
              <w:keepLines/>
              <w:spacing w:after="0" w:line="276" w:lineRule="auto"/>
            </w:pPr>
            <w:r>
              <w:rPr>
                <w:rFonts w:ascii="Calibri" w:hAnsi="Calibri" w:eastAsia="Microsoft YaHei"/>
                <w:color w:val="0B2545"/>
                <w:sz w:val="14"/>
              </w:rPr>
              <w:t>2008</w:t>
            </w:r>
          </w:p>
        </w:tc>
        <w:tc>
          <w:tcPr>
            <w:tcW w:type="dxa" w:w="2500"/>
          </w:tcPr>
          <w:p>
            <w:pPr>
              <w:keepLines/>
              <w:spacing w:after="0" w:line="276" w:lineRule="auto"/>
            </w:pPr>
            <w:r>
              <w:rPr>
                <w:rFonts w:ascii="Calibri" w:hAnsi="Calibri" w:eastAsia="Microsoft YaHei"/>
                <w:color w:val="0B2545"/>
                <w:sz w:val="14"/>
              </w:rPr>
              <w:t>A new fast-ion Dα diagnostic for DIII-D</w:t>
            </w:r>
          </w:p>
        </w:tc>
        <w:tc>
          <w:tcPr>
            <w:tcW w:type="dxa" w:w="1600"/>
          </w:tcPr>
          <w:p>
            <w:pPr>
              <w:keepLines/>
              <w:spacing w:after="0" w:line="276" w:lineRule="auto"/>
            </w:pPr>
            <w:r>
              <w:rPr>
                <w:rFonts w:ascii="Calibri" w:hAnsi="Calibri" w:eastAsia="Microsoft YaHei"/>
                <w:color w:val="0B2545"/>
                <w:sz w:val="14"/>
              </w:rPr>
              <w:t>Review of Scientific Instruments</w:t>
            </w:r>
          </w:p>
        </w:tc>
        <w:tc>
          <w:tcPr>
            <w:tcW w:type="dxa" w:w="2300"/>
          </w:tcPr>
          <w:p>
            <w:pPr>
              <w:keepLines/>
              <w:spacing w:after="0" w:line="276" w:lineRule="auto"/>
            </w:pPr>
            <w:r>
              <w:rPr>
                <w:rFonts w:ascii="Calibri" w:hAnsi="Calibri" w:eastAsia="Microsoft YaHei"/>
                <w:color w:val="0B2545"/>
                <w:sz w:val="14"/>
              </w:rPr>
              <w:t>peer-reviewed-journal</w:t>
            </w:r>
          </w:p>
        </w:tc>
        <w:tc>
          <w:tcPr>
            <w:tcW w:type="dxa" w:w="2110"/>
          </w:tcPr>
          <w:p>
            <w:pPr>
              <w:keepLines/>
              <w:spacing w:after="0" w:line="276" w:lineRule="auto"/>
            </w:pPr>
            <w:hyperlink r:id="rId95">
              <w:r>
                <w:rPr>
                  <w:rFonts w:ascii="Calibri" w:hAnsi="Calibri" w:eastAsia="Microsoft YaHei"/>
                  <w:color w:val="008C95"/>
                  <w:u w:val="single"/>
                </w:rPr>
                <w:t>打开原始来源 ↗</w:t>
              </w:r>
            </w:hyperlink>
          </w:p>
        </w:tc>
      </w:tr>
      <w:tr>
        <w:trPr>
          <w:cantSplit/>
        </w:trPr>
        <w:tc>
          <w:tcPr>
            <w:tcW w:type="dxa" w:w="850"/>
          </w:tcPr>
          <w:p>
            <w:pPr>
              <w:keepLines/>
              <w:spacing w:after="0" w:line="276" w:lineRule="auto"/>
            </w:pPr>
            <w:r>
              <w:rPr>
                <w:rFonts w:ascii="Calibri" w:hAnsi="Calibri" w:eastAsia="Microsoft YaHei"/>
                <w:color w:val="0B2545"/>
                <w:sz w:val="14"/>
              </w:rPr>
              <w:t>2021</w:t>
            </w:r>
          </w:p>
        </w:tc>
        <w:tc>
          <w:tcPr>
            <w:tcW w:type="dxa" w:w="2500"/>
          </w:tcPr>
          <w:p>
            <w:pPr>
              <w:keepLines/>
              <w:spacing w:after="0" w:line="276" w:lineRule="auto"/>
            </w:pPr>
            <w:r>
              <w:rPr>
                <w:rFonts w:ascii="Calibri" w:hAnsi="Calibri" w:eastAsia="Microsoft YaHei"/>
                <w:color w:val="0B2545"/>
                <w:sz w:val="14"/>
              </w:rPr>
              <w:t>The imaging fast ion D-alpha diagnostic (IFIDA) on DIII-D</w:t>
            </w:r>
          </w:p>
        </w:tc>
        <w:tc>
          <w:tcPr>
            <w:tcW w:type="dxa" w:w="1600"/>
          </w:tcPr>
          <w:p>
            <w:pPr>
              <w:keepLines/>
              <w:spacing w:after="0" w:line="276" w:lineRule="auto"/>
            </w:pPr>
            <w:r>
              <w:rPr>
                <w:rFonts w:ascii="Calibri" w:hAnsi="Calibri" w:eastAsia="Microsoft YaHei"/>
                <w:color w:val="0B2545"/>
                <w:sz w:val="14"/>
              </w:rPr>
              <w:t>Review of Scientific Instruments</w:t>
            </w:r>
          </w:p>
        </w:tc>
        <w:tc>
          <w:tcPr>
            <w:tcW w:type="dxa" w:w="2300"/>
          </w:tcPr>
          <w:p>
            <w:pPr>
              <w:keepLines/>
              <w:spacing w:after="0" w:line="276" w:lineRule="auto"/>
            </w:pPr>
            <w:r>
              <w:rPr>
                <w:rFonts w:ascii="Calibri" w:hAnsi="Calibri" w:eastAsia="Microsoft YaHei"/>
                <w:color w:val="0B2545"/>
                <w:sz w:val="14"/>
              </w:rPr>
              <w:t>peer-reviewed-journal</w:t>
            </w:r>
          </w:p>
        </w:tc>
        <w:tc>
          <w:tcPr>
            <w:tcW w:type="dxa" w:w="2110"/>
          </w:tcPr>
          <w:p>
            <w:pPr>
              <w:keepLines/>
              <w:spacing w:after="0" w:line="276" w:lineRule="auto"/>
            </w:pPr>
            <w:hyperlink r:id="rId96">
              <w:r>
                <w:rPr>
                  <w:rFonts w:ascii="Calibri" w:hAnsi="Calibri" w:eastAsia="Microsoft YaHei"/>
                  <w:color w:val="008C95"/>
                  <w:u w:val="single"/>
                </w:rPr>
                <w:t>打开原始来源 ↗</w:t>
              </w:r>
            </w:hyperlink>
          </w:p>
        </w:tc>
      </w:tr>
      <w:tr>
        <w:trPr>
          <w:cantSplit/>
        </w:trPr>
        <w:tc>
          <w:tcPr>
            <w:tcW w:type="dxa" w:w="850"/>
          </w:tcPr>
          <w:p>
            <w:pPr>
              <w:keepLines/>
              <w:spacing w:after="0" w:line="276" w:lineRule="auto"/>
            </w:pPr>
            <w:r>
              <w:rPr>
                <w:rFonts w:ascii="Calibri" w:hAnsi="Calibri" w:eastAsia="Microsoft YaHei"/>
                <w:color w:val="0B2545"/>
                <w:sz w:val="14"/>
              </w:rPr>
              <w:t>2013</w:t>
            </w:r>
          </w:p>
        </w:tc>
        <w:tc>
          <w:tcPr>
            <w:tcW w:type="dxa" w:w="2500"/>
          </w:tcPr>
          <w:p>
            <w:pPr>
              <w:keepLines/>
              <w:spacing w:after="0" w:line="276" w:lineRule="auto"/>
            </w:pPr>
            <w:r>
              <w:rPr>
                <w:rFonts w:ascii="Calibri" w:hAnsi="Calibri" w:eastAsia="Microsoft YaHei"/>
                <w:color w:val="0B2545"/>
                <w:sz w:val="14"/>
              </w:rPr>
              <w:t>Dual view FIDA measurements on MAST</w:t>
            </w:r>
          </w:p>
        </w:tc>
        <w:tc>
          <w:tcPr>
            <w:tcW w:type="dxa" w:w="1600"/>
          </w:tcPr>
          <w:p>
            <w:pPr>
              <w:keepLines/>
              <w:spacing w:after="0" w:line="276" w:lineRule="auto"/>
            </w:pPr>
            <w:r>
              <w:rPr>
                <w:rFonts w:ascii="Calibri" w:hAnsi="Calibri" w:eastAsia="Microsoft YaHei"/>
                <w:color w:val="0B2545"/>
                <w:sz w:val="14"/>
              </w:rPr>
              <w:t>Plasma Physics and Controlled Fusion</w:t>
            </w:r>
          </w:p>
        </w:tc>
        <w:tc>
          <w:tcPr>
            <w:tcW w:type="dxa" w:w="2300"/>
          </w:tcPr>
          <w:p>
            <w:pPr>
              <w:keepLines/>
              <w:spacing w:after="0" w:line="276" w:lineRule="auto"/>
            </w:pPr>
            <w:r>
              <w:rPr>
                <w:rFonts w:ascii="Calibri" w:hAnsi="Calibri" w:eastAsia="Microsoft YaHei"/>
                <w:color w:val="0B2545"/>
                <w:sz w:val="14"/>
              </w:rPr>
              <w:t>peer-reviewed-journal</w:t>
            </w:r>
          </w:p>
        </w:tc>
        <w:tc>
          <w:tcPr>
            <w:tcW w:type="dxa" w:w="2110"/>
          </w:tcPr>
          <w:p>
            <w:pPr>
              <w:keepLines/>
              <w:spacing w:after="0" w:line="276" w:lineRule="auto"/>
            </w:pPr>
            <w:hyperlink r:id="rId97">
              <w:r>
                <w:rPr>
                  <w:rFonts w:ascii="Calibri" w:hAnsi="Calibri" w:eastAsia="Microsoft YaHei"/>
                  <w:color w:val="008C95"/>
                  <w:u w:val="single"/>
                </w:rPr>
                <w:t>打开原始来源 ↗</w:t>
              </w:r>
            </w:hyperlink>
          </w:p>
        </w:tc>
      </w:tr>
      <w:tr>
        <w:trPr>
          <w:cantSplit/>
        </w:trPr>
        <w:tc>
          <w:tcPr>
            <w:tcW w:type="dxa" w:w="850"/>
          </w:tcPr>
          <w:p>
            <w:pPr>
              <w:keepLines/>
              <w:spacing w:after="0" w:line="276" w:lineRule="auto"/>
            </w:pPr>
            <w:r>
              <w:rPr>
                <w:rFonts w:ascii="Calibri" w:hAnsi="Calibri" w:eastAsia="Microsoft YaHei"/>
                <w:color w:val="0B2545"/>
                <w:sz w:val="14"/>
              </w:rPr>
              <w:t>软件</w:t>
            </w:r>
          </w:p>
        </w:tc>
        <w:tc>
          <w:tcPr>
            <w:tcW w:type="dxa" w:w="2500"/>
          </w:tcPr>
          <w:p>
            <w:pPr>
              <w:keepLines/>
              <w:spacing w:after="0" w:line="276" w:lineRule="auto"/>
            </w:pPr>
            <w:r>
              <w:rPr>
                <w:rFonts w:ascii="Calibri" w:hAnsi="Calibri" w:eastAsia="Microsoft YaHei"/>
                <w:color w:val="0B2545"/>
                <w:sz w:val="14"/>
              </w:rPr>
              <w:t>FIDASIM</w:t>
            </w:r>
          </w:p>
        </w:tc>
        <w:tc>
          <w:tcPr>
            <w:tcW w:type="dxa" w:w="1600"/>
          </w:tcPr>
          <w:p>
            <w:pPr>
              <w:keepLines/>
              <w:spacing w:after="0" w:line="276" w:lineRule="auto"/>
            </w:pPr>
            <w:r>
              <w:rPr>
                <w:rFonts w:ascii="Calibri" w:hAnsi="Calibri" w:eastAsia="Microsoft YaHei"/>
                <w:color w:val="0B2545"/>
                <w:sz w:val="14"/>
              </w:rPr>
              <w:t>official-direct</w:t>
            </w:r>
          </w:p>
        </w:tc>
        <w:tc>
          <w:tcPr>
            <w:tcW w:type="dxa" w:w="2300"/>
          </w:tcPr>
          <w:p>
            <w:pPr>
              <w:keepLines/>
              <w:spacing w:after="0" w:line="276" w:lineRule="auto"/>
            </w:pPr>
            <w:r>
              <w:rPr>
                <w:rFonts w:ascii="Calibri" w:hAnsi="Calibri" w:eastAsia="Microsoft YaHei"/>
                <w:color w:val="0B2545"/>
                <w:sz w:val="14"/>
              </w:rPr>
              <w:t>束、原子、权函数和合成FIDA谱。</w:t>
            </w:r>
          </w:p>
        </w:tc>
        <w:tc>
          <w:tcPr>
            <w:tcW w:type="dxa" w:w="2110"/>
          </w:tcPr>
          <w:p>
            <w:pPr>
              <w:keepLines/>
              <w:spacing w:after="0" w:line="276" w:lineRule="auto"/>
            </w:pPr>
            <w:hyperlink r:id="rId66">
              <w:r>
                <w:rPr>
                  <w:rFonts w:ascii="Calibri" w:hAnsi="Calibri" w:eastAsia="Microsoft YaHei"/>
                  <w:color w:val="008C95"/>
                  <w:u w:val="single"/>
                </w:rPr>
                <w:t>打开原始来源 ↗</w:t>
              </w:r>
            </w:hyperlink>
          </w:p>
        </w:tc>
      </w:tr>
    </w:tbl>
    <w:p>
      <w:pPr>
        <w:spacing w:before="0" w:after="60"/>
      </w:pPr>
    </w:p>
    <w:p>
      <w:pPr>
        <w:pStyle w:val="Heading3"/>
        <w:keepNext/>
      </w:pPr>
      <w:r>
        <w:t>DG5.08  集体汤姆逊散射：快离子与离子回旋特征</w:t>
      </w:r>
    </w:p>
    <w:p>
      <w:pPr>
        <w:keepNext/>
        <w:spacing w:after="80"/>
      </w:pPr>
      <w:r>
        <w:rPr>
          <w:rFonts w:ascii="Calibri" w:hAnsi="Calibri" w:eastAsia="Microsoft YaHei"/>
          <w:i/>
          <w:color w:val="566573"/>
          <w:sz w:val="18"/>
        </w:rPr>
        <w:t>Collective Thomson scattering for fast ions</w:t>
      </w:r>
    </w:p>
    <w:tbl>
      <w:tblPr>
        <w:tblStyle w:val="TableGrid"/>
        <w:tblW w:type="dxa" w:w="9360"/>
        <w:jc w:val="left"/>
        <w:tblLayout w:type="fixed"/>
        <w:tblLook w:firstColumn="1" w:firstRow="1" w:lastColumn="0" w:lastRow="0" w:noHBand="0" w:noVBand="1" w:val="04A0"/>
        <w:tblInd w:w="120" w:type="dxa"/>
      </w:tblPr>
      <w:tblGrid>
        <w:gridCol w:w="1200"/>
        <w:gridCol w:w="750"/>
        <w:gridCol w:w="750"/>
        <w:gridCol w:w="2100"/>
        <w:gridCol w:w="4560"/>
      </w:tblGrid>
      <w:tr>
        <w:trPr>
          <w:tblHeader w:val="true"/>
        </w:trPr>
        <w:tc>
          <w:tcPr>
            <w:tcW w:type="dxa" w:w="12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工作 ID</w:t>
            </w:r>
          </w:p>
        </w:tc>
        <w:tc>
          <w:tcPr>
            <w:tcW w:type="dxa" w:w="7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证据</w:t>
            </w:r>
          </w:p>
        </w:tc>
        <w:tc>
          <w:tcPr>
            <w:tcW w:type="dxa" w:w="7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部署</w:t>
            </w:r>
          </w:p>
        </w:tc>
        <w:tc>
          <w:tcPr>
            <w:tcW w:type="dxa" w:w="21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技术族</w:t>
            </w:r>
          </w:p>
        </w:tc>
        <w:tc>
          <w:tcPr>
            <w:tcW w:type="dxa" w:w="456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装置</w:t>
            </w:r>
          </w:p>
        </w:tc>
      </w:tr>
      <w:tr>
        <w:trPr>
          <w:cantSplit/>
        </w:trPr>
        <w:tc>
          <w:tcPr>
            <w:tcW w:type="dxa" w:w="1200"/>
          </w:tcPr>
          <w:p>
            <w:pPr>
              <w:keepLines/>
              <w:spacing w:after="0" w:line="276" w:lineRule="auto"/>
            </w:pPr>
            <w:r>
              <w:rPr>
                <w:rFonts w:ascii="Calibri" w:hAnsi="Calibri" w:eastAsia="Microsoft YaHei"/>
                <w:color w:val="0B2545"/>
                <w:sz w:val="15"/>
              </w:rPr>
              <w:t>DG5-027</w:t>
            </w:r>
          </w:p>
        </w:tc>
        <w:tc>
          <w:tcPr>
            <w:tcW w:type="dxa" w:w="750"/>
          </w:tcPr>
          <w:p>
            <w:pPr>
              <w:keepLines/>
              <w:spacing w:after="0" w:line="276" w:lineRule="auto"/>
            </w:pPr>
            <w:r>
              <w:rPr>
                <w:rFonts w:ascii="Calibri" w:hAnsi="Calibri" w:eastAsia="Microsoft YaHei"/>
                <w:color w:val="0B2545"/>
                <w:sz w:val="15"/>
              </w:rPr>
              <w:t>E3</w:t>
            </w:r>
          </w:p>
        </w:tc>
        <w:tc>
          <w:tcPr>
            <w:tcW w:type="dxa" w:w="750"/>
          </w:tcPr>
          <w:p>
            <w:pPr>
              <w:keepLines/>
              <w:spacing w:after="0" w:line="276" w:lineRule="auto"/>
            </w:pPr>
            <w:r>
              <w:rPr>
                <w:rFonts w:ascii="Calibri" w:hAnsi="Calibri" w:eastAsia="Microsoft YaHei"/>
                <w:color w:val="0B2545"/>
                <w:sz w:val="15"/>
              </w:rPr>
              <w:t>D3</w:t>
            </w:r>
          </w:p>
        </w:tc>
        <w:tc>
          <w:tcPr>
            <w:tcW w:type="dxa" w:w="2100"/>
          </w:tcPr>
          <w:p>
            <w:pPr>
              <w:keepLines/>
              <w:spacing w:after="0" w:line="276" w:lineRule="auto"/>
            </w:pPr>
            <w:r>
              <w:rPr>
                <w:rFonts w:ascii="Calibri" w:hAnsi="Calibri" w:eastAsia="Microsoft YaHei"/>
                <w:color w:val="0B2545"/>
                <w:sz w:val="15"/>
              </w:rPr>
              <w:t>MICROWAVE</w:t>
            </w:r>
          </w:p>
        </w:tc>
        <w:tc>
          <w:tcPr>
            <w:tcW w:type="dxa" w:w="4560"/>
          </w:tcPr>
          <w:p>
            <w:pPr>
              <w:keepLines/>
              <w:spacing w:after="0" w:line="276" w:lineRule="auto"/>
            </w:pPr>
            <w:r>
              <w:rPr>
                <w:rFonts w:ascii="Calibri" w:hAnsi="Calibri" w:eastAsia="Microsoft YaHei"/>
                <w:color w:val="0B2545"/>
                <w:sz w:val="15"/>
              </w:rPr>
              <w:t>ASDEX Upgrade；ITER design；W7-X</w:t>
            </w:r>
          </w:p>
        </w:tc>
      </w:tr>
    </w:tbl>
    <w:p>
      <w:pPr>
        <w:spacing w:before="0" w:after="60"/>
      </w:pPr>
    </w:p>
    <w:p>
      <w:pPr>
        <w:widowControl/>
      </w:pPr>
      <w:r>
        <w:rPr>
          <w:rFonts w:ascii="Calibri" w:hAnsi="Calibri" w:eastAsia="Microsoft YaHei"/>
          <w:b/>
          <w:color w:val="1F4D78"/>
        </w:rPr>
        <w:t>解决问题：</w:t>
      </w:r>
      <w:r>
        <w:rPr>
          <w:rFonts w:ascii="Calibri" w:hAnsi="Calibri" w:eastAsia="Microsoft YaHei"/>
        </w:rPr>
        <w:t>非侵入测量快离子速度分布和离子回旋结构。</w:t>
      </w:r>
    </w:p>
    <w:p>
      <w:pPr>
        <w:widowControl/>
      </w:pPr>
      <w:r>
        <w:rPr>
          <w:rFonts w:ascii="Calibri" w:hAnsi="Calibri" w:eastAsia="Microsoft YaHei"/>
          <w:b/>
          <w:color w:val="1F4D78"/>
        </w:rPr>
        <w:t>测量原理：</w:t>
      </w:r>
      <w:r>
        <w:rPr>
          <w:rFonts w:ascii="Calibri" w:hAnsi="Calibri" w:eastAsia="Microsoft YaHei"/>
        </w:rPr>
        <w:t>毫米波在等离子体集体涨落上散射；频移谱由离子速度分布和介电响应决定。</w:t>
      </w:r>
    </w:p>
    <w:p>
      <w:pPr>
        <w:widowControl/>
      </w:pPr>
      <w:r>
        <w:rPr>
          <w:rFonts w:ascii="Calibri" w:hAnsi="Calibri" w:eastAsia="Microsoft YaHei"/>
          <w:b/>
          <w:color w:val="1F4D78"/>
        </w:rPr>
        <w:t>测量产品：</w:t>
      </w:r>
      <w:r>
        <w:rPr>
          <w:rFonts w:ascii="Calibri" w:hAnsi="Calibri" w:eastAsia="Microsoft YaHei"/>
        </w:rPr>
        <w:t>fast-ion velocity projection；ion feature spectrum；bulk-ion parameters</w:t>
      </w:r>
    </w:p>
    <w:p>
      <w:pPr>
        <w:widowControl/>
      </w:pPr>
      <w:r>
        <w:rPr>
          <w:rFonts w:ascii="Calibri" w:hAnsi="Calibri" w:eastAsia="Microsoft YaHei"/>
          <w:b/>
          <w:color w:val="1F4D78"/>
        </w:rPr>
        <w:t>时空分辨与覆盖：</w:t>
      </w:r>
      <w:r>
        <w:rPr>
          <w:rFonts w:ascii="Calibri" w:hAnsi="Calibri" w:eastAsia="Microsoft YaHei"/>
        </w:rPr>
        <w:t>时间：因装置、采集和分析链而异；原始来源未给出统一数值。；空间：由视线、几何和反演设定；原始来源未给出统一数值。</w:t>
      </w:r>
    </w:p>
    <w:p>
      <w:pPr>
        <w:widowControl/>
      </w:pPr>
      <w:r>
        <w:rPr>
          <w:rFonts w:ascii="Calibri" w:hAnsi="Calibri" w:eastAsia="Microsoft YaHei"/>
          <w:b/>
          <w:color w:val="1F4D78"/>
        </w:rPr>
        <w:t>仪器与传感器：</w:t>
      </w:r>
      <w:r>
        <w:rPr>
          <w:rFonts w:ascii="Calibri" w:hAnsi="Calibri" w:eastAsia="Microsoft YaHei"/>
        </w:rPr>
        <w:t>gyrotron/probe source；receiver heterodyne channels；quasi-optical mirrors；notch filters</w:t>
      </w:r>
    </w:p>
    <w:p>
      <w:pPr>
        <w:widowControl/>
      </w:pPr>
      <w:r>
        <w:rPr>
          <w:rFonts w:ascii="Calibri" w:hAnsi="Calibri" w:eastAsia="Microsoft YaHei"/>
          <w:b/>
          <w:color w:val="1F4D78"/>
        </w:rPr>
        <w:t>标定与质量：</w:t>
      </w:r>
      <w:r>
        <w:rPr>
          <w:rFonts w:ascii="Calibri" w:hAnsi="Calibri" w:eastAsia="Microsoft YaHei"/>
        </w:rPr>
        <w:t>热/冷负载标定接收功率与频率；测杂散探测束、传输和散射几何。</w:t>
      </w:r>
    </w:p>
    <w:p>
      <w:pPr>
        <w:widowControl/>
      </w:pPr>
      <w:r>
        <w:rPr>
          <w:rFonts w:ascii="Calibri" w:hAnsi="Calibri" w:eastAsia="Microsoft YaHei"/>
          <w:b/>
          <w:color w:val="1F4D78"/>
        </w:rPr>
        <w:t>反演与分析：</w:t>
      </w:r>
      <w:r>
        <w:rPr>
          <w:rFonts w:ascii="Calibri" w:hAnsi="Calibri" w:eastAsia="Microsoft YaHei"/>
        </w:rPr>
        <w:t>扣除ECE/杂散背景后用介电响应模型拟合；合成诊断给速度空间权函数。</w:t>
      </w:r>
    </w:p>
    <w:p>
      <w:pPr>
        <w:widowControl/>
      </w:pPr>
      <w:r>
        <w:rPr>
          <w:rFonts w:ascii="Calibri" w:hAnsi="Calibri" w:eastAsia="Microsoft YaHei"/>
          <w:b/>
          <w:color w:val="1F4D78"/>
        </w:rPr>
        <w:t>验证与应用：</w:t>
      </w:r>
      <w:r>
        <w:rPr>
          <w:rFonts w:ascii="Calibri" w:hAnsi="Calibri" w:eastAsia="Microsoft YaHei"/>
        </w:rPr>
        <w:t>AUG在装置上测背景/快离子谱；ITER以准光设计和合成性能评估。</w:t>
      </w:r>
    </w:p>
    <w:p>
      <w:pPr>
        <w:widowControl/>
      </w:pPr>
      <w:r>
        <w:rPr>
          <w:rFonts w:ascii="Calibri" w:hAnsi="Calibri" w:eastAsia="Microsoft YaHei"/>
          <w:b/>
          <w:color w:val="1F4D78"/>
        </w:rPr>
        <w:t>局限与边界：</w:t>
      </w:r>
      <w:r>
        <w:rPr>
          <w:rFonts w:ascii="Calibri" w:hAnsi="Calibri" w:eastAsia="Microsoft YaHei"/>
        </w:rPr>
        <w:t>强杂散探测功率和ECE背景；折射、散射几何与模型误差限制反演。</w:t>
      </w:r>
    </w:p>
    <w:tbl>
      <w:tblPr>
        <w:tblStyle w:val="TableGrid"/>
        <w:tblW w:type="dxa" w:w="9360"/>
        <w:jc w:val="left"/>
        <w:tblLayout w:type="fixed"/>
        <w:tblLook w:firstColumn="1" w:firstRow="1" w:lastColumn="0" w:lastRow="0" w:noHBand="0" w:noVBand="1" w:val="04A0"/>
        <w:tblInd w:w="120" w:type="dxa"/>
      </w:tblPr>
      <w:tblGrid>
        <w:gridCol w:w="9360"/>
      </w:tblGrid>
      <w:tr>
        <w:trPr>
          <w:cantSplit/>
        </w:trPr>
        <w:tc>
          <w:tcPr>
            <w:tcW w:type="dxa" w:w="9360"/>
            <w:tcMar>
              <w:top w:w="80" w:type="dxa"/>
              <w:bottom w:w="80" w:type="dxa"/>
              <w:start w:w="120" w:type="dxa"/>
              <w:end w:w="120" w:type="dxa"/>
            </w:tcMar>
            <w:vAlign w:val="center"/>
            <w:shd w:fill="EEF7F7"/>
          </w:tcPr>
          <w:p>
            <w:pPr>
              <w:keepNext/>
              <w:keepLines/>
              <w:spacing w:after="40"/>
            </w:pPr>
            <w:r>
              <w:rPr>
                <w:rFonts w:ascii="Calibri" w:hAnsi="Calibri" w:eastAsia="Microsoft YaHei"/>
                <w:b/>
                <w:color w:val="008C95"/>
                <w:sz w:val="17"/>
              </w:rPr>
              <w:t>DIGITAL-TWIN RELEVANCE</w:t>
            </w:r>
          </w:p>
          <w:p>
            <w:pPr>
              <w:spacing w:after="0"/>
            </w:pPr>
            <w:r>
              <w:rPr>
                <w:rFonts w:ascii="Calibri" w:hAnsi="Calibri" w:eastAsia="Microsoft YaHei"/>
                <w:color w:val="0B2545"/>
                <w:sz w:val="20"/>
              </w:rPr>
              <w:t>为快离子孪生提供独立微波投影；需记录源频率、几何和背景分解。</w:t>
            </w:r>
          </w:p>
        </w:tc>
      </w:tr>
    </w:tbl>
    <w:p>
      <w:pPr>
        <w:spacing w:after="40"/>
      </w:pPr>
    </w:p>
    <w:tbl>
      <w:tblPr>
        <w:tblStyle w:val="TableGrid"/>
        <w:tblW w:type="dxa" w:w="9360"/>
        <w:jc w:val="left"/>
        <w:tblLayout w:type="fixed"/>
        <w:tblLook w:firstColumn="1" w:firstRow="1" w:lastColumn="0" w:lastRow="0" w:noHBand="0" w:noVBand="1" w:val="04A0"/>
        <w:tblInd w:w="120" w:type="dxa"/>
      </w:tblPr>
      <w:tblGrid>
        <w:gridCol w:w="850"/>
        <w:gridCol w:w="2500"/>
        <w:gridCol w:w="1600"/>
        <w:gridCol w:w="2300"/>
        <w:gridCol w:w="2110"/>
      </w:tblGrid>
      <w:tr>
        <w:trPr>
          <w:tblHeader w:val="true"/>
        </w:trPr>
        <w:tc>
          <w:tcPr>
            <w:tcW w:type="dxa" w:w="8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年份/类型</w:t>
            </w:r>
          </w:p>
        </w:tc>
        <w:tc>
          <w:tcPr>
            <w:tcW w:type="dxa" w:w="25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论文或软件</w:t>
            </w:r>
          </w:p>
        </w:tc>
        <w:tc>
          <w:tcPr>
            <w:tcW w:type="dxa" w:w="16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期刊/开放性</w:t>
            </w:r>
          </w:p>
        </w:tc>
        <w:tc>
          <w:tcPr>
            <w:tcW w:type="dxa" w:w="23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来源类型/关系</w:t>
            </w:r>
          </w:p>
        </w:tc>
        <w:tc>
          <w:tcPr>
            <w:tcW w:type="dxa" w:w="211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链接</w:t>
            </w:r>
          </w:p>
        </w:tc>
      </w:tr>
      <w:tr>
        <w:trPr>
          <w:cantSplit/>
        </w:trPr>
        <w:tc>
          <w:tcPr>
            <w:tcW w:type="dxa" w:w="850"/>
          </w:tcPr>
          <w:p>
            <w:pPr>
              <w:keepLines/>
              <w:spacing w:after="0" w:line="276" w:lineRule="auto"/>
            </w:pPr>
            <w:r>
              <w:rPr>
                <w:rFonts w:ascii="Calibri" w:hAnsi="Calibri" w:eastAsia="Microsoft YaHei"/>
                <w:color w:val="0B2545"/>
                <w:sz w:val="14"/>
              </w:rPr>
              <w:t>2010</w:t>
            </w:r>
          </w:p>
        </w:tc>
        <w:tc>
          <w:tcPr>
            <w:tcW w:type="dxa" w:w="2500"/>
          </w:tcPr>
          <w:p>
            <w:pPr>
              <w:keepLines/>
              <w:spacing w:after="0" w:line="276" w:lineRule="auto"/>
            </w:pPr>
            <w:r>
              <w:rPr>
                <w:rFonts w:ascii="Calibri" w:hAnsi="Calibri" w:eastAsia="Microsoft YaHei"/>
                <w:color w:val="0B2545"/>
                <w:sz w:val="14"/>
              </w:rPr>
              <w:t>Collective Thomson scattering capabilities to diagnose fusion plasmas</w:t>
            </w:r>
          </w:p>
        </w:tc>
        <w:tc>
          <w:tcPr>
            <w:tcW w:type="dxa" w:w="1600"/>
          </w:tcPr>
          <w:p>
            <w:pPr>
              <w:keepLines/>
              <w:spacing w:after="0" w:line="276" w:lineRule="auto"/>
            </w:pPr>
            <w:r>
              <w:rPr>
                <w:rFonts w:ascii="Calibri" w:hAnsi="Calibri" w:eastAsia="Microsoft YaHei"/>
                <w:color w:val="0B2545"/>
                <w:sz w:val="14"/>
              </w:rPr>
              <w:t>Nuclear Instruments and Methods in Physics Research Section A: Accelerators, Spectrometers, Detectors and Associated Equipment</w:t>
            </w:r>
          </w:p>
        </w:tc>
        <w:tc>
          <w:tcPr>
            <w:tcW w:type="dxa" w:w="2300"/>
          </w:tcPr>
          <w:p>
            <w:pPr>
              <w:keepLines/>
              <w:spacing w:after="0" w:line="276" w:lineRule="auto"/>
            </w:pPr>
            <w:r>
              <w:rPr>
                <w:rFonts w:ascii="Calibri" w:hAnsi="Calibri" w:eastAsia="Microsoft YaHei"/>
                <w:color w:val="0B2545"/>
                <w:sz w:val="14"/>
              </w:rPr>
              <w:t>peer-reviewed-journal</w:t>
            </w:r>
          </w:p>
        </w:tc>
        <w:tc>
          <w:tcPr>
            <w:tcW w:type="dxa" w:w="2110"/>
          </w:tcPr>
          <w:p>
            <w:pPr>
              <w:keepLines/>
              <w:spacing w:after="0" w:line="276" w:lineRule="auto"/>
            </w:pPr>
            <w:hyperlink r:id="rId98">
              <w:r>
                <w:rPr>
                  <w:rFonts w:ascii="Calibri" w:hAnsi="Calibri" w:eastAsia="Microsoft YaHei"/>
                  <w:color w:val="008C95"/>
                  <w:u w:val="single"/>
                </w:rPr>
                <w:t>打开原始来源 ↗</w:t>
              </w:r>
            </w:hyperlink>
          </w:p>
        </w:tc>
      </w:tr>
      <w:tr>
        <w:trPr>
          <w:cantSplit/>
        </w:trPr>
        <w:tc>
          <w:tcPr>
            <w:tcW w:type="dxa" w:w="850"/>
          </w:tcPr>
          <w:p>
            <w:pPr>
              <w:keepLines/>
              <w:spacing w:after="0" w:line="276" w:lineRule="auto"/>
            </w:pPr>
            <w:r>
              <w:rPr>
                <w:rFonts w:ascii="Calibri" w:hAnsi="Calibri" w:eastAsia="Microsoft YaHei"/>
                <w:color w:val="0B2545"/>
                <w:sz w:val="14"/>
              </w:rPr>
              <w:t>2008</w:t>
            </w:r>
          </w:p>
        </w:tc>
        <w:tc>
          <w:tcPr>
            <w:tcW w:type="dxa" w:w="2500"/>
          </w:tcPr>
          <w:p>
            <w:pPr>
              <w:keepLines/>
              <w:spacing w:after="0" w:line="276" w:lineRule="auto"/>
            </w:pPr>
            <w:r>
              <w:rPr>
                <w:rFonts w:ascii="Calibri" w:hAnsi="Calibri" w:eastAsia="Microsoft YaHei"/>
                <w:color w:val="0B2545"/>
                <w:sz w:val="14"/>
              </w:rPr>
              <w:t>Fast Ion Collective Thomson Scattering Diagnostic for ITER: Design Elements</w:t>
            </w:r>
          </w:p>
        </w:tc>
        <w:tc>
          <w:tcPr>
            <w:tcW w:type="dxa" w:w="1600"/>
          </w:tcPr>
          <w:p>
            <w:pPr>
              <w:keepLines/>
              <w:spacing w:after="0" w:line="276" w:lineRule="auto"/>
            </w:pPr>
            <w:r>
              <w:rPr>
                <w:rFonts w:ascii="Calibri" w:hAnsi="Calibri" w:eastAsia="Microsoft YaHei"/>
                <w:color w:val="0B2545"/>
                <w:sz w:val="14"/>
              </w:rPr>
              <w:t>Fusion Science and Technology</w:t>
            </w:r>
          </w:p>
        </w:tc>
        <w:tc>
          <w:tcPr>
            <w:tcW w:type="dxa" w:w="2300"/>
          </w:tcPr>
          <w:p>
            <w:pPr>
              <w:keepLines/>
              <w:spacing w:after="0" w:line="276" w:lineRule="auto"/>
            </w:pPr>
            <w:r>
              <w:rPr>
                <w:rFonts w:ascii="Calibri" w:hAnsi="Calibri" w:eastAsia="Microsoft YaHei"/>
                <w:color w:val="0B2545"/>
                <w:sz w:val="14"/>
              </w:rPr>
              <w:t>peer-reviewed-journal</w:t>
            </w:r>
          </w:p>
        </w:tc>
        <w:tc>
          <w:tcPr>
            <w:tcW w:type="dxa" w:w="2110"/>
          </w:tcPr>
          <w:p>
            <w:pPr>
              <w:keepLines/>
              <w:spacing w:after="0" w:line="276" w:lineRule="auto"/>
            </w:pPr>
            <w:hyperlink r:id="rId99">
              <w:r>
                <w:rPr>
                  <w:rFonts w:ascii="Calibri" w:hAnsi="Calibri" w:eastAsia="Microsoft YaHei"/>
                  <w:color w:val="008C95"/>
                  <w:u w:val="single"/>
                </w:rPr>
                <w:t>打开原始来源 ↗</w:t>
              </w:r>
            </w:hyperlink>
          </w:p>
        </w:tc>
      </w:tr>
      <w:tr>
        <w:trPr>
          <w:cantSplit/>
        </w:trPr>
        <w:tc>
          <w:tcPr>
            <w:tcW w:type="dxa" w:w="850"/>
          </w:tcPr>
          <w:p>
            <w:pPr>
              <w:keepLines/>
              <w:spacing w:after="0" w:line="276" w:lineRule="auto"/>
            </w:pPr>
            <w:r>
              <w:rPr>
                <w:rFonts w:ascii="Calibri" w:hAnsi="Calibri" w:eastAsia="Microsoft YaHei"/>
                <w:color w:val="0B2545"/>
                <w:sz w:val="14"/>
              </w:rPr>
              <w:t>2025</w:t>
            </w:r>
          </w:p>
        </w:tc>
        <w:tc>
          <w:tcPr>
            <w:tcW w:type="dxa" w:w="2500"/>
          </w:tcPr>
          <w:p>
            <w:pPr>
              <w:keepLines/>
              <w:spacing w:after="0" w:line="276" w:lineRule="auto"/>
            </w:pPr>
            <w:r>
              <w:rPr>
                <w:rFonts w:ascii="Calibri" w:hAnsi="Calibri" w:eastAsia="Microsoft YaHei"/>
                <w:color w:val="0B2545"/>
                <w:sz w:val="14"/>
              </w:rPr>
              <w:t>Robust monitoring of thermal and fast ions using collective Thomson scattering: Combining physics- and data-driven background estimation</w:t>
            </w:r>
          </w:p>
        </w:tc>
        <w:tc>
          <w:tcPr>
            <w:tcW w:type="dxa" w:w="1600"/>
          </w:tcPr>
          <w:p>
            <w:pPr>
              <w:keepLines/>
              <w:spacing w:after="0" w:line="276" w:lineRule="auto"/>
            </w:pPr>
            <w:r>
              <w:rPr>
                <w:rFonts w:ascii="Calibri" w:hAnsi="Calibri" w:eastAsia="Microsoft YaHei"/>
                <w:color w:val="0B2545"/>
                <w:sz w:val="14"/>
              </w:rPr>
              <w:t>Review of Scientific Instruments</w:t>
            </w:r>
          </w:p>
        </w:tc>
        <w:tc>
          <w:tcPr>
            <w:tcW w:type="dxa" w:w="2300"/>
          </w:tcPr>
          <w:p>
            <w:pPr>
              <w:keepLines/>
              <w:spacing w:after="0" w:line="276" w:lineRule="auto"/>
            </w:pPr>
            <w:r>
              <w:rPr>
                <w:rFonts w:ascii="Calibri" w:hAnsi="Calibri" w:eastAsia="Microsoft YaHei"/>
                <w:color w:val="0B2545"/>
                <w:sz w:val="14"/>
              </w:rPr>
              <w:t>peer-reviewed-journal</w:t>
            </w:r>
          </w:p>
        </w:tc>
        <w:tc>
          <w:tcPr>
            <w:tcW w:type="dxa" w:w="2110"/>
          </w:tcPr>
          <w:p>
            <w:pPr>
              <w:keepLines/>
              <w:spacing w:after="0" w:line="276" w:lineRule="auto"/>
            </w:pPr>
            <w:hyperlink r:id="rId100">
              <w:r>
                <w:rPr>
                  <w:rFonts w:ascii="Calibri" w:hAnsi="Calibri" w:eastAsia="Microsoft YaHei"/>
                  <w:color w:val="008C95"/>
                  <w:u w:val="single"/>
                </w:rPr>
                <w:t>打开原始来源 ↗</w:t>
              </w:r>
            </w:hyperlink>
          </w:p>
        </w:tc>
      </w:tr>
      <w:tr>
        <w:trPr>
          <w:cantSplit/>
        </w:trPr>
        <w:tc>
          <w:tcPr>
            <w:tcW w:type="dxa" w:w="850"/>
          </w:tcPr>
          <w:p>
            <w:pPr>
              <w:keepLines/>
              <w:spacing w:after="0" w:line="276" w:lineRule="auto"/>
            </w:pPr>
            <w:r>
              <w:rPr>
                <w:rFonts w:ascii="Calibri" w:hAnsi="Calibri" w:eastAsia="Microsoft YaHei"/>
                <w:color w:val="0B2545"/>
                <w:sz w:val="14"/>
              </w:rPr>
              <w:t>软件</w:t>
            </w:r>
          </w:p>
        </w:tc>
        <w:tc>
          <w:tcPr>
            <w:tcW w:type="dxa" w:w="2500"/>
          </w:tcPr>
          <w:p>
            <w:pPr>
              <w:keepLines/>
              <w:spacing w:after="0" w:line="276" w:lineRule="auto"/>
            </w:pPr>
            <w:r>
              <w:rPr>
                <w:rFonts w:ascii="Calibri" w:hAnsi="Calibri" w:eastAsia="Microsoft YaHei"/>
                <w:color w:val="0B2545"/>
                <w:sz w:val="14"/>
              </w:rPr>
              <w:t>装置专有分析/标定软件</w:t>
            </w:r>
          </w:p>
        </w:tc>
        <w:tc>
          <w:tcPr>
            <w:tcW w:type="dxa" w:w="1600"/>
          </w:tcPr>
          <w:p>
            <w:pPr>
              <w:keepLines/>
              <w:spacing w:after="0" w:line="276" w:lineRule="auto"/>
            </w:pPr>
            <w:r>
              <w:rPr>
                <w:rFonts w:ascii="Calibri" w:hAnsi="Calibri" w:eastAsia="Microsoft YaHei"/>
                <w:color w:val="0B2545"/>
                <w:sz w:val="14"/>
              </w:rPr>
              <w:t>not-public</w:t>
            </w:r>
          </w:p>
        </w:tc>
        <w:tc>
          <w:tcPr>
            <w:tcW w:type="dxa" w:w="2300"/>
          </w:tcPr>
          <w:p>
            <w:pPr>
              <w:keepLines/>
              <w:spacing w:after="0" w:line="276" w:lineRule="auto"/>
            </w:pPr>
            <w:r>
              <w:rPr>
                <w:rFonts w:ascii="Calibri" w:hAnsi="Calibri" w:eastAsia="Microsoft YaHei"/>
                <w:color w:val="0B2545"/>
                <w:sz w:val="14"/>
              </w:rPr>
              <w:t>CTS谱拟合、准光配置和运行代码未公开。</w:t>
            </w:r>
          </w:p>
        </w:tc>
        <w:tc>
          <w:tcPr>
            <w:tcW w:type="dxa" w:w="2110"/>
          </w:tcPr>
          <w:p>
            <w:pPr>
              <w:keepLines/>
              <w:spacing w:after="0" w:line="276" w:lineRule="auto"/>
            </w:pPr>
            <w:r>
              <w:rPr>
                <w:rFonts w:ascii="Calibri" w:hAnsi="Calibri" w:eastAsia="Microsoft YaHei"/>
                <w:color w:val="0B2545"/>
                <w:sz w:val="14"/>
              </w:rPr>
              <w:t>未公开</w:t>
            </w:r>
          </w:p>
        </w:tc>
      </w:tr>
    </w:tbl>
    <w:p>
      <w:pPr>
        <w:spacing w:before="0" w:after="60"/>
      </w:pPr>
    </w:p>
    <w:p>
      <w:pPr>
        <w:pStyle w:val="Heading3"/>
        <w:keepNext/>
      </w:pPr>
      <w:r>
        <w:t>DG5.09  快离子损失探测器：轨道损失与MHD再分布</w:t>
      </w:r>
    </w:p>
    <w:p>
      <w:pPr>
        <w:keepNext/>
        <w:spacing w:after="80"/>
      </w:pPr>
      <w:r>
        <w:rPr>
          <w:rFonts w:ascii="Calibri" w:hAnsi="Calibri" w:eastAsia="Microsoft YaHei"/>
          <w:i/>
          <w:color w:val="566573"/>
          <w:sz w:val="18"/>
        </w:rPr>
        <w:t>Fast-ion loss detectors for orbit losses and MHD redistribution</w:t>
      </w:r>
    </w:p>
    <w:tbl>
      <w:tblPr>
        <w:tblStyle w:val="TableGrid"/>
        <w:tblW w:type="dxa" w:w="9360"/>
        <w:jc w:val="left"/>
        <w:tblLayout w:type="fixed"/>
        <w:tblLook w:firstColumn="1" w:firstRow="1" w:lastColumn="0" w:lastRow="0" w:noHBand="0" w:noVBand="1" w:val="04A0"/>
        <w:tblInd w:w="120" w:type="dxa"/>
      </w:tblPr>
      <w:tblGrid>
        <w:gridCol w:w="1200"/>
        <w:gridCol w:w="750"/>
        <w:gridCol w:w="750"/>
        <w:gridCol w:w="2100"/>
        <w:gridCol w:w="4560"/>
      </w:tblGrid>
      <w:tr>
        <w:trPr>
          <w:tblHeader w:val="true"/>
        </w:trPr>
        <w:tc>
          <w:tcPr>
            <w:tcW w:type="dxa" w:w="12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工作 ID</w:t>
            </w:r>
          </w:p>
        </w:tc>
        <w:tc>
          <w:tcPr>
            <w:tcW w:type="dxa" w:w="7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证据</w:t>
            </w:r>
          </w:p>
        </w:tc>
        <w:tc>
          <w:tcPr>
            <w:tcW w:type="dxa" w:w="7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部署</w:t>
            </w:r>
          </w:p>
        </w:tc>
        <w:tc>
          <w:tcPr>
            <w:tcW w:type="dxa" w:w="21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技术族</w:t>
            </w:r>
          </w:p>
        </w:tc>
        <w:tc>
          <w:tcPr>
            <w:tcW w:type="dxa" w:w="456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装置</w:t>
            </w:r>
          </w:p>
        </w:tc>
      </w:tr>
      <w:tr>
        <w:trPr>
          <w:cantSplit/>
        </w:trPr>
        <w:tc>
          <w:tcPr>
            <w:tcW w:type="dxa" w:w="1200"/>
          </w:tcPr>
          <w:p>
            <w:pPr>
              <w:keepLines/>
              <w:spacing w:after="0" w:line="276" w:lineRule="auto"/>
            </w:pPr>
            <w:r>
              <w:rPr>
                <w:rFonts w:ascii="Calibri" w:hAnsi="Calibri" w:eastAsia="Microsoft YaHei"/>
                <w:color w:val="0B2545"/>
                <w:sz w:val="15"/>
              </w:rPr>
              <w:t>DG5-028</w:t>
            </w:r>
          </w:p>
        </w:tc>
        <w:tc>
          <w:tcPr>
            <w:tcW w:type="dxa" w:w="750"/>
          </w:tcPr>
          <w:p>
            <w:pPr>
              <w:keepLines/>
              <w:spacing w:after="0" w:line="276" w:lineRule="auto"/>
            </w:pPr>
            <w:r>
              <w:rPr>
                <w:rFonts w:ascii="Calibri" w:hAnsi="Calibri" w:eastAsia="Microsoft YaHei"/>
                <w:color w:val="0B2545"/>
                <w:sz w:val="15"/>
              </w:rPr>
              <w:t>E4</w:t>
            </w:r>
          </w:p>
        </w:tc>
        <w:tc>
          <w:tcPr>
            <w:tcW w:type="dxa" w:w="750"/>
          </w:tcPr>
          <w:p>
            <w:pPr>
              <w:keepLines/>
              <w:spacing w:after="0" w:line="276" w:lineRule="auto"/>
            </w:pPr>
            <w:r>
              <w:rPr>
                <w:rFonts w:ascii="Calibri" w:hAnsi="Calibri" w:eastAsia="Microsoft YaHei"/>
                <w:color w:val="0B2545"/>
                <w:sz w:val="15"/>
              </w:rPr>
              <w:t>D4</w:t>
            </w:r>
          </w:p>
        </w:tc>
        <w:tc>
          <w:tcPr>
            <w:tcW w:type="dxa" w:w="2100"/>
          </w:tcPr>
          <w:p>
            <w:pPr>
              <w:keepLines/>
              <w:spacing w:after="0" w:line="276" w:lineRule="auto"/>
            </w:pPr>
            <w:r>
              <w:rPr>
                <w:rFonts w:ascii="Calibri" w:hAnsi="Calibri" w:eastAsia="Microsoft YaHei"/>
                <w:color w:val="0B2545"/>
                <w:sz w:val="15"/>
              </w:rPr>
              <w:t>NUCLEAR_PARTICLE</w:t>
            </w:r>
          </w:p>
        </w:tc>
        <w:tc>
          <w:tcPr>
            <w:tcW w:type="dxa" w:w="4560"/>
          </w:tcPr>
          <w:p>
            <w:pPr>
              <w:keepLines/>
              <w:spacing w:after="0" w:line="276" w:lineRule="auto"/>
            </w:pPr>
            <w:r>
              <w:rPr>
                <w:rFonts w:ascii="Calibri" w:hAnsi="Calibri" w:eastAsia="Microsoft YaHei"/>
                <w:color w:val="0B2545"/>
                <w:sz w:val="15"/>
              </w:rPr>
              <w:t>ASDEX Upgrade；DIII-D；MAST；KSTAR</w:t>
            </w:r>
          </w:p>
        </w:tc>
      </w:tr>
    </w:tbl>
    <w:p>
      <w:pPr>
        <w:spacing w:before="0" w:after="60"/>
      </w:pPr>
    </w:p>
    <w:p>
      <w:pPr>
        <w:widowControl/>
      </w:pPr>
      <w:r>
        <w:rPr>
          <w:rFonts w:ascii="Calibri" w:hAnsi="Calibri" w:eastAsia="Microsoft YaHei"/>
          <w:b/>
          <w:color w:val="1F4D78"/>
        </w:rPr>
        <w:t>解决问题：</w:t>
      </w:r>
      <w:r>
        <w:rPr>
          <w:rFonts w:ascii="Calibri" w:hAnsi="Calibri" w:eastAsia="Microsoft YaHei"/>
        </w:rPr>
        <w:t>测量到达壁附近的快离子损失、回旋半径和俯仰角，评估PFC载荷。</w:t>
      </w:r>
    </w:p>
    <w:p>
      <w:pPr>
        <w:widowControl/>
      </w:pPr>
      <w:r>
        <w:rPr>
          <w:rFonts w:ascii="Calibri" w:hAnsi="Calibri" w:eastAsia="Microsoft YaHei"/>
          <w:b/>
          <w:color w:val="1F4D78"/>
        </w:rPr>
        <w:t>测量原理：</w:t>
      </w:r>
      <w:r>
        <w:rPr>
          <w:rFonts w:ascii="Calibri" w:hAnsi="Calibri" w:eastAsia="Microsoft YaHei"/>
        </w:rPr>
        <w:t>磁狭缝按回旋轨道选择入射离子；闪烁屏位置映射回旋半径/俯仰角，光学读出时间演化。</w:t>
      </w:r>
    </w:p>
    <w:p>
      <w:pPr>
        <w:widowControl/>
      </w:pPr>
      <w:r>
        <w:rPr>
          <w:rFonts w:ascii="Calibri" w:hAnsi="Calibri" w:eastAsia="Microsoft YaHei"/>
          <w:b/>
          <w:color w:val="1F4D78"/>
        </w:rPr>
        <w:t>测量产品：</w:t>
      </w:r>
      <w:r>
        <w:rPr>
          <w:rFonts w:ascii="Calibri" w:hAnsi="Calibri" w:eastAsia="Microsoft YaHei"/>
        </w:rPr>
        <w:t>loss flux；gyroradius；pitch angle；loss timing</w:t>
      </w:r>
    </w:p>
    <w:p>
      <w:pPr>
        <w:widowControl/>
      </w:pPr>
      <w:r>
        <w:rPr>
          <w:rFonts w:ascii="Calibri" w:hAnsi="Calibri" w:eastAsia="Microsoft YaHei"/>
          <w:b/>
          <w:color w:val="1F4D78"/>
        </w:rPr>
        <w:t>时空分辨与覆盖：</w:t>
      </w:r>
      <w:r>
        <w:rPr>
          <w:rFonts w:ascii="Calibri" w:hAnsi="Calibri" w:eastAsia="Microsoft YaHei"/>
        </w:rPr>
        <w:t>时间：因装置、采集和分析链而异；原始来源未给出统一数值。；空间：由视线、几何和反演设定；原始来源未给出统一数值。</w:t>
      </w:r>
    </w:p>
    <w:p>
      <w:pPr>
        <w:widowControl/>
      </w:pPr>
      <w:r>
        <w:rPr>
          <w:rFonts w:ascii="Calibri" w:hAnsi="Calibri" w:eastAsia="Microsoft YaHei"/>
          <w:b/>
          <w:color w:val="1F4D78"/>
        </w:rPr>
        <w:t>仪器与传感器：</w:t>
      </w:r>
      <w:r>
        <w:rPr>
          <w:rFonts w:ascii="Calibri" w:hAnsi="Calibri" w:eastAsia="Microsoft YaHei"/>
        </w:rPr>
        <w:t>collimator/slits；scintillator screen；fast camera；photomultiplier；retractable head</w:t>
      </w:r>
    </w:p>
    <w:p>
      <w:pPr>
        <w:widowControl/>
      </w:pPr>
      <w:r>
        <w:rPr>
          <w:rFonts w:ascii="Calibri" w:hAnsi="Calibri" w:eastAsia="Microsoft YaHei"/>
          <w:b/>
          <w:color w:val="1F4D78"/>
        </w:rPr>
        <w:t>标定与质量：</w:t>
      </w:r>
      <w:r>
        <w:rPr>
          <w:rFonts w:ascii="Calibri" w:hAnsi="Calibri" w:eastAsia="Microsoft YaHei"/>
        </w:rPr>
        <w:t>用离子束/几何测量标定映射与效率；磁场/轨道模型验证探头接受度。</w:t>
      </w:r>
    </w:p>
    <w:p>
      <w:pPr>
        <w:widowControl/>
      </w:pPr>
      <w:r>
        <w:rPr>
          <w:rFonts w:ascii="Calibri" w:hAnsi="Calibri" w:eastAsia="Microsoft YaHei"/>
          <w:b/>
          <w:color w:val="1F4D78"/>
        </w:rPr>
        <w:t>反演与分析：</w:t>
      </w:r>
      <w:r>
        <w:rPr>
          <w:rFonts w:ascii="Calibri" w:hAnsi="Calibri" w:eastAsia="Microsoft YaHei"/>
        </w:rPr>
        <w:t>图像去背景后转为相空间损失图；轨道追踪关联源区和MHD。</w:t>
      </w:r>
    </w:p>
    <w:p>
      <w:pPr>
        <w:widowControl/>
      </w:pPr>
      <w:r>
        <w:rPr>
          <w:rFonts w:ascii="Calibri" w:hAnsi="Calibri" w:eastAsia="Microsoft YaHei"/>
          <w:b/>
          <w:color w:val="1F4D78"/>
        </w:rPr>
        <w:t>验证与应用：</w:t>
      </w:r>
      <w:r>
        <w:rPr>
          <w:rFonts w:ascii="Calibri" w:hAnsi="Calibri" w:eastAsia="Microsoft YaHei"/>
        </w:rPr>
        <w:t>以可控NBI轨道损失、探头位置扫描和MHD同步事件验证；AUG有自适应探头装置运行。</w:t>
      </w:r>
    </w:p>
    <w:p>
      <w:pPr>
        <w:widowControl/>
      </w:pPr>
      <w:r>
        <w:rPr>
          <w:rFonts w:ascii="Calibri" w:hAnsi="Calibri" w:eastAsia="Microsoft YaHei"/>
          <w:b/>
          <w:color w:val="1F4D78"/>
        </w:rPr>
        <w:t>局限与边界：</w:t>
      </w:r>
      <w:r>
        <w:rPr>
          <w:rFonts w:ascii="Calibri" w:hAnsi="Calibri" w:eastAsia="Microsoft YaHei"/>
        </w:rPr>
        <w:t>只采样局部壁位置；探头受热/中子载荷，闪烁退化且绝对通量困难。</w:t>
      </w:r>
    </w:p>
    <w:tbl>
      <w:tblPr>
        <w:tblStyle w:val="TableGrid"/>
        <w:tblW w:type="dxa" w:w="9360"/>
        <w:jc w:val="left"/>
        <w:tblLayout w:type="fixed"/>
        <w:tblLook w:firstColumn="1" w:firstRow="1" w:lastColumn="0" w:lastRow="0" w:noHBand="0" w:noVBand="1" w:val="04A0"/>
        <w:tblInd w:w="120" w:type="dxa"/>
      </w:tblPr>
      <w:tblGrid>
        <w:gridCol w:w="9360"/>
      </w:tblGrid>
      <w:tr>
        <w:trPr>
          <w:cantSplit/>
        </w:trPr>
        <w:tc>
          <w:tcPr>
            <w:tcW w:type="dxa" w:w="9360"/>
            <w:tcMar>
              <w:top w:w="80" w:type="dxa"/>
              <w:bottom w:w="80" w:type="dxa"/>
              <w:start w:w="120" w:type="dxa"/>
              <w:end w:w="120" w:type="dxa"/>
            </w:tcMar>
            <w:vAlign w:val="center"/>
            <w:shd w:fill="EEF7F7"/>
          </w:tcPr>
          <w:p>
            <w:pPr>
              <w:keepNext/>
              <w:keepLines/>
              <w:spacing w:after="40"/>
            </w:pPr>
            <w:r>
              <w:rPr>
                <w:rFonts w:ascii="Calibri" w:hAnsi="Calibri" w:eastAsia="Microsoft YaHei"/>
                <w:b/>
                <w:color w:val="008C95"/>
                <w:sz w:val="17"/>
              </w:rPr>
              <w:t>DIGITAL-TWIN RELEVANCE</w:t>
            </w:r>
          </w:p>
          <w:p>
            <w:pPr>
              <w:spacing w:after="0"/>
            </w:pPr>
            <w:r>
              <w:rPr>
                <w:rFonts w:ascii="Calibri" w:hAnsi="Calibri" w:eastAsia="Microsoft YaHei"/>
                <w:color w:val="0B2545"/>
                <w:sz w:val="20"/>
              </w:rPr>
              <w:t>把快离子相空间与PFC局部风险连接；需把探头几何、磁场和退化状态纳入孪生。</w:t>
            </w:r>
          </w:p>
        </w:tc>
      </w:tr>
    </w:tbl>
    <w:p>
      <w:pPr>
        <w:spacing w:after="40"/>
      </w:pPr>
    </w:p>
    <w:tbl>
      <w:tblPr>
        <w:tblStyle w:val="TableGrid"/>
        <w:tblW w:type="dxa" w:w="9360"/>
        <w:jc w:val="left"/>
        <w:tblLayout w:type="fixed"/>
        <w:tblLook w:firstColumn="1" w:firstRow="1" w:lastColumn="0" w:lastRow="0" w:noHBand="0" w:noVBand="1" w:val="04A0"/>
        <w:tblInd w:w="120" w:type="dxa"/>
      </w:tblPr>
      <w:tblGrid>
        <w:gridCol w:w="850"/>
        <w:gridCol w:w="2500"/>
        <w:gridCol w:w="1600"/>
        <w:gridCol w:w="2300"/>
        <w:gridCol w:w="2110"/>
      </w:tblGrid>
      <w:tr>
        <w:trPr>
          <w:tblHeader w:val="true"/>
        </w:trPr>
        <w:tc>
          <w:tcPr>
            <w:tcW w:type="dxa" w:w="8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年份/类型</w:t>
            </w:r>
          </w:p>
        </w:tc>
        <w:tc>
          <w:tcPr>
            <w:tcW w:type="dxa" w:w="25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论文或软件</w:t>
            </w:r>
          </w:p>
        </w:tc>
        <w:tc>
          <w:tcPr>
            <w:tcW w:type="dxa" w:w="16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期刊/开放性</w:t>
            </w:r>
          </w:p>
        </w:tc>
        <w:tc>
          <w:tcPr>
            <w:tcW w:type="dxa" w:w="23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来源类型/关系</w:t>
            </w:r>
          </w:p>
        </w:tc>
        <w:tc>
          <w:tcPr>
            <w:tcW w:type="dxa" w:w="211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链接</w:t>
            </w:r>
          </w:p>
        </w:tc>
      </w:tr>
      <w:tr>
        <w:trPr>
          <w:cantSplit/>
        </w:trPr>
        <w:tc>
          <w:tcPr>
            <w:tcW w:type="dxa" w:w="850"/>
          </w:tcPr>
          <w:p>
            <w:pPr>
              <w:keepLines/>
              <w:spacing w:after="0" w:line="276" w:lineRule="auto"/>
            </w:pPr>
            <w:r>
              <w:rPr>
                <w:rFonts w:ascii="Calibri" w:hAnsi="Calibri" w:eastAsia="Microsoft YaHei"/>
                <w:color w:val="0B2545"/>
                <w:sz w:val="14"/>
              </w:rPr>
              <w:t>2021</w:t>
            </w:r>
          </w:p>
        </w:tc>
        <w:tc>
          <w:tcPr>
            <w:tcW w:type="dxa" w:w="2500"/>
          </w:tcPr>
          <w:p>
            <w:pPr>
              <w:keepLines/>
              <w:spacing w:after="0" w:line="276" w:lineRule="auto"/>
            </w:pPr>
            <w:r>
              <w:rPr>
                <w:rFonts w:ascii="Calibri" w:hAnsi="Calibri" w:eastAsia="Microsoft YaHei"/>
                <w:color w:val="0B2545"/>
                <w:sz w:val="14"/>
              </w:rPr>
              <w:t>Self-adaptive diagnostic of radial fast-ion loss measurements on the ASDEX Upgrade tokamak (invited)</w:t>
            </w:r>
          </w:p>
        </w:tc>
        <w:tc>
          <w:tcPr>
            <w:tcW w:type="dxa" w:w="1600"/>
          </w:tcPr>
          <w:p>
            <w:pPr>
              <w:keepLines/>
              <w:spacing w:after="0" w:line="276" w:lineRule="auto"/>
            </w:pPr>
            <w:r>
              <w:rPr>
                <w:rFonts w:ascii="Calibri" w:hAnsi="Calibri" w:eastAsia="Microsoft YaHei"/>
                <w:color w:val="0B2545"/>
                <w:sz w:val="14"/>
              </w:rPr>
              <w:t>Review of Scientific Instruments</w:t>
            </w:r>
          </w:p>
        </w:tc>
        <w:tc>
          <w:tcPr>
            <w:tcW w:type="dxa" w:w="2300"/>
          </w:tcPr>
          <w:p>
            <w:pPr>
              <w:keepLines/>
              <w:spacing w:after="0" w:line="276" w:lineRule="auto"/>
            </w:pPr>
            <w:r>
              <w:rPr>
                <w:rFonts w:ascii="Calibri" w:hAnsi="Calibri" w:eastAsia="Microsoft YaHei"/>
                <w:color w:val="0B2545"/>
                <w:sz w:val="14"/>
              </w:rPr>
              <w:t>peer-reviewed-journal</w:t>
            </w:r>
          </w:p>
        </w:tc>
        <w:tc>
          <w:tcPr>
            <w:tcW w:type="dxa" w:w="2110"/>
          </w:tcPr>
          <w:p>
            <w:pPr>
              <w:keepLines/>
              <w:spacing w:after="0" w:line="276" w:lineRule="auto"/>
            </w:pPr>
            <w:hyperlink r:id="rId101">
              <w:r>
                <w:rPr>
                  <w:rFonts w:ascii="Calibri" w:hAnsi="Calibri" w:eastAsia="Microsoft YaHei"/>
                  <w:color w:val="008C95"/>
                  <w:u w:val="single"/>
                </w:rPr>
                <w:t>打开原始来源 ↗</w:t>
              </w:r>
            </w:hyperlink>
          </w:p>
        </w:tc>
      </w:tr>
      <w:tr>
        <w:trPr>
          <w:cantSplit/>
        </w:trPr>
        <w:tc>
          <w:tcPr>
            <w:tcW w:type="dxa" w:w="850"/>
          </w:tcPr>
          <w:p>
            <w:pPr>
              <w:keepLines/>
              <w:spacing w:after="0" w:line="276" w:lineRule="auto"/>
            </w:pPr>
            <w:r>
              <w:rPr>
                <w:rFonts w:ascii="Calibri" w:hAnsi="Calibri" w:eastAsia="Microsoft YaHei"/>
                <w:color w:val="0B2545"/>
                <w:sz w:val="14"/>
              </w:rPr>
              <w:t>软件</w:t>
            </w:r>
          </w:p>
        </w:tc>
        <w:tc>
          <w:tcPr>
            <w:tcW w:type="dxa" w:w="2500"/>
          </w:tcPr>
          <w:p>
            <w:pPr>
              <w:keepLines/>
              <w:spacing w:after="0" w:line="276" w:lineRule="auto"/>
            </w:pPr>
            <w:r>
              <w:rPr>
                <w:rFonts w:ascii="Calibri" w:hAnsi="Calibri" w:eastAsia="Microsoft YaHei"/>
                <w:color w:val="0B2545"/>
                <w:sz w:val="14"/>
              </w:rPr>
              <w:t>装置专有分析/标定软件</w:t>
            </w:r>
          </w:p>
        </w:tc>
        <w:tc>
          <w:tcPr>
            <w:tcW w:type="dxa" w:w="1600"/>
          </w:tcPr>
          <w:p>
            <w:pPr>
              <w:keepLines/>
              <w:spacing w:after="0" w:line="276" w:lineRule="auto"/>
            </w:pPr>
            <w:r>
              <w:rPr>
                <w:rFonts w:ascii="Calibri" w:hAnsi="Calibri" w:eastAsia="Microsoft YaHei"/>
                <w:color w:val="0B2545"/>
                <w:sz w:val="14"/>
              </w:rPr>
              <w:t>not-public</w:t>
            </w:r>
          </w:p>
        </w:tc>
        <w:tc>
          <w:tcPr>
            <w:tcW w:type="dxa" w:w="2300"/>
          </w:tcPr>
          <w:p>
            <w:pPr>
              <w:keepLines/>
              <w:spacing w:after="0" w:line="276" w:lineRule="auto"/>
            </w:pPr>
            <w:r>
              <w:rPr>
                <w:rFonts w:ascii="Calibri" w:hAnsi="Calibri" w:eastAsia="Microsoft YaHei"/>
                <w:color w:val="0B2545"/>
                <w:sz w:val="14"/>
              </w:rPr>
              <w:t>FILD图像映射、轨道数据库与在线事件代码未公开。</w:t>
            </w:r>
          </w:p>
        </w:tc>
        <w:tc>
          <w:tcPr>
            <w:tcW w:type="dxa" w:w="2110"/>
          </w:tcPr>
          <w:p>
            <w:pPr>
              <w:keepLines/>
              <w:spacing w:after="0" w:line="276" w:lineRule="auto"/>
            </w:pPr>
            <w:r>
              <w:rPr>
                <w:rFonts w:ascii="Calibri" w:hAnsi="Calibri" w:eastAsia="Microsoft YaHei"/>
                <w:color w:val="0B2545"/>
                <w:sz w:val="14"/>
              </w:rPr>
              <w:t>未公开</w:t>
            </w:r>
          </w:p>
        </w:tc>
      </w:tr>
    </w:tbl>
    <w:p>
      <w:pPr>
        <w:spacing w:before="0" w:after="60"/>
      </w:pPr>
    </w:p>
    <w:p>
      <w:pPr>
        <w:pStyle w:val="Heading2"/>
      </w:pPr>
      <w:r>
        <w:t>关联工作速查</w:t>
      </w:r>
    </w:p>
    <w:tbl>
      <w:tblPr>
        <w:tblStyle w:val="TableGrid"/>
        <w:tblW w:type="dxa" w:w="9360"/>
        <w:jc w:val="left"/>
        <w:tblLayout w:type="fixed"/>
        <w:tblLook w:firstColumn="1" w:firstRow="1" w:lastColumn="0" w:lastRow="0" w:noHBand="0" w:noVBand="1" w:val="04A0"/>
        <w:tblInd w:w="120" w:type="dxa"/>
      </w:tblPr>
      <w:tblGrid>
        <w:gridCol w:w="1000"/>
        <w:gridCol w:w="900"/>
        <w:gridCol w:w="3760"/>
        <w:gridCol w:w="800"/>
        <w:gridCol w:w="2900"/>
      </w:tblGrid>
      <w:tr>
        <w:trPr>
          <w:tblHeader w:val="true"/>
        </w:trPr>
        <w:tc>
          <w:tcPr>
            <w:tcW w:type="dxa" w:w="1000"/>
            <w:tcMar>
              <w:top w:w="55" w:type="dxa"/>
              <w:bottom w:w="55" w:type="dxa"/>
              <w:start w:w="100" w:type="dxa"/>
              <w:end w:w="100" w:type="dxa"/>
            </w:tcMar>
            <w:vAlign w:val="center"/>
            <w:shd w:fill="E8EEF5"/>
          </w:tcPr>
          <w:p>
            <w:pPr>
              <w:keepNext/>
              <w:spacing w:after="0"/>
              <w:jc w:val="center"/>
            </w:pPr>
            <w:r>
              <w:rPr>
                <w:rFonts w:ascii="Calibri" w:hAnsi="Calibri" w:eastAsia="Microsoft YaHei"/>
                <w:b/>
                <w:color w:val="0B2545"/>
                <w:sz w:val="14"/>
              </w:rPr>
              <w:t>ID</w:t>
            </w:r>
          </w:p>
        </w:tc>
        <w:tc>
          <w:tcPr>
            <w:tcW w:type="dxa" w:w="900"/>
            <w:tcMar>
              <w:top w:w="55" w:type="dxa"/>
              <w:bottom w:w="55" w:type="dxa"/>
              <w:start w:w="100" w:type="dxa"/>
              <w:end w:w="100" w:type="dxa"/>
            </w:tcMar>
            <w:vAlign w:val="center"/>
            <w:shd w:fill="E8EEF5"/>
          </w:tcPr>
          <w:p>
            <w:pPr>
              <w:keepNext/>
              <w:spacing w:after="0"/>
              <w:jc w:val="center"/>
            </w:pPr>
            <w:r>
              <w:rPr>
                <w:rFonts w:ascii="Calibri" w:hAnsi="Calibri" w:eastAsia="Microsoft YaHei"/>
                <w:b/>
                <w:color w:val="0B2545"/>
                <w:sz w:val="14"/>
              </w:rPr>
              <w:t>主任务</w:t>
            </w:r>
          </w:p>
        </w:tc>
        <w:tc>
          <w:tcPr>
            <w:tcW w:type="dxa" w:w="3760"/>
            <w:tcMar>
              <w:top w:w="55" w:type="dxa"/>
              <w:bottom w:w="55" w:type="dxa"/>
              <w:start w:w="100" w:type="dxa"/>
              <w:end w:w="100" w:type="dxa"/>
            </w:tcMar>
            <w:vAlign w:val="center"/>
            <w:shd w:fill="E8EEF5"/>
          </w:tcPr>
          <w:p>
            <w:pPr>
              <w:keepNext/>
              <w:spacing w:after="0"/>
              <w:jc w:val="center"/>
            </w:pPr>
            <w:r>
              <w:rPr>
                <w:rFonts w:ascii="Calibri" w:hAnsi="Calibri" w:eastAsia="Microsoft YaHei"/>
                <w:b/>
                <w:color w:val="0B2545"/>
                <w:sz w:val="14"/>
              </w:rPr>
              <w:t>标题</w:t>
            </w:r>
          </w:p>
        </w:tc>
        <w:tc>
          <w:tcPr>
            <w:tcW w:type="dxa" w:w="800"/>
            <w:tcMar>
              <w:top w:w="55" w:type="dxa"/>
              <w:bottom w:w="55" w:type="dxa"/>
              <w:start w:w="100" w:type="dxa"/>
              <w:end w:w="100" w:type="dxa"/>
            </w:tcMar>
            <w:vAlign w:val="center"/>
            <w:shd w:fill="E8EEF5"/>
          </w:tcPr>
          <w:p>
            <w:pPr>
              <w:keepNext/>
              <w:spacing w:after="0"/>
              <w:jc w:val="center"/>
            </w:pPr>
            <w:r>
              <w:rPr>
                <w:rFonts w:ascii="Calibri" w:hAnsi="Calibri" w:eastAsia="Microsoft YaHei"/>
                <w:b/>
                <w:color w:val="0B2545"/>
                <w:sz w:val="14"/>
              </w:rPr>
              <w:t>证据</w:t>
            </w:r>
          </w:p>
        </w:tc>
        <w:tc>
          <w:tcPr>
            <w:tcW w:type="dxa" w:w="2900"/>
            <w:tcMar>
              <w:top w:w="55" w:type="dxa"/>
              <w:bottom w:w="55" w:type="dxa"/>
              <w:start w:w="100" w:type="dxa"/>
              <w:end w:w="100" w:type="dxa"/>
            </w:tcMar>
            <w:vAlign w:val="center"/>
            <w:shd w:fill="E8EEF5"/>
          </w:tcPr>
          <w:p>
            <w:pPr>
              <w:keepNext/>
              <w:spacing w:after="0"/>
              <w:jc w:val="center"/>
            </w:pPr>
            <w:r>
              <w:rPr>
                <w:rFonts w:ascii="Calibri" w:hAnsi="Calibri" w:eastAsia="Microsoft YaHei"/>
                <w:b/>
                <w:color w:val="0B2545"/>
                <w:sz w:val="14"/>
              </w:rPr>
              <w:t>装置</w:t>
            </w:r>
          </w:p>
        </w:tc>
      </w:tr>
      <w:tr>
        <w:trPr>
          <w:cantSplit/>
        </w:trPr>
        <w:tc>
          <w:tcPr>
            <w:tcW w:type="dxa" w:w="1000"/>
            <w:tcMar>
              <w:top w:w="45" w:type="dxa"/>
              <w:bottom w:w="45" w:type="dxa"/>
              <w:start w:w="100" w:type="dxa"/>
              <w:end w:w="100" w:type="dxa"/>
            </w:tcMar>
          </w:tcPr>
          <w:p>
            <w:pPr>
              <w:keepLines/>
              <w:spacing w:after="0" w:line="252" w:lineRule="auto"/>
            </w:pPr>
            <w:r>
              <w:rPr>
                <w:rFonts w:ascii="Calibri" w:hAnsi="Calibri" w:eastAsia="Microsoft YaHei"/>
                <w:color w:val="0B2545"/>
                <w:sz w:val="14"/>
              </w:rPr>
              <w:t>DSI-001</w:t>
            </w:r>
          </w:p>
        </w:tc>
        <w:tc>
          <w:tcPr>
            <w:tcW w:type="dxa" w:w="900"/>
            <w:tcMar>
              <w:top w:w="45" w:type="dxa"/>
              <w:bottom w:w="45" w:type="dxa"/>
              <w:start w:w="100" w:type="dxa"/>
              <w:end w:w="100" w:type="dxa"/>
            </w:tcMar>
          </w:tcPr>
          <w:p>
            <w:pPr>
              <w:keepLines/>
              <w:spacing w:after="0" w:line="252" w:lineRule="auto"/>
            </w:pPr>
            <w:r>
              <w:rPr>
                <w:rFonts w:ascii="Calibri" w:hAnsi="Calibri" w:eastAsia="Microsoft YaHei"/>
                <w:color w:val="0B2545"/>
                <w:sz w:val="14"/>
              </w:rPr>
              <w:t>DG0</w:t>
            </w:r>
          </w:p>
        </w:tc>
        <w:tc>
          <w:tcPr>
            <w:tcW w:type="dxa" w:w="3760"/>
            <w:tcMar>
              <w:top w:w="45" w:type="dxa"/>
              <w:bottom w:w="45" w:type="dxa"/>
              <w:start w:w="100" w:type="dxa"/>
              <w:end w:w="100" w:type="dxa"/>
            </w:tcMar>
          </w:tcPr>
          <w:p>
            <w:pPr>
              <w:keepLines/>
              <w:spacing w:after="0" w:line="252" w:lineRule="auto"/>
            </w:pPr>
            <w:r>
              <w:rPr>
                <w:rFonts w:ascii="Calibri" w:hAnsi="Calibri" w:eastAsia="Microsoft YaHei"/>
                <w:color w:val="0B2545"/>
                <w:sz w:val="14"/>
              </w:rPr>
              <w:t>IMAS 接口数据结构与数据字典</w:t>
            </w:r>
          </w:p>
        </w:tc>
        <w:tc>
          <w:tcPr>
            <w:tcW w:type="dxa" w:w="800"/>
            <w:tcMar>
              <w:top w:w="45" w:type="dxa"/>
              <w:bottom w:w="45" w:type="dxa"/>
              <w:start w:w="100" w:type="dxa"/>
              <w:end w:w="100" w:type="dxa"/>
            </w:tcMar>
          </w:tcPr>
          <w:p>
            <w:pPr>
              <w:keepLines/>
              <w:spacing w:after="0" w:line="252" w:lineRule="auto"/>
            </w:pPr>
            <w:r>
              <w:rPr>
                <w:rFonts w:ascii="Calibri" w:hAnsi="Calibri" w:eastAsia="Microsoft YaHei"/>
                <w:color w:val="0B2545"/>
                <w:sz w:val="14"/>
              </w:rPr>
              <w:t>E3</w:t>
            </w:r>
          </w:p>
        </w:tc>
        <w:tc>
          <w:tcPr>
            <w:tcW w:type="dxa" w:w="2900"/>
            <w:tcMar>
              <w:top w:w="45" w:type="dxa"/>
              <w:bottom w:w="45" w:type="dxa"/>
              <w:start w:w="100" w:type="dxa"/>
              <w:end w:w="100" w:type="dxa"/>
            </w:tcMar>
          </w:tcPr>
          <w:p>
            <w:pPr>
              <w:keepLines/>
              <w:spacing w:after="0" w:line="252" w:lineRule="auto"/>
            </w:pPr>
            <w:r>
              <w:rPr>
                <w:rFonts w:ascii="Calibri" w:hAnsi="Calibri" w:eastAsia="Microsoft YaHei"/>
                <w:color w:val="0B2545"/>
                <w:sz w:val="14"/>
              </w:rPr>
              <w:t>ITER；EUROfusion devices；JET；ASDEX Upgrade；WEST；TCV；W7-X</w:t>
            </w:r>
          </w:p>
        </w:tc>
      </w:tr>
      <w:tr>
        <w:trPr>
          <w:cantSplit/>
        </w:trPr>
        <w:tc>
          <w:tcPr>
            <w:tcW w:type="dxa" w:w="1000"/>
            <w:tcMar>
              <w:top w:w="45" w:type="dxa"/>
              <w:bottom w:w="45" w:type="dxa"/>
              <w:start w:w="100" w:type="dxa"/>
              <w:end w:w="100" w:type="dxa"/>
            </w:tcMar>
          </w:tcPr>
          <w:p>
            <w:pPr>
              <w:keepLines/>
              <w:spacing w:after="0" w:line="252" w:lineRule="auto"/>
            </w:pPr>
            <w:r>
              <w:rPr>
                <w:rFonts w:ascii="Calibri" w:hAnsi="Calibri" w:eastAsia="Microsoft YaHei"/>
                <w:color w:val="0B2545"/>
                <w:sz w:val="14"/>
              </w:rPr>
              <w:t>DSI-002</w:t>
            </w:r>
          </w:p>
        </w:tc>
        <w:tc>
          <w:tcPr>
            <w:tcW w:type="dxa" w:w="900"/>
            <w:tcMar>
              <w:top w:w="45" w:type="dxa"/>
              <w:bottom w:w="45" w:type="dxa"/>
              <w:start w:w="100" w:type="dxa"/>
              <w:end w:w="100" w:type="dxa"/>
            </w:tcMar>
          </w:tcPr>
          <w:p>
            <w:pPr>
              <w:keepLines/>
              <w:spacing w:after="0" w:line="252" w:lineRule="auto"/>
            </w:pPr>
            <w:r>
              <w:rPr>
                <w:rFonts w:ascii="Calibri" w:hAnsi="Calibri" w:eastAsia="Microsoft YaHei"/>
                <w:color w:val="0B2545"/>
                <w:sz w:val="14"/>
              </w:rPr>
              <w:t>DG0</w:t>
            </w:r>
          </w:p>
        </w:tc>
        <w:tc>
          <w:tcPr>
            <w:tcW w:type="dxa" w:w="3760"/>
            <w:tcMar>
              <w:top w:w="45" w:type="dxa"/>
              <w:bottom w:w="45" w:type="dxa"/>
              <w:start w:w="100" w:type="dxa"/>
              <w:end w:w="100" w:type="dxa"/>
            </w:tcMar>
          </w:tcPr>
          <w:p>
            <w:pPr>
              <w:keepLines/>
              <w:spacing w:after="0" w:line="252" w:lineRule="auto"/>
            </w:pPr>
            <w:r>
              <w:rPr>
                <w:rFonts w:ascii="Calibri" w:hAnsi="Calibri" w:eastAsia="Microsoft YaHei"/>
                <w:color w:val="0B2545"/>
                <w:sz w:val="14"/>
              </w:rPr>
              <w:t>MDSplus 脉冲树、数据采集与时序数据管理</w:t>
            </w:r>
          </w:p>
        </w:tc>
        <w:tc>
          <w:tcPr>
            <w:tcW w:type="dxa" w:w="800"/>
            <w:tcMar>
              <w:top w:w="45" w:type="dxa"/>
              <w:bottom w:w="45" w:type="dxa"/>
              <w:start w:w="100" w:type="dxa"/>
              <w:end w:w="100" w:type="dxa"/>
            </w:tcMar>
          </w:tcPr>
          <w:p>
            <w:pPr>
              <w:keepLines/>
              <w:spacing w:after="0" w:line="252" w:lineRule="auto"/>
            </w:pPr>
            <w:r>
              <w:rPr>
                <w:rFonts w:ascii="Calibri" w:hAnsi="Calibri" w:eastAsia="Microsoft YaHei"/>
                <w:color w:val="0B2545"/>
                <w:sz w:val="14"/>
              </w:rPr>
              <w:t>E4</w:t>
            </w:r>
          </w:p>
        </w:tc>
        <w:tc>
          <w:tcPr>
            <w:tcW w:type="dxa" w:w="2900"/>
            <w:tcMar>
              <w:top w:w="45" w:type="dxa"/>
              <w:bottom w:w="45" w:type="dxa"/>
              <w:start w:w="100" w:type="dxa"/>
              <w:end w:w="100" w:type="dxa"/>
            </w:tcMar>
          </w:tcPr>
          <w:p>
            <w:pPr>
              <w:keepLines/>
              <w:spacing w:after="0" w:line="252" w:lineRule="auto"/>
            </w:pPr>
            <w:r>
              <w:rPr>
                <w:rFonts w:ascii="Calibri" w:hAnsi="Calibri" w:eastAsia="Microsoft YaHei"/>
                <w:color w:val="0B2545"/>
                <w:sz w:val="14"/>
              </w:rPr>
              <w:t>Alcator C-Mod；RFX-mod；TCV；DIII-D；KSTAR；EAST；NSTX-U；SPIDER</w:t>
            </w:r>
          </w:p>
        </w:tc>
      </w:tr>
      <w:tr>
        <w:trPr>
          <w:cantSplit/>
        </w:trPr>
        <w:tc>
          <w:tcPr>
            <w:tcW w:type="dxa" w:w="1000"/>
            <w:tcMar>
              <w:top w:w="45" w:type="dxa"/>
              <w:bottom w:w="45" w:type="dxa"/>
              <w:start w:w="100" w:type="dxa"/>
              <w:end w:w="100" w:type="dxa"/>
            </w:tcMar>
          </w:tcPr>
          <w:p>
            <w:pPr>
              <w:keepLines/>
              <w:spacing w:after="0" w:line="252" w:lineRule="auto"/>
            </w:pPr>
            <w:r>
              <w:rPr>
                <w:rFonts w:ascii="Calibri" w:hAnsi="Calibri" w:eastAsia="Microsoft YaHei"/>
                <w:color w:val="0B2545"/>
                <w:sz w:val="14"/>
              </w:rPr>
              <w:t>DSI-003</w:t>
            </w:r>
          </w:p>
        </w:tc>
        <w:tc>
          <w:tcPr>
            <w:tcW w:type="dxa" w:w="900"/>
            <w:tcMar>
              <w:top w:w="45" w:type="dxa"/>
              <w:bottom w:w="45" w:type="dxa"/>
              <w:start w:w="100" w:type="dxa"/>
              <w:end w:w="100" w:type="dxa"/>
            </w:tcMar>
          </w:tcPr>
          <w:p>
            <w:pPr>
              <w:keepLines/>
              <w:spacing w:after="0" w:line="252" w:lineRule="auto"/>
            </w:pPr>
            <w:r>
              <w:rPr>
                <w:rFonts w:ascii="Calibri" w:hAnsi="Calibri" w:eastAsia="Microsoft YaHei"/>
                <w:color w:val="0B2545"/>
                <w:sz w:val="14"/>
              </w:rPr>
              <w:t>DG0</w:t>
            </w:r>
          </w:p>
        </w:tc>
        <w:tc>
          <w:tcPr>
            <w:tcW w:type="dxa" w:w="3760"/>
            <w:tcMar>
              <w:top w:w="45" w:type="dxa"/>
              <w:bottom w:w="45" w:type="dxa"/>
              <w:start w:w="100" w:type="dxa"/>
              <w:end w:w="100" w:type="dxa"/>
            </w:tcMar>
          </w:tcPr>
          <w:p>
            <w:pPr>
              <w:keepLines/>
              <w:spacing w:after="0" w:line="252" w:lineRule="auto"/>
            </w:pPr>
            <w:r>
              <w:rPr>
                <w:rFonts w:ascii="Calibri" w:hAnsi="Calibri" w:eastAsia="Microsoft YaHei"/>
                <w:color w:val="0B2545"/>
                <w:sz w:val="14"/>
              </w:rPr>
              <w:t>UDA 统一数据访问层</w:t>
            </w:r>
          </w:p>
        </w:tc>
        <w:tc>
          <w:tcPr>
            <w:tcW w:type="dxa" w:w="800"/>
            <w:tcMar>
              <w:top w:w="45" w:type="dxa"/>
              <w:bottom w:w="45" w:type="dxa"/>
              <w:start w:w="100" w:type="dxa"/>
              <w:end w:w="100" w:type="dxa"/>
            </w:tcMar>
          </w:tcPr>
          <w:p>
            <w:pPr>
              <w:keepLines/>
              <w:spacing w:after="0" w:line="252" w:lineRule="auto"/>
            </w:pPr>
            <w:r>
              <w:rPr>
                <w:rFonts w:ascii="Calibri" w:hAnsi="Calibri" w:eastAsia="Microsoft YaHei"/>
                <w:color w:val="0B2545"/>
                <w:sz w:val="14"/>
              </w:rPr>
              <w:t>E3</w:t>
            </w:r>
          </w:p>
        </w:tc>
        <w:tc>
          <w:tcPr>
            <w:tcW w:type="dxa" w:w="2900"/>
            <w:tcMar>
              <w:top w:w="45" w:type="dxa"/>
              <w:bottom w:w="45" w:type="dxa"/>
              <w:start w:w="100" w:type="dxa"/>
              <w:end w:w="100" w:type="dxa"/>
            </w:tcMar>
          </w:tcPr>
          <w:p>
            <w:pPr>
              <w:keepLines/>
              <w:spacing w:after="0" w:line="252" w:lineRule="auto"/>
            </w:pPr>
            <w:r>
              <w:rPr>
                <w:rFonts w:ascii="Calibri" w:hAnsi="Calibri" w:eastAsia="Microsoft YaHei"/>
                <w:color w:val="0B2545"/>
                <w:sz w:val="14"/>
              </w:rPr>
              <w:t>JET；MAST Upgrade；ITER/IMAS workflows；UKAEA facilities</w:t>
            </w:r>
          </w:p>
        </w:tc>
      </w:tr>
      <w:tr>
        <w:trPr>
          <w:cantSplit/>
        </w:trPr>
        <w:tc>
          <w:tcPr>
            <w:tcW w:type="dxa" w:w="1000"/>
            <w:tcMar>
              <w:top w:w="45" w:type="dxa"/>
              <w:bottom w:w="45" w:type="dxa"/>
              <w:start w:w="100" w:type="dxa"/>
              <w:end w:w="100" w:type="dxa"/>
            </w:tcMar>
          </w:tcPr>
          <w:p>
            <w:pPr>
              <w:keepLines/>
              <w:spacing w:after="0" w:line="252" w:lineRule="auto"/>
            </w:pPr>
            <w:r>
              <w:rPr>
                <w:rFonts w:ascii="Calibri" w:hAnsi="Calibri" w:eastAsia="Microsoft YaHei"/>
                <w:color w:val="0B2545"/>
                <w:sz w:val="14"/>
              </w:rPr>
              <w:t>DSI-004</w:t>
            </w:r>
          </w:p>
        </w:tc>
        <w:tc>
          <w:tcPr>
            <w:tcW w:type="dxa" w:w="900"/>
            <w:tcMar>
              <w:top w:w="45" w:type="dxa"/>
              <w:bottom w:w="45" w:type="dxa"/>
              <w:start w:w="100" w:type="dxa"/>
              <w:end w:w="100" w:type="dxa"/>
            </w:tcMar>
          </w:tcPr>
          <w:p>
            <w:pPr>
              <w:keepLines/>
              <w:spacing w:after="0" w:line="252" w:lineRule="auto"/>
            </w:pPr>
            <w:r>
              <w:rPr>
                <w:rFonts w:ascii="Calibri" w:hAnsi="Calibri" w:eastAsia="Microsoft YaHei"/>
                <w:color w:val="0B2545"/>
                <w:sz w:val="14"/>
              </w:rPr>
              <w:t>DG0</w:t>
            </w:r>
          </w:p>
        </w:tc>
        <w:tc>
          <w:tcPr>
            <w:tcW w:type="dxa" w:w="3760"/>
            <w:tcMar>
              <w:top w:w="45" w:type="dxa"/>
              <w:bottom w:w="45" w:type="dxa"/>
              <w:start w:w="100" w:type="dxa"/>
              <w:end w:w="100" w:type="dxa"/>
            </w:tcMar>
          </w:tcPr>
          <w:p>
            <w:pPr>
              <w:keepLines/>
              <w:spacing w:after="0" w:line="252" w:lineRule="auto"/>
            </w:pPr>
            <w:r>
              <w:rPr>
                <w:rFonts w:ascii="Calibri" w:hAnsi="Calibri" w:eastAsia="Microsoft YaHei"/>
                <w:color w:val="0B2545"/>
                <w:sz w:val="14"/>
              </w:rPr>
              <w:t>OMAS：轻量 IMAS 兼容数据对象与装置映射</w:t>
            </w:r>
          </w:p>
        </w:tc>
        <w:tc>
          <w:tcPr>
            <w:tcW w:type="dxa" w:w="800"/>
            <w:tcMar>
              <w:top w:w="45" w:type="dxa"/>
              <w:bottom w:w="45" w:type="dxa"/>
              <w:start w:w="100" w:type="dxa"/>
              <w:end w:w="100" w:type="dxa"/>
            </w:tcMar>
          </w:tcPr>
          <w:p>
            <w:pPr>
              <w:keepLines/>
              <w:spacing w:after="0" w:line="252" w:lineRule="auto"/>
            </w:pPr>
            <w:r>
              <w:rPr>
                <w:rFonts w:ascii="Calibri" w:hAnsi="Calibri" w:eastAsia="Microsoft YaHei"/>
                <w:color w:val="0B2545"/>
                <w:sz w:val="14"/>
              </w:rPr>
              <w:t>E2</w:t>
            </w:r>
          </w:p>
        </w:tc>
        <w:tc>
          <w:tcPr>
            <w:tcW w:type="dxa" w:w="2900"/>
            <w:tcMar>
              <w:top w:w="45" w:type="dxa"/>
              <w:bottom w:w="45" w:type="dxa"/>
              <w:start w:w="100" w:type="dxa"/>
              <w:end w:w="100" w:type="dxa"/>
            </w:tcMar>
          </w:tcPr>
          <w:p>
            <w:pPr>
              <w:keepLines/>
              <w:spacing w:after="0" w:line="252" w:lineRule="auto"/>
            </w:pPr>
            <w:r>
              <w:rPr>
                <w:rFonts w:ascii="Calibri" w:hAnsi="Calibri" w:eastAsia="Microsoft YaHei"/>
                <w:color w:val="0B2545"/>
                <w:sz w:val="14"/>
              </w:rPr>
              <w:t>DIII-D；NSTX-U；ITER scenario studies；GA workflows</w:t>
            </w:r>
          </w:p>
        </w:tc>
      </w:tr>
      <w:tr>
        <w:trPr>
          <w:cantSplit/>
        </w:trPr>
        <w:tc>
          <w:tcPr>
            <w:tcW w:type="dxa" w:w="1000"/>
            <w:tcMar>
              <w:top w:w="45" w:type="dxa"/>
              <w:bottom w:w="45" w:type="dxa"/>
              <w:start w:w="100" w:type="dxa"/>
              <w:end w:w="100" w:type="dxa"/>
            </w:tcMar>
          </w:tcPr>
          <w:p>
            <w:pPr>
              <w:keepLines/>
              <w:spacing w:after="0" w:line="252" w:lineRule="auto"/>
            </w:pPr>
            <w:r>
              <w:rPr>
                <w:rFonts w:ascii="Calibri" w:hAnsi="Calibri" w:eastAsia="Microsoft YaHei"/>
                <w:color w:val="0B2545"/>
                <w:sz w:val="14"/>
              </w:rPr>
              <w:t>DSI-005</w:t>
            </w:r>
          </w:p>
        </w:tc>
        <w:tc>
          <w:tcPr>
            <w:tcW w:type="dxa" w:w="900"/>
            <w:tcMar>
              <w:top w:w="45" w:type="dxa"/>
              <w:bottom w:w="45" w:type="dxa"/>
              <w:start w:w="100" w:type="dxa"/>
              <w:end w:w="100" w:type="dxa"/>
            </w:tcMar>
          </w:tcPr>
          <w:p>
            <w:pPr>
              <w:keepLines/>
              <w:spacing w:after="0" w:line="252" w:lineRule="auto"/>
            </w:pPr>
            <w:r>
              <w:rPr>
                <w:rFonts w:ascii="Calibri" w:hAnsi="Calibri" w:eastAsia="Microsoft YaHei"/>
                <w:color w:val="0B2545"/>
                <w:sz w:val="14"/>
              </w:rPr>
              <w:t>DG0</w:t>
            </w:r>
          </w:p>
        </w:tc>
        <w:tc>
          <w:tcPr>
            <w:tcW w:type="dxa" w:w="3760"/>
            <w:tcMar>
              <w:top w:w="45" w:type="dxa"/>
              <w:bottom w:w="45" w:type="dxa"/>
              <w:start w:w="100" w:type="dxa"/>
              <w:end w:w="100" w:type="dxa"/>
            </w:tcMar>
          </w:tcPr>
          <w:p>
            <w:pPr>
              <w:keepLines/>
              <w:spacing w:after="0" w:line="252" w:lineRule="auto"/>
            </w:pPr>
            <w:r>
              <w:rPr>
                <w:rFonts w:ascii="Calibri" w:hAnsi="Calibri" w:eastAsia="Microsoft YaHei"/>
                <w:color w:val="0B2545"/>
                <w:sz w:val="14"/>
              </w:rPr>
              <w:t>FAIR4Fusion 数据治理蓝图</w:t>
            </w:r>
          </w:p>
        </w:tc>
        <w:tc>
          <w:tcPr>
            <w:tcW w:type="dxa" w:w="800"/>
            <w:tcMar>
              <w:top w:w="45" w:type="dxa"/>
              <w:bottom w:w="45" w:type="dxa"/>
              <w:start w:w="100" w:type="dxa"/>
              <w:end w:w="100" w:type="dxa"/>
            </w:tcMar>
          </w:tcPr>
          <w:p>
            <w:pPr>
              <w:keepLines/>
              <w:spacing w:after="0" w:line="252" w:lineRule="auto"/>
            </w:pPr>
            <w:r>
              <w:rPr>
                <w:rFonts w:ascii="Calibri" w:hAnsi="Calibri" w:eastAsia="Microsoft YaHei"/>
                <w:color w:val="0B2545"/>
                <w:sz w:val="14"/>
              </w:rPr>
              <w:t>E1</w:t>
            </w:r>
          </w:p>
        </w:tc>
        <w:tc>
          <w:tcPr>
            <w:tcW w:type="dxa" w:w="2900"/>
            <w:tcMar>
              <w:top w:w="45" w:type="dxa"/>
              <w:bottom w:w="45" w:type="dxa"/>
              <w:start w:w="100" w:type="dxa"/>
              <w:end w:w="100" w:type="dxa"/>
            </w:tcMar>
          </w:tcPr>
          <w:p>
            <w:pPr>
              <w:keepLines/>
              <w:spacing w:after="0" w:line="252" w:lineRule="auto"/>
            </w:pPr>
            <w:r>
              <w:rPr>
                <w:rFonts w:ascii="Calibri" w:hAnsi="Calibri" w:eastAsia="Microsoft YaHei"/>
                <w:color w:val="0B2545"/>
                <w:sz w:val="14"/>
              </w:rPr>
              <w:t>EUROfusion facilities；ITER-adjacent research ecosystem</w:t>
            </w:r>
          </w:p>
        </w:tc>
      </w:tr>
      <w:tr>
        <w:trPr>
          <w:cantSplit/>
        </w:trPr>
        <w:tc>
          <w:tcPr>
            <w:tcW w:type="dxa" w:w="1000"/>
            <w:tcMar>
              <w:top w:w="45" w:type="dxa"/>
              <w:bottom w:w="45" w:type="dxa"/>
              <w:start w:w="100" w:type="dxa"/>
              <w:end w:w="100" w:type="dxa"/>
            </w:tcMar>
          </w:tcPr>
          <w:p>
            <w:pPr>
              <w:keepLines/>
              <w:spacing w:after="0" w:line="252" w:lineRule="auto"/>
            </w:pPr>
            <w:r>
              <w:rPr>
                <w:rFonts w:ascii="Calibri" w:hAnsi="Calibri" w:eastAsia="Microsoft YaHei"/>
                <w:color w:val="0B2545"/>
                <w:sz w:val="14"/>
              </w:rPr>
              <w:t>DSI-008</w:t>
            </w:r>
          </w:p>
        </w:tc>
        <w:tc>
          <w:tcPr>
            <w:tcW w:type="dxa" w:w="900"/>
            <w:tcMar>
              <w:top w:w="45" w:type="dxa"/>
              <w:bottom w:w="45" w:type="dxa"/>
              <w:start w:w="100" w:type="dxa"/>
              <w:end w:w="100" w:type="dxa"/>
            </w:tcMar>
          </w:tcPr>
          <w:p>
            <w:pPr>
              <w:keepLines/>
              <w:spacing w:after="0" w:line="252" w:lineRule="auto"/>
            </w:pPr>
            <w:r>
              <w:rPr>
                <w:rFonts w:ascii="Calibri" w:hAnsi="Calibri" w:eastAsia="Microsoft YaHei"/>
                <w:color w:val="0B2545"/>
                <w:sz w:val="14"/>
              </w:rPr>
              <w:t>DG0</w:t>
            </w:r>
          </w:p>
        </w:tc>
        <w:tc>
          <w:tcPr>
            <w:tcW w:type="dxa" w:w="3760"/>
            <w:tcMar>
              <w:top w:w="45" w:type="dxa"/>
              <w:bottom w:w="45" w:type="dxa"/>
              <w:start w:w="100" w:type="dxa"/>
              <w:end w:w="100" w:type="dxa"/>
            </w:tcMar>
          </w:tcPr>
          <w:p>
            <w:pPr>
              <w:keepLines/>
              <w:spacing w:after="0" w:line="252" w:lineRule="auto"/>
            </w:pPr>
            <w:r>
              <w:rPr>
                <w:rFonts w:ascii="Calibri" w:hAnsi="Calibri" w:eastAsia="Microsoft YaHei"/>
                <w:color w:val="0B2545"/>
                <w:sz w:val="14"/>
              </w:rPr>
              <w:t>ITER 诊断 Plant I&amp;C、CODAC 接口与中子计量校准治理</w:t>
            </w:r>
          </w:p>
        </w:tc>
        <w:tc>
          <w:tcPr>
            <w:tcW w:type="dxa" w:w="800"/>
            <w:tcMar>
              <w:top w:w="45" w:type="dxa"/>
              <w:bottom w:w="45" w:type="dxa"/>
              <w:start w:w="100" w:type="dxa"/>
              <w:end w:w="100" w:type="dxa"/>
            </w:tcMar>
          </w:tcPr>
          <w:p>
            <w:pPr>
              <w:keepLines/>
              <w:spacing w:after="0" w:line="252" w:lineRule="auto"/>
            </w:pPr>
            <w:r>
              <w:rPr>
                <w:rFonts w:ascii="Calibri" w:hAnsi="Calibri" w:eastAsia="Microsoft YaHei"/>
                <w:color w:val="0B2545"/>
                <w:sz w:val="14"/>
              </w:rPr>
              <w:t>E2</w:t>
            </w:r>
          </w:p>
        </w:tc>
        <w:tc>
          <w:tcPr>
            <w:tcW w:type="dxa" w:w="2900"/>
            <w:tcMar>
              <w:top w:w="45" w:type="dxa"/>
              <w:bottom w:w="45" w:type="dxa"/>
              <w:start w:w="100" w:type="dxa"/>
              <w:end w:w="100" w:type="dxa"/>
            </w:tcMar>
          </w:tcPr>
          <w:p>
            <w:pPr>
              <w:keepLines/>
              <w:spacing w:after="0" w:line="252" w:lineRule="auto"/>
            </w:pPr>
            <w:r>
              <w:rPr>
                <w:rFonts w:ascii="Calibri" w:hAnsi="Calibri" w:eastAsia="Microsoft YaHei"/>
                <w:color w:val="0B2545"/>
                <w:sz w:val="14"/>
              </w:rPr>
              <w:t>ITER</w:t>
            </w:r>
          </w:p>
        </w:tc>
      </w:tr>
      <w:tr>
        <w:trPr>
          <w:cantSplit/>
        </w:trPr>
        <w:tc>
          <w:tcPr>
            <w:tcW w:type="dxa" w:w="1000"/>
            <w:tcMar>
              <w:top w:w="45" w:type="dxa"/>
              <w:bottom w:w="45" w:type="dxa"/>
              <w:start w:w="100" w:type="dxa"/>
              <w:end w:w="100" w:type="dxa"/>
            </w:tcMar>
          </w:tcPr>
          <w:p>
            <w:pPr>
              <w:keepLines/>
              <w:spacing w:after="0" w:line="252" w:lineRule="auto"/>
            </w:pPr>
            <w:r>
              <w:rPr>
                <w:rFonts w:ascii="Calibri" w:hAnsi="Calibri" w:eastAsia="Microsoft YaHei"/>
                <w:color w:val="0B2545"/>
                <w:sz w:val="14"/>
              </w:rPr>
              <w:t>DG3-013</w:t>
            </w:r>
          </w:p>
        </w:tc>
        <w:tc>
          <w:tcPr>
            <w:tcW w:type="dxa" w:w="900"/>
            <w:tcMar>
              <w:top w:w="45" w:type="dxa"/>
              <w:bottom w:w="45" w:type="dxa"/>
              <w:start w:w="100" w:type="dxa"/>
              <w:end w:w="100" w:type="dxa"/>
            </w:tcMar>
          </w:tcPr>
          <w:p>
            <w:pPr>
              <w:keepLines/>
              <w:spacing w:after="0" w:line="252" w:lineRule="auto"/>
            </w:pPr>
            <w:r>
              <w:rPr>
                <w:rFonts w:ascii="Calibri" w:hAnsi="Calibri" w:eastAsia="Microsoft YaHei"/>
                <w:color w:val="0B2545"/>
                <w:sz w:val="14"/>
              </w:rPr>
              <w:t>DG3</w:t>
            </w:r>
          </w:p>
        </w:tc>
        <w:tc>
          <w:tcPr>
            <w:tcW w:type="dxa" w:w="3760"/>
            <w:tcMar>
              <w:top w:w="45" w:type="dxa"/>
              <w:bottom w:w="45" w:type="dxa"/>
              <w:start w:w="100" w:type="dxa"/>
              <w:end w:w="100" w:type="dxa"/>
            </w:tcMar>
          </w:tcPr>
          <w:p>
            <w:pPr>
              <w:keepLines/>
              <w:spacing w:after="0" w:line="252" w:lineRule="auto"/>
            </w:pPr>
            <w:r>
              <w:rPr>
                <w:rFonts w:ascii="Calibri" w:hAnsi="Calibri" w:eastAsia="Microsoft YaHei"/>
                <w:color w:val="0B2545"/>
                <w:sz w:val="14"/>
              </w:rPr>
              <w:t>中性粒子分析器：逃逸中性谱与离子分布</w:t>
            </w:r>
          </w:p>
        </w:tc>
        <w:tc>
          <w:tcPr>
            <w:tcW w:type="dxa" w:w="800"/>
            <w:tcMar>
              <w:top w:w="45" w:type="dxa"/>
              <w:bottom w:w="45" w:type="dxa"/>
              <w:start w:w="100" w:type="dxa"/>
              <w:end w:w="100" w:type="dxa"/>
            </w:tcMar>
          </w:tcPr>
          <w:p>
            <w:pPr>
              <w:keepLines/>
              <w:spacing w:after="0" w:line="252" w:lineRule="auto"/>
            </w:pPr>
            <w:r>
              <w:rPr>
                <w:rFonts w:ascii="Calibri" w:hAnsi="Calibri" w:eastAsia="Microsoft YaHei"/>
                <w:color w:val="0B2545"/>
                <w:sz w:val="14"/>
              </w:rPr>
              <w:t>E3</w:t>
            </w:r>
          </w:p>
        </w:tc>
        <w:tc>
          <w:tcPr>
            <w:tcW w:type="dxa" w:w="2900"/>
            <w:tcMar>
              <w:top w:w="45" w:type="dxa"/>
              <w:bottom w:w="45" w:type="dxa"/>
              <w:start w:w="100" w:type="dxa"/>
              <w:end w:w="100" w:type="dxa"/>
            </w:tcMar>
          </w:tcPr>
          <w:p>
            <w:pPr>
              <w:keepLines/>
              <w:spacing w:after="0" w:line="252" w:lineRule="auto"/>
            </w:pPr>
            <w:r>
              <w:rPr>
                <w:rFonts w:ascii="Calibri" w:hAnsi="Calibri" w:eastAsia="Microsoft YaHei"/>
                <w:color w:val="0B2545"/>
                <w:sz w:val="14"/>
              </w:rPr>
              <w:t>ST40；ITER；EAST；LHD</w:t>
            </w:r>
          </w:p>
        </w:tc>
      </w:tr>
      <w:tr>
        <w:trPr>
          <w:cantSplit/>
        </w:trPr>
        <w:tc>
          <w:tcPr>
            <w:tcW w:type="dxa" w:w="1000"/>
            <w:tcMar>
              <w:top w:w="45" w:type="dxa"/>
              <w:bottom w:w="45" w:type="dxa"/>
              <w:start w:w="100" w:type="dxa"/>
              <w:end w:w="100" w:type="dxa"/>
            </w:tcMar>
          </w:tcPr>
          <w:p>
            <w:pPr>
              <w:keepLines/>
              <w:spacing w:after="0" w:line="252" w:lineRule="auto"/>
            </w:pPr>
            <w:r>
              <w:rPr>
                <w:rFonts w:ascii="Calibri" w:hAnsi="Calibri" w:eastAsia="Microsoft YaHei"/>
                <w:color w:val="0B2545"/>
                <w:sz w:val="14"/>
              </w:rPr>
              <w:t>DG3-014</w:t>
            </w:r>
          </w:p>
        </w:tc>
        <w:tc>
          <w:tcPr>
            <w:tcW w:type="dxa" w:w="900"/>
            <w:tcMar>
              <w:top w:w="45" w:type="dxa"/>
              <w:bottom w:w="45" w:type="dxa"/>
              <w:start w:w="100" w:type="dxa"/>
              <w:end w:w="100" w:type="dxa"/>
            </w:tcMar>
          </w:tcPr>
          <w:p>
            <w:pPr>
              <w:keepLines/>
              <w:spacing w:after="0" w:line="252" w:lineRule="auto"/>
            </w:pPr>
            <w:r>
              <w:rPr>
                <w:rFonts w:ascii="Calibri" w:hAnsi="Calibri" w:eastAsia="Microsoft YaHei"/>
                <w:color w:val="0B2545"/>
                <w:sz w:val="14"/>
              </w:rPr>
              <w:t>DG3</w:t>
            </w:r>
          </w:p>
        </w:tc>
        <w:tc>
          <w:tcPr>
            <w:tcW w:type="dxa" w:w="3760"/>
            <w:tcMar>
              <w:top w:w="45" w:type="dxa"/>
              <w:bottom w:w="45" w:type="dxa"/>
              <w:start w:w="100" w:type="dxa"/>
              <w:end w:w="100" w:type="dxa"/>
            </w:tcMar>
          </w:tcPr>
          <w:p>
            <w:pPr>
              <w:keepLines/>
              <w:spacing w:after="0" w:line="252" w:lineRule="auto"/>
            </w:pPr>
            <w:r>
              <w:rPr>
                <w:rFonts w:ascii="Calibri" w:hAnsi="Calibri" w:eastAsia="Microsoft YaHei"/>
                <w:color w:val="0B2545"/>
                <w:sz w:val="14"/>
              </w:rPr>
              <w:t>主离子电荷交换谱：DIII-D氢同位素比例</w:t>
            </w:r>
          </w:p>
        </w:tc>
        <w:tc>
          <w:tcPr>
            <w:tcW w:type="dxa" w:w="800"/>
            <w:tcMar>
              <w:top w:w="45" w:type="dxa"/>
              <w:bottom w:w="45" w:type="dxa"/>
              <w:start w:w="100" w:type="dxa"/>
              <w:end w:w="100" w:type="dxa"/>
            </w:tcMar>
          </w:tcPr>
          <w:p>
            <w:pPr>
              <w:keepLines/>
              <w:spacing w:after="0" w:line="252" w:lineRule="auto"/>
            </w:pPr>
            <w:r>
              <w:rPr>
                <w:rFonts w:ascii="Calibri" w:hAnsi="Calibri" w:eastAsia="Microsoft YaHei"/>
                <w:color w:val="0B2545"/>
                <w:sz w:val="14"/>
              </w:rPr>
              <w:t>E3</w:t>
            </w:r>
          </w:p>
        </w:tc>
        <w:tc>
          <w:tcPr>
            <w:tcW w:type="dxa" w:w="2900"/>
            <w:tcMar>
              <w:top w:w="45" w:type="dxa"/>
              <w:bottom w:w="45" w:type="dxa"/>
              <w:start w:w="100" w:type="dxa"/>
              <w:end w:w="100" w:type="dxa"/>
            </w:tcMar>
          </w:tcPr>
          <w:p>
            <w:pPr>
              <w:keepLines/>
              <w:spacing w:after="0" w:line="252" w:lineRule="auto"/>
            </w:pPr>
            <w:r>
              <w:rPr>
                <w:rFonts w:ascii="Calibri" w:hAnsi="Calibri" w:eastAsia="Microsoft YaHei"/>
                <w:color w:val="0B2545"/>
                <w:sz w:val="14"/>
              </w:rPr>
              <w:t>DIII-D；JET relevance；ITER relevance</w:t>
            </w:r>
          </w:p>
        </w:tc>
      </w:tr>
      <w:tr>
        <w:trPr>
          <w:cantSplit/>
        </w:trPr>
        <w:tc>
          <w:tcPr>
            <w:tcW w:type="dxa" w:w="1000"/>
            <w:tcMar>
              <w:top w:w="45" w:type="dxa"/>
              <w:bottom w:w="45" w:type="dxa"/>
              <w:start w:w="100" w:type="dxa"/>
              <w:end w:w="100" w:type="dxa"/>
            </w:tcMar>
          </w:tcPr>
          <w:p>
            <w:pPr>
              <w:keepLines/>
              <w:spacing w:after="0" w:line="252" w:lineRule="auto"/>
            </w:pPr>
            <w:r>
              <w:rPr>
                <w:rFonts w:ascii="Calibri" w:hAnsi="Calibri" w:eastAsia="Microsoft YaHei"/>
                <w:color w:val="0B2545"/>
                <w:sz w:val="14"/>
              </w:rPr>
              <w:t>DG3-015</w:t>
            </w:r>
          </w:p>
        </w:tc>
        <w:tc>
          <w:tcPr>
            <w:tcW w:type="dxa" w:w="900"/>
            <w:tcMar>
              <w:top w:w="45" w:type="dxa"/>
              <w:bottom w:w="45" w:type="dxa"/>
              <w:start w:w="100" w:type="dxa"/>
              <w:end w:w="100" w:type="dxa"/>
            </w:tcMar>
          </w:tcPr>
          <w:p>
            <w:pPr>
              <w:keepLines/>
              <w:spacing w:after="0" w:line="252" w:lineRule="auto"/>
            </w:pPr>
            <w:r>
              <w:rPr>
                <w:rFonts w:ascii="Calibri" w:hAnsi="Calibri" w:eastAsia="Microsoft YaHei"/>
                <w:color w:val="0B2545"/>
                <w:sz w:val="14"/>
              </w:rPr>
              <w:t>DG3</w:t>
            </w:r>
          </w:p>
        </w:tc>
        <w:tc>
          <w:tcPr>
            <w:tcW w:type="dxa" w:w="3760"/>
            <w:tcMar>
              <w:top w:w="45" w:type="dxa"/>
              <w:bottom w:w="45" w:type="dxa"/>
              <w:start w:w="100" w:type="dxa"/>
              <w:end w:w="100" w:type="dxa"/>
            </w:tcMar>
          </w:tcPr>
          <w:p>
            <w:pPr>
              <w:keepLines/>
              <w:spacing w:after="0" w:line="252" w:lineRule="auto"/>
            </w:pPr>
            <w:r>
              <w:rPr>
                <w:rFonts w:ascii="Calibri" w:hAnsi="Calibri" w:eastAsia="Microsoft YaHei"/>
                <w:color w:val="0B2545"/>
                <w:sz w:val="14"/>
              </w:rPr>
              <w:t>ITER诊断中性束与氦灰CXRS</w:t>
            </w:r>
          </w:p>
        </w:tc>
        <w:tc>
          <w:tcPr>
            <w:tcW w:type="dxa" w:w="800"/>
            <w:tcMar>
              <w:top w:w="45" w:type="dxa"/>
              <w:bottom w:w="45" w:type="dxa"/>
              <w:start w:w="100" w:type="dxa"/>
              <w:end w:w="100" w:type="dxa"/>
            </w:tcMar>
          </w:tcPr>
          <w:p>
            <w:pPr>
              <w:keepLines/>
              <w:spacing w:after="0" w:line="252" w:lineRule="auto"/>
            </w:pPr>
            <w:r>
              <w:rPr>
                <w:rFonts w:ascii="Calibri" w:hAnsi="Calibri" w:eastAsia="Microsoft YaHei"/>
                <w:color w:val="0B2545"/>
                <w:sz w:val="14"/>
              </w:rPr>
              <w:t>E2</w:t>
            </w:r>
          </w:p>
        </w:tc>
        <w:tc>
          <w:tcPr>
            <w:tcW w:type="dxa" w:w="2900"/>
            <w:tcMar>
              <w:top w:w="45" w:type="dxa"/>
              <w:bottom w:w="45" w:type="dxa"/>
              <w:start w:w="100" w:type="dxa"/>
              <w:end w:w="100" w:type="dxa"/>
            </w:tcMar>
          </w:tcPr>
          <w:p>
            <w:pPr>
              <w:keepLines/>
              <w:spacing w:after="0" w:line="252" w:lineRule="auto"/>
            </w:pPr>
            <w:r>
              <w:rPr>
                <w:rFonts w:ascii="Calibri" w:hAnsi="Calibri" w:eastAsia="Microsoft YaHei"/>
                <w:color w:val="0B2545"/>
                <w:sz w:val="14"/>
              </w:rPr>
              <w:t>ITER；DIII-D/JET method heritage</w:t>
            </w:r>
          </w:p>
        </w:tc>
      </w:tr>
      <w:tr>
        <w:trPr>
          <w:cantSplit/>
        </w:trPr>
        <w:tc>
          <w:tcPr>
            <w:tcW w:type="dxa" w:w="1000"/>
            <w:tcMar>
              <w:top w:w="45" w:type="dxa"/>
              <w:bottom w:w="45" w:type="dxa"/>
              <w:start w:w="100" w:type="dxa"/>
              <w:end w:w="100" w:type="dxa"/>
            </w:tcMar>
          </w:tcPr>
          <w:p>
            <w:pPr>
              <w:keepLines/>
              <w:spacing w:after="0" w:line="252" w:lineRule="auto"/>
            </w:pPr>
            <w:r>
              <w:rPr>
                <w:rFonts w:ascii="Calibri" w:hAnsi="Calibri" w:eastAsia="Microsoft YaHei"/>
                <w:color w:val="0B2545"/>
                <w:sz w:val="14"/>
              </w:rPr>
              <w:t>PDT-020</w:t>
            </w:r>
          </w:p>
        </w:tc>
        <w:tc>
          <w:tcPr>
            <w:tcW w:type="dxa" w:w="900"/>
            <w:tcMar>
              <w:top w:w="45" w:type="dxa"/>
              <w:bottom w:w="45" w:type="dxa"/>
              <w:start w:w="100" w:type="dxa"/>
              <w:end w:w="100" w:type="dxa"/>
            </w:tcMar>
          </w:tcPr>
          <w:p>
            <w:pPr>
              <w:keepLines/>
              <w:spacing w:after="0" w:line="252" w:lineRule="auto"/>
            </w:pPr>
            <w:r>
              <w:rPr>
                <w:rFonts w:ascii="Calibri" w:hAnsi="Calibri" w:eastAsia="Microsoft YaHei"/>
                <w:color w:val="0B2545"/>
                <w:sz w:val="14"/>
              </w:rPr>
              <w:t>DG8</w:t>
            </w:r>
          </w:p>
        </w:tc>
        <w:tc>
          <w:tcPr>
            <w:tcW w:type="dxa" w:w="3760"/>
            <w:tcMar>
              <w:top w:w="45" w:type="dxa"/>
              <w:bottom w:w="45" w:type="dxa"/>
              <w:start w:w="100" w:type="dxa"/>
              <w:end w:w="100" w:type="dxa"/>
            </w:tcMar>
          </w:tcPr>
          <w:p>
            <w:pPr>
              <w:keepLines/>
              <w:spacing w:after="0" w:line="252" w:lineRule="auto"/>
            </w:pPr>
            <w:r>
              <w:rPr>
                <w:rFonts w:ascii="Calibri" w:hAnsi="Calibri" w:eastAsia="Microsoft YaHei"/>
                <w:color w:val="0B2545"/>
                <w:sz w:val="14"/>
              </w:rPr>
              <w:t>SPARC 诊断电子学与部件的强场、辐照、热、真空环境资格</w:t>
            </w:r>
          </w:p>
        </w:tc>
        <w:tc>
          <w:tcPr>
            <w:tcW w:type="dxa" w:w="800"/>
            <w:tcMar>
              <w:top w:w="45" w:type="dxa"/>
              <w:bottom w:w="45" w:type="dxa"/>
              <w:start w:w="100" w:type="dxa"/>
              <w:end w:w="100" w:type="dxa"/>
            </w:tcMar>
          </w:tcPr>
          <w:p>
            <w:pPr>
              <w:keepLines/>
              <w:spacing w:after="0" w:line="252" w:lineRule="auto"/>
            </w:pPr>
            <w:r>
              <w:rPr>
                <w:rFonts w:ascii="Calibri" w:hAnsi="Calibri" w:eastAsia="Microsoft YaHei"/>
                <w:color w:val="0B2545"/>
                <w:sz w:val="14"/>
              </w:rPr>
              <w:t>E2</w:t>
            </w:r>
          </w:p>
        </w:tc>
        <w:tc>
          <w:tcPr>
            <w:tcW w:type="dxa" w:w="2900"/>
            <w:tcMar>
              <w:top w:w="45" w:type="dxa"/>
              <w:bottom w:w="45" w:type="dxa"/>
              <w:start w:w="100" w:type="dxa"/>
              <w:end w:w="100" w:type="dxa"/>
            </w:tcMar>
          </w:tcPr>
          <w:p>
            <w:pPr>
              <w:keepLines/>
              <w:spacing w:after="0" w:line="252" w:lineRule="auto"/>
            </w:pPr>
            <w:r>
              <w:rPr>
                <w:rFonts w:ascii="Calibri" w:hAnsi="Calibri" w:eastAsia="Microsoft YaHei"/>
                <w:color w:val="0B2545"/>
                <w:sz w:val="14"/>
              </w:rPr>
              <w:t>SPARC diagnostic prototypes</w:t>
            </w:r>
          </w:p>
        </w:tc>
      </w:tr>
      <w:tr>
        <w:trPr>
          <w:cantSplit/>
        </w:trPr>
        <w:tc>
          <w:tcPr>
            <w:tcW w:type="dxa" w:w="1000"/>
            <w:tcMar>
              <w:top w:w="45" w:type="dxa"/>
              <w:bottom w:w="45" w:type="dxa"/>
              <w:start w:w="100" w:type="dxa"/>
              <w:end w:w="100" w:type="dxa"/>
            </w:tcMar>
          </w:tcPr>
          <w:p>
            <w:pPr>
              <w:keepLines/>
              <w:spacing w:after="0" w:line="252" w:lineRule="auto"/>
            </w:pPr>
            <w:r>
              <w:rPr>
                <w:rFonts w:ascii="Calibri" w:hAnsi="Calibri" w:eastAsia="Microsoft YaHei"/>
                <w:color w:val="0B2545"/>
                <w:sz w:val="14"/>
              </w:rPr>
              <w:t>DSI-011</w:t>
            </w:r>
          </w:p>
        </w:tc>
        <w:tc>
          <w:tcPr>
            <w:tcW w:type="dxa" w:w="900"/>
            <w:tcMar>
              <w:top w:w="45" w:type="dxa"/>
              <w:bottom w:w="45" w:type="dxa"/>
              <w:start w:w="100" w:type="dxa"/>
              <w:end w:w="100" w:type="dxa"/>
            </w:tcMar>
          </w:tcPr>
          <w:p>
            <w:pPr>
              <w:keepLines/>
              <w:spacing w:after="0" w:line="252" w:lineRule="auto"/>
            </w:pPr>
            <w:r>
              <w:rPr>
                <w:rFonts w:ascii="Calibri" w:hAnsi="Calibri" w:eastAsia="Microsoft YaHei"/>
                <w:color w:val="0B2545"/>
                <w:sz w:val="14"/>
              </w:rPr>
              <w:t>DG9</w:t>
            </w:r>
          </w:p>
        </w:tc>
        <w:tc>
          <w:tcPr>
            <w:tcW w:type="dxa" w:w="3760"/>
            <w:tcMar>
              <w:top w:w="45" w:type="dxa"/>
              <w:bottom w:w="45" w:type="dxa"/>
              <w:start w:w="100" w:type="dxa"/>
              <w:end w:w="100" w:type="dxa"/>
            </w:tcMar>
          </w:tcPr>
          <w:p>
            <w:pPr>
              <w:keepLines/>
              <w:spacing w:after="0" w:line="252" w:lineRule="auto"/>
            </w:pPr>
            <w:r>
              <w:rPr>
                <w:rFonts w:ascii="Calibri" w:hAnsi="Calibri" w:eastAsia="Microsoft YaHei"/>
                <w:color w:val="0B2545"/>
                <w:sz w:val="14"/>
              </w:rPr>
              <w:t>FIDASIM 快离子 Dα 与中性粒子分析器合成诊断</w:t>
            </w:r>
          </w:p>
        </w:tc>
        <w:tc>
          <w:tcPr>
            <w:tcW w:type="dxa" w:w="800"/>
            <w:tcMar>
              <w:top w:w="45" w:type="dxa"/>
              <w:bottom w:w="45" w:type="dxa"/>
              <w:start w:w="100" w:type="dxa"/>
              <w:end w:w="100" w:type="dxa"/>
            </w:tcMar>
          </w:tcPr>
          <w:p>
            <w:pPr>
              <w:keepLines/>
              <w:spacing w:after="0" w:line="252" w:lineRule="auto"/>
            </w:pPr>
            <w:r>
              <w:rPr>
                <w:rFonts w:ascii="Calibri" w:hAnsi="Calibri" w:eastAsia="Microsoft YaHei"/>
                <w:color w:val="0B2545"/>
                <w:sz w:val="14"/>
              </w:rPr>
              <w:t>E3</w:t>
            </w:r>
          </w:p>
        </w:tc>
        <w:tc>
          <w:tcPr>
            <w:tcW w:type="dxa" w:w="2900"/>
            <w:tcMar>
              <w:top w:w="45" w:type="dxa"/>
              <w:bottom w:w="45" w:type="dxa"/>
              <w:start w:w="100" w:type="dxa"/>
              <w:end w:w="100" w:type="dxa"/>
            </w:tcMar>
          </w:tcPr>
          <w:p>
            <w:pPr>
              <w:keepLines/>
              <w:spacing w:after="0" w:line="252" w:lineRule="auto"/>
            </w:pPr>
            <w:r>
              <w:rPr>
                <w:rFonts w:ascii="Calibri" w:hAnsi="Calibri" w:eastAsia="Microsoft YaHei"/>
                <w:color w:val="0B2545"/>
                <w:sz w:val="14"/>
              </w:rPr>
              <w:t>DIII-D；ASDEX Upgrade；MAST；NSTX-U；W7-X and others</w:t>
            </w:r>
          </w:p>
        </w:tc>
      </w:tr>
      <w:tr>
        <w:trPr>
          <w:cantSplit/>
        </w:trPr>
        <w:tc>
          <w:tcPr>
            <w:tcW w:type="dxa" w:w="1000"/>
            <w:tcMar>
              <w:top w:w="45" w:type="dxa"/>
              <w:bottom w:w="45" w:type="dxa"/>
              <w:start w:w="100" w:type="dxa"/>
              <w:end w:w="100" w:type="dxa"/>
            </w:tcMar>
          </w:tcPr>
          <w:p>
            <w:pPr>
              <w:keepLines/>
              <w:spacing w:after="0" w:line="252" w:lineRule="auto"/>
            </w:pPr>
            <w:r>
              <w:rPr>
                <w:rFonts w:ascii="Calibri" w:hAnsi="Calibri" w:eastAsia="Microsoft YaHei"/>
                <w:color w:val="0B2545"/>
                <w:sz w:val="14"/>
              </w:rPr>
              <w:t>DSI-012</w:t>
            </w:r>
          </w:p>
        </w:tc>
        <w:tc>
          <w:tcPr>
            <w:tcW w:type="dxa" w:w="900"/>
            <w:tcMar>
              <w:top w:w="45" w:type="dxa"/>
              <w:bottom w:w="45" w:type="dxa"/>
              <w:start w:w="100" w:type="dxa"/>
              <w:end w:w="100" w:type="dxa"/>
            </w:tcMar>
          </w:tcPr>
          <w:p>
            <w:pPr>
              <w:keepLines/>
              <w:spacing w:after="0" w:line="252" w:lineRule="auto"/>
            </w:pPr>
            <w:r>
              <w:rPr>
                <w:rFonts w:ascii="Calibri" w:hAnsi="Calibri" w:eastAsia="Microsoft YaHei"/>
                <w:color w:val="0B2545"/>
                <w:sz w:val="14"/>
              </w:rPr>
              <w:t>DG9</w:t>
            </w:r>
          </w:p>
        </w:tc>
        <w:tc>
          <w:tcPr>
            <w:tcW w:type="dxa" w:w="3760"/>
            <w:tcMar>
              <w:top w:w="45" w:type="dxa"/>
              <w:bottom w:w="45" w:type="dxa"/>
              <w:start w:w="100" w:type="dxa"/>
              <w:end w:w="100" w:type="dxa"/>
            </w:tcMar>
          </w:tcPr>
          <w:p>
            <w:pPr>
              <w:keepLines/>
              <w:spacing w:after="0" w:line="252" w:lineRule="auto"/>
            </w:pPr>
            <w:r>
              <w:rPr>
                <w:rFonts w:ascii="Calibri" w:hAnsi="Calibri" w:eastAsia="Microsoft YaHei"/>
                <w:color w:val="0B2545"/>
                <w:sz w:val="14"/>
              </w:rPr>
              <w:t>SOFT 逃逸电子同步辐射合成诊断</w:t>
            </w:r>
          </w:p>
        </w:tc>
        <w:tc>
          <w:tcPr>
            <w:tcW w:type="dxa" w:w="800"/>
            <w:tcMar>
              <w:top w:w="45" w:type="dxa"/>
              <w:bottom w:w="45" w:type="dxa"/>
              <w:start w:w="100" w:type="dxa"/>
              <w:end w:w="100" w:type="dxa"/>
            </w:tcMar>
          </w:tcPr>
          <w:p>
            <w:pPr>
              <w:keepLines/>
              <w:spacing w:after="0" w:line="252" w:lineRule="auto"/>
            </w:pPr>
            <w:r>
              <w:rPr>
                <w:rFonts w:ascii="Calibri" w:hAnsi="Calibri" w:eastAsia="Microsoft YaHei"/>
                <w:color w:val="0B2545"/>
                <w:sz w:val="14"/>
              </w:rPr>
              <w:t>E3</w:t>
            </w:r>
          </w:p>
        </w:tc>
        <w:tc>
          <w:tcPr>
            <w:tcW w:type="dxa" w:w="2900"/>
            <w:tcMar>
              <w:top w:w="45" w:type="dxa"/>
              <w:bottom w:w="45" w:type="dxa"/>
              <w:start w:w="100" w:type="dxa"/>
              <w:end w:w="100" w:type="dxa"/>
            </w:tcMar>
          </w:tcPr>
          <w:p>
            <w:pPr>
              <w:keepLines/>
              <w:spacing w:after="0" w:line="252" w:lineRule="auto"/>
            </w:pPr>
            <w:r>
              <w:rPr>
                <w:rFonts w:ascii="Calibri" w:hAnsi="Calibri" w:eastAsia="Microsoft YaHei"/>
                <w:color w:val="0B2545"/>
                <w:sz w:val="14"/>
              </w:rPr>
              <w:t>Alcator C-Mod；TCV；ASDEX Upgrade；JT-60SA design；SPARC design；FTU；EAST</w:t>
            </w:r>
          </w:p>
        </w:tc>
      </w:tr>
      <w:tr>
        <w:trPr>
          <w:cantSplit/>
        </w:trPr>
        <w:tc>
          <w:tcPr>
            <w:tcW w:type="dxa" w:w="1000"/>
            <w:tcMar>
              <w:top w:w="45" w:type="dxa"/>
              <w:bottom w:w="45" w:type="dxa"/>
              <w:start w:w="100" w:type="dxa"/>
              <w:end w:w="100" w:type="dxa"/>
            </w:tcMar>
          </w:tcPr>
          <w:p>
            <w:pPr>
              <w:keepLines/>
              <w:spacing w:after="0" w:line="252" w:lineRule="auto"/>
            </w:pPr>
            <w:r>
              <w:rPr>
                <w:rFonts w:ascii="Calibri" w:hAnsi="Calibri" w:eastAsia="Microsoft YaHei"/>
                <w:color w:val="0B2545"/>
                <w:sz w:val="14"/>
              </w:rPr>
              <w:t>DSI-019</w:t>
            </w:r>
          </w:p>
        </w:tc>
        <w:tc>
          <w:tcPr>
            <w:tcW w:type="dxa" w:w="900"/>
            <w:tcMar>
              <w:top w:w="45" w:type="dxa"/>
              <w:bottom w:w="45" w:type="dxa"/>
              <w:start w:w="100" w:type="dxa"/>
              <w:end w:w="100" w:type="dxa"/>
            </w:tcMar>
          </w:tcPr>
          <w:p>
            <w:pPr>
              <w:keepLines/>
              <w:spacing w:after="0" w:line="252" w:lineRule="auto"/>
            </w:pPr>
            <w:r>
              <w:rPr>
                <w:rFonts w:ascii="Calibri" w:hAnsi="Calibri" w:eastAsia="Microsoft YaHei"/>
                <w:color w:val="0B2545"/>
                <w:sz w:val="14"/>
              </w:rPr>
              <w:t>DG9</w:t>
            </w:r>
          </w:p>
        </w:tc>
        <w:tc>
          <w:tcPr>
            <w:tcW w:type="dxa" w:w="3760"/>
            <w:tcMar>
              <w:top w:w="45" w:type="dxa"/>
              <w:bottom w:w="45" w:type="dxa"/>
              <w:start w:w="100" w:type="dxa"/>
              <w:end w:w="100" w:type="dxa"/>
            </w:tcMar>
          </w:tcPr>
          <w:p>
            <w:pPr>
              <w:keepLines/>
              <w:spacing w:after="0" w:line="252" w:lineRule="auto"/>
            </w:pPr>
            <w:r>
              <w:rPr>
                <w:rFonts w:ascii="Calibri" w:hAnsi="Calibri" w:eastAsia="Microsoft YaHei"/>
                <w:color w:val="0B2545"/>
                <w:sz w:val="14"/>
              </w:rPr>
              <w:t>ASCOT5 快离子轨道与多诊断合成响应</w:t>
            </w:r>
          </w:p>
        </w:tc>
        <w:tc>
          <w:tcPr>
            <w:tcW w:type="dxa" w:w="800"/>
            <w:tcMar>
              <w:top w:w="45" w:type="dxa"/>
              <w:bottom w:w="45" w:type="dxa"/>
              <w:start w:w="100" w:type="dxa"/>
              <w:end w:w="100" w:type="dxa"/>
            </w:tcMar>
          </w:tcPr>
          <w:p>
            <w:pPr>
              <w:keepLines/>
              <w:spacing w:after="0" w:line="252" w:lineRule="auto"/>
            </w:pPr>
            <w:r>
              <w:rPr>
                <w:rFonts w:ascii="Calibri" w:hAnsi="Calibri" w:eastAsia="Microsoft YaHei"/>
                <w:color w:val="0B2545"/>
                <w:sz w:val="14"/>
              </w:rPr>
              <w:t>E3</w:t>
            </w:r>
          </w:p>
        </w:tc>
        <w:tc>
          <w:tcPr>
            <w:tcW w:type="dxa" w:w="2900"/>
            <w:tcMar>
              <w:top w:w="45" w:type="dxa"/>
              <w:bottom w:w="45" w:type="dxa"/>
              <w:start w:w="100" w:type="dxa"/>
              <w:end w:w="100" w:type="dxa"/>
            </w:tcMar>
          </w:tcPr>
          <w:p>
            <w:pPr>
              <w:keepLines/>
              <w:spacing w:after="0" w:line="252" w:lineRule="auto"/>
            </w:pPr>
            <w:r>
              <w:rPr>
                <w:rFonts w:ascii="Calibri" w:hAnsi="Calibri" w:eastAsia="Microsoft YaHei"/>
                <w:color w:val="0B2545"/>
                <w:sz w:val="14"/>
              </w:rPr>
              <w:t>ASDEX Upgrade；DIII-D；JET；ITER；SPARC；W7-X</w:t>
            </w:r>
          </w:p>
        </w:tc>
      </w:tr>
      <w:tr>
        <w:trPr>
          <w:cantSplit/>
        </w:trPr>
        <w:tc>
          <w:tcPr>
            <w:tcW w:type="dxa" w:w="1000"/>
            <w:tcMar>
              <w:top w:w="45" w:type="dxa"/>
              <w:bottom w:w="45" w:type="dxa"/>
              <w:start w:w="100" w:type="dxa"/>
              <w:end w:w="100" w:type="dxa"/>
            </w:tcMar>
          </w:tcPr>
          <w:p>
            <w:pPr>
              <w:keepLines/>
              <w:spacing w:after="0" w:line="252" w:lineRule="auto"/>
            </w:pPr>
            <w:r>
              <w:rPr>
                <w:rFonts w:ascii="Calibri" w:hAnsi="Calibri" w:eastAsia="Microsoft YaHei"/>
                <w:color w:val="0B2545"/>
                <w:sz w:val="14"/>
              </w:rPr>
              <w:t>DSI-020</w:t>
            </w:r>
          </w:p>
        </w:tc>
        <w:tc>
          <w:tcPr>
            <w:tcW w:type="dxa" w:w="900"/>
            <w:tcMar>
              <w:top w:w="45" w:type="dxa"/>
              <w:bottom w:w="45" w:type="dxa"/>
              <w:start w:w="100" w:type="dxa"/>
              <w:end w:w="100" w:type="dxa"/>
            </w:tcMar>
          </w:tcPr>
          <w:p>
            <w:pPr>
              <w:keepLines/>
              <w:spacing w:after="0" w:line="252" w:lineRule="auto"/>
            </w:pPr>
            <w:r>
              <w:rPr>
                <w:rFonts w:ascii="Calibri" w:hAnsi="Calibri" w:eastAsia="Microsoft YaHei"/>
                <w:color w:val="0B2545"/>
                <w:sz w:val="14"/>
              </w:rPr>
              <w:t>DG9</w:t>
            </w:r>
          </w:p>
        </w:tc>
        <w:tc>
          <w:tcPr>
            <w:tcW w:type="dxa" w:w="3760"/>
            <w:tcMar>
              <w:top w:w="45" w:type="dxa"/>
              <w:bottom w:w="45" w:type="dxa"/>
              <w:start w:w="100" w:type="dxa"/>
              <w:end w:w="100" w:type="dxa"/>
            </w:tcMar>
          </w:tcPr>
          <w:p>
            <w:pPr>
              <w:keepLines/>
              <w:spacing w:after="0" w:line="252" w:lineRule="auto"/>
            </w:pPr>
            <w:r>
              <w:rPr>
                <w:rFonts w:ascii="Calibri" w:hAnsi="Calibri" w:eastAsia="Microsoft YaHei"/>
                <w:color w:val="0B2545"/>
                <w:sz w:val="14"/>
              </w:rPr>
              <w:t>DRESS/pydress 任意反应物分布的聚变中子谱合成</w:t>
            </w:r>
          </w:p>
        </w:tc>
        <w:tc>
          <w:tcPr>
            <w:tcW w:type="dxa" w:w="800"/>
            <w:tcMar>
              <w:top w:w="45" w:type="dxa"/>
              <w:bottom w:w="45" w:type="dxa"/>
              <w:start w:w="100" w:type="dxa"/>
              <w:end w:w="100" w:type="dxa"/>
            </w:tcMar>
          </w:tcPr>
          <w:p>
            <w:pPr>
              <w:keepLines/>
              <w:spacing w:after="0" w:line="252" w:lineRule="auto"/>
            </w:pPr>
            <w:r>
              <w:rPr>
                <w:rFonts w:ascii="Calibri" w:hAnsi="Calibri" w:eastAsia="Microsoft YaHei"/>
                <w:color w:val="0B2545"/>
                <w:sz w:val="14"/>
              </w:rPr>
              <w:t>E3</w:t>
            </w:r>
          </w:p>
        </w:tc>
        <w:tc>
          <w:tcPr>
            <w:tcW w:type="dxa" w:w="2900"/>
            <w:tcMar>
              <w:top w:w="45" w:type="dxa"/>
              <w:bottom w:w="45" w:type="dxa"/>
              <w:start w:w="100" w:type="dxa"/>
              <w:end w:w="100" w:type="dxa"/>
            </w:tcMar>
          </w:tcPr>
          <w:p>
            <w:pPr>
              <w:keepLines/>
              <w:spacing w:after="0" w:line="252" w:lineRule="auto"/>
            </w:pPr>
            <w:r>
              <w:rPr>
                <w:rFonts w:ascii="Calibri" w:hAnsi="Calibri" w:eastAsia="Microsoft YaHei"/>
                <w:color w:val="0B2545"/>
                <w:sz w:val="14"/>
              </w:rPr>
              <w:t>MAST；generic D-D/D-T devices；ITER/DEMO scenario studies</w:t>
            </w:r>
          </w:p>
        </w:tc>
      </w:tr>
      <w:tr>
        <w:trPr>
          <w:cantSplit/>
        </w:trPr>
        <w:tc>
          <w:tcPr>
            <w:tcW w:type="dxa" w:w="1000"/>
            <w:tcMar>
              <w:top w:w="45" w:type="dxa"/>
              <w:bottom w:w="45" w:type="dxa"/>
              <w:start w:w="100" w:type="dxa"/>
              <w:end w:w="100" w:type="dxa"/>
            </w:tcMar>
          </w:tcPr>
          <w:p>
            <w:pPr>
              <w:keepLines/>
              <w:spacing w:after="0" w:line="252" w:lineRule="auto"/>
            </w:pPr>
            <w:r>
              <w:rPr>
                <w:rFonts w:ascii="Calibri" w:hAnsi="Calibri" w:eastAsia="Microsoft YaHei"/>
                <w:color w:val="0B2545"/>
                <w:sz w:val="14"/>
              </w:rPr>
              <w:t>DSI-021</w:t>
            </w:r>
          </w:p>
        </w:tc>
        <w:tc>
          <w:tcPr>
            <w:tcW w:type="dxa" w:w="900"/>
            <w:tcMar>
              <w:top w:w="45" w:type="dxa"/>
              <w:bottom w:w="45" w:type="dxa"/>
              <w:start w:w="100" w:type="dxa"/>
              <w:end w:w="100" w:type="dxa"/>
            </w:tcMar>
          </w:tcPr>
          <w:p>
            <w:pPr>
              <w:keepLines/>
              <w:spacing w:after="0" w:line="252" w:lineRule="auto"/>
            </w:pPr>
            <w:r>
              <w:rPr>
                <w:rFonts w:ascii="Calibri" w:hAnsi="Calibri" w:eastAsia="Microsoft YaHei"/>
                <w:color w:val="0B2545"/>
                <w:sz w:val="14"/>
              </w:rPr>
              <w:t>DG9</w:t>
            </w:r>
          </w:p>
        </w:tc>
        <w:tc>
          <w:tcPr>
            <w:tcW w:type="dxa" w:w="3760"/>
            <w:tcMar>
              <w:top w:w="45" w:type="dxa"/>
              <w:bottom w:w="45" w:type="dxa"/>
              <w:start w:w="100" w:type="dxa"/>
              <w:end w:w="100" w:type="dxa"/>
            </w:tcMar>
          </w:tcPr>
          <w:p>
            <w:pPr>
              <w:keepLines/>
              <w:spacing w:after="0" w:line="252" w:lineRule="auto"/>
            </w:pPr>
            <w:r>
              <w:rPr>
                <w:rFonts w:ascii="Calibri" w:hAnsi="Calibri" w:eastAsia="Microsoft YaHei"/>
                <w:color w:val="0B2545"/>
                <w:sz w:val="14"/>
              </w:rPr>
              <w:t>ScintSuite/FILDSIM 快离子损失探针合成诊断</w:t>
            </w:r>
          </w:p>
        </w:tc>
        <w:tc>
          <w:tcPr>
            <w:tcW w:type="dxa" w:w="800"/>
            <w:tcMar>
              <w:top w:w="45" w:type="dxa"/>
              <w:bottom w:w="45" w:type="dxa"/>
              <w:start w:w="100" w:type="dxa"/>
              <w:end w:w="100" w:type="dxa"/>
            </w:tcMar>
          </w:tcPr>
          <w:p>
            <w:pPr>
              <w:keepLines/>
              <w:spacing w:after="0" w:line="252" w:lineRule="auto"/>
            </w:pPr>
            <w:r>
              <w:rPr>
                <w:rFonts w:ascii="Calibri" w:hAnsi="Calibri" w:eastAsia="Microsoft YaHei"/>
                <w:color w:val="0B2545"/>
                <w:sz w:val="14"/>
              </w:rPr>
              <w:t>E3</w:t>
            </w:r>
          </w:p>
        </w:tc>
        <w:tc>
          <w:tcPr>
            <w:tcW w:type="dxa" w:w="2900"/>
            <w:tcMar>
              <w:top w:w="45" w:type="dxa"/>
              <w:bottom w:w="45" w:type="dxa"/>
              <w:start w:w="100" w:type="dxa"/>
              <w:end w:w="100" w:type="dxa"/>
            </w:tcMar>
          </w:tcPr>
          <w:p>
            <w:pPr>
              <w:keepLines/>
              <w:spacing w:after="0" w:line="252" w:lineRule="auto"/>
            </w:pPr>
            <w:r>
              <w:rPr>
                <w:rFonts w:ascii="Calibri" w:hAnsi="Calibri" w:eastAsia="Microsoft YaHei"/>
                <w:color w:val="0B2545"/>
                <w:sz w:val="14"/>
              </w:rPr>
              <w:t>ASDEX Upgrade；W7-X；DIII-D and other FILD-equipped devices</w:t>
            </w:r>
          </w:p>
        </w:tc>
      </w:tr>
      <w:tr>
        <w:trPr>
          <w:cantSplit/>
        </w:trPr>
        <w:tc>
          <w:tcPr>
            <w:tcW w:type="dxa" w:w="1000"/>
            <w:tcMar>
              <w:top w:w="45" w:type="dxa"/>
              <w:bottom w:w="45" w:type="dxa"/>
              <w:start w:w="100" w:type="dxa"/>
              <w:end w:w="100" w:type="dxa"/>
            </w:tcMar>
          </w:tcPr>
          <w:p>
            <w:pPr>
              <w:keepLines/>
              <w:spacing w:after="0" w:line="252" w:lineRule="auto"/>
            </w:pPr>
            <w:r>
              <w:rPr>
                <w:rFonts w:ascii="Calibri" w:hAnsi="Calibri" w:eastAsia="Microsoft YaHei"/>
                <w:color w:val="0B2545"/>
                <w:sz w:val="14"/>
              </w:rPr>
              <w:t>DSI-027</w:t>
            </w:r>
          </w:p>
        </w:tc>
        <w:tc>
          <w:tcPr>
            <w:tcW w:type="dxa" w:w="900"/>
            <w:tcMar>
              <w:top w:w="45" w:type="dxa"/>
              <w:bottom w:w="45" w:type="dxa"/>
              <w:start w:w="100" w:type="dxa"/>
              <w:end w:w="100" w:type="dxa"/>
            </w:tcMar>
          </w:tcPr>
          <w:p>
            <w:pPr>
              <w:keepLines/>
              <w:spacing w:after="0" w:line="252" w:lineRule="auto"/>
            </w:pPr>
            <w:r>
              <w:rPr>
                <w:rFonts w:ascii="Calibri" w:hAnsi="Calibri" w:eastAsia="Microsoft YaHei"/>
                <w:color w:val="0B2545"/>
                <w:sz w:val="14"/>
              </w:rPr>
              <w:t>DG10</w:t>
            </w:r>
          </w:p>
        </w:tc>
        <w:tc>
          <w:tcPr>
            <w:tcW w:type="dxa" w:w="3760"/>
            <w:tcMar>
              <w:top w:w="45" w:type="dxa"/>
              <w:bottom w:w="45" w:type="dxa"/>
              <w:start w:w="100" w:type="dxa"/>
              <w:end w:w="100" w:type="dxa"/>
            </w:tcMar>
          </w:tcPr>
          <w:p>
            <w:pPr>
              <w:keepLines/>
              <w:spacing w:after="0" w:line="252" w:lineRule="auto"/>
            </w:pPr>
            <w:r>
              <w:rPr>
                <w:rFonts w:ascii="Calibri" w:hAnsi="Calibri" w:eastAsia="Microsoft YaHei"/>
                <w:color w:val="0B2545"/>
                <w:sz w:val="14"/>
              </w:rPr>
              <w:t>快离子速度空间贝叶斯层析</w:t>
            </w:r>
          </w:p>
        </w:tc>
        <w:tc>
          <w:tcPr>
            <w:tcW w:type="dxa" w:w="800"/>
            <w:tcMar>
              <w:top w:w="45" w:type="dxa"/>
              <w:bottom w:w="45" w:type="dxa"/>
              <w:start w:w="100" w:type="dxa"/>
              <w:end w:w="100" w:type="dxa"/>
            </w:tcMar>
          </w:tcPr>
          <w:p>
            <w:pPr>
              <w:keepLines/>
              <w:spacing w:after="0" w:line="252" w:lineRule="auto"/>
            </w:pPr>
            <w:r>
              <w:rPr>
                <w:rFonts w:ascii="Calibri" w:hAnsi="Calibri" w:eastAsia="Microsoft YaHei"/>
                <w:color w:val="0B2545"/>
                <w:sz w:val="14"/>
              </w:rPr>
              <w:t>E3</w:t>
            </w:r>
          </w:p>
        </w:tc>
        <w:tc>
          <w:tcPr>
            <w:tcW w:type="dxa" w:w="2900"/>
            <w:tcMar>
              <w:top w:w="45" w:type="dxa"/>
              <w:bottom w:w="45" w:type="dxa"/>
              <w:start w:w="100" w:type="dxa"/>
              <w:end w:w="100" w:type="dxa"/>
            </w:tcMar>
          </w:tcPr>
          <w:p>
            <w:pPr>
              <w:keepLines/>
              <w:spacing w:after="0" w:line="252" w:lineRule="auto"/>
            </w:pPr>
            <w:r>
              <w:rPr>
                <w:rFonts w:ascii="Calibri" w:hAnsi="Calibri" w:eastAsia="Microsoft YaHei"/>
                <w:color w:val="0B2545"/>
                <w:sz w:val="14"/>
              </w:rPr>
              <w:t>ASDEX Upgrade；JET</w:t>
            </w:r>
          </w:p>
        </w:tc>
      </w:tr>
    </w:tbl>
    <w:p>
      <w:pPr>
        <w:keepNext/>
        <w:pageBreakBefore/>
        <w:spacing w:before="0" w:after="100"/>
      </w:pPr>
      <w:r>
        <w:rPr>
          <w:rFonts w:ascii="Calibri" w:hAnsi="Calibri" w:eastAsia="Microsoft YaHei"/>
          <w:b/>
          <w:caps/>
          <w:color w:val="008C95"/>
          <w:sz w:val="17"/>
        </w:rPr>
        <w:t>11 / DG6 / MHD, WAVES &amp; TURBULENCE</w:t>
      </w:r>
    </w:p>
    <w:p>
      <w:pPr>
        <w:pStyle w:val="Heading1"/>
      </w:pPr>
      <w:r>
        <w:t>MHD、波动与湍流</w:t>
      </w:r>
    </w:p>
    <w:tbl>
      <w:tblPr>
        <w:tblStyle w:val="TableGrid"/>
        <w:tblW w:type="dxa" w:w="9360"/>
        <w:jc w:val="left"/>
        <w:tblLayout w:type="fixed"/>
        <w:tblLook w:firstColumn="1" w:firstRow="1" w:lastColumn="0" w:lastRow="0" w:noHBand="0" w:noVBand="1" w:val="04A0"/>
        <w:tblInd w:w="120" w:type="dxa"/>
      </w:tblPr>
      <w:tblGrid>
        <w:gridCol w:w="9360"/>
      </w:tblGrid>
      <w:tr>
        <w:trPr>
          <w:cantSplit/>
        </w:trPr>
        <w:tc>
          <w:tcPr>
            <w:tcW w:type="dxa" w:w="9360"/>
            <w:tcMar>
              <w:top w:w="80" w:type="dxa"/>
              <w:bottom w:w="80" w:type="dxa"/>
              <w:start w:w="120" w:type="dxa"/>
              <w:end w:w="120" w:type="dxa"/>
            </w:tcMar>
            <w:vAlign w:val="center"/>
            <w:shd w:fill="F2F4F7"/>
          </w:tcPr>
          <w:p>
            <w:pPr>
              <w:keepNext/>
              <w:keepLines/>
              <w:spacing w:after="40"/>
            </w:pPr>
            <w:r>
              <w:rPr>
                <w:rFonts w:ascii="Calibri" w:hAnsi="Calibri" w:eastAsia="Microsoft YaHei"/>
                <w:b/>
                <w:color w:val="008C95"/>
                <w:sz w:val="17"/>
              </w:rPr>
              <w:t>CHAPTER SCOPE</w:t>
            </w:r>
          </w:p>
          <w:p>
            <w:pPr>
              <w:spacing w:after="0"/>
            </w:pPr>
            <w:r>
              <w:rPr>
                <w:rFonts w:ascii="Calibri" w:hAnsi="Calibri" w:eastAsia="Microsoft YaHei"/>
                <w:color w:val="0B2545"/>
                <w:sz w:val="20"/>
              </w:rPr>
              <w:t>本章全文展开 6 项主工作，并列出 19 项跨域关联工作。关联工作只在其主任务章节全文展开，避免重复计数。</w:t>
            </w:r>
          </w:p>
        </w:tc>
      </w:tr>
    </w:tbl>
    <w:p>
      <w:pPr>
        <w:spacing w:after="40"/>
      </w:pPr>
    </w:p>
    <w:p>
      <w:pPr>
        <w:pStyle w:val="Heading3"/>
        <w:keepNext/>
      </w:pPr>
      <w:r>
        <w:t>DG6.01  Mirnov线圈阵列：MHD模态与锁模</w:t>
      </w:r>
    </w:p>
    <w:p>
      <w:pPr>
        <w:keepNext/>
        <w:spacing w:after="80"/>
      </w:pPr>
      <w:r>
        <w:rPr>
          <w:rFonts w:ascii="Calibri" w:hAnsi="Calibri" w:eastAsia="Microsoft YaHei"/>
          <w:i/>
          <w:color w:val="566573"/>
          <w:sz w:val="18"/>
        </w:rPr>
        <w:t>Mirnov-coil arrays for MHD modes and locked modes</w:t>
      </w:r>
    </w:p>
    <w:tbl>
      <w:tblPr>
        <w:tblStyle w:val="TableGrid"/>
        <w:tblW w:type="dxa" w:w="9360"/>
        <w:jc w:val="left"/>
        <w:tblLayout w:type="fixed"/>
        <w:tblLook w:firstColumn="1" w:firstRow="1" w:lastColumn="0" w:lastRow="0" w:noHBand="0" w:noVBand="1" w:val="04A0"/>
        <w:tblInd w:w="120" w:type="dxa"/>
      </w:tblPr>
      <w:tblGrid>
        <w:gridCol w:w="1200"/>
        <w:gridCol w:w="750"/>
        <w:gridCol w:w="750"/>
        <w:gridCol w:w="2100"/>
        <w:gridCol w:w="4560"/>
      </w:tblGrid>
      <w:tr>
        <w:trPr>
          <w:tblHeader w:val="true"/>
        </w:trPr>
        <w:tc>
          <w:tcPr>
            <w:tcW w:type="dxa" w:w="12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工作 ID</w:t>
            </w:r>
          </w:p>
        </w:tc>
        <w:tc>
          <w:tcPr>
            <w:tcW w:type="dxa" w:w="7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证据</w:t>
            </w:r>
          </w:p>
        </w:tc>
        <w:tc>
          <w:tcPr>
            <w:tcW w:type="dxa" w:w="7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部署</w:t>
            </w:r>
          </w:p>
        </w:tc>
        <w:tc>
          <w:tcPr>
            <w:tcW w:type="dxa" w:w="21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技术族</w:t>
            </w:r>
          </w:p>
        </w:tc>
        <w:tc>
          <w:tcPr>
            <w:tcW w:type="dxa" w:w="456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装置</w:t>
            </w:r>
          </w:p>
        </w:tc>
      </w:tr>
      <w:tr>
        <w:trPr>
          <w:cantSplit/>
        </w:trPr>
        <w:tc>
          <w:tcPr>
            <w:tcW w:type="dxa" w:w="1200"/>
          </w:tcPr>
          <w:p>
            <w:pPr>
              <w:keepLines/>
              <w:spacing w:after="0" w:line="276" w:lineRule="auto"/>
            </w:pPr>
            <w:r>
              <w:rPr>
                <w:rFonts w:ascii="Calibri" w:hAnsi="Calibri" w:eastAsia="Microsoft YaHei"/>
                <w:color w:val="0B2545"/>
                <w:sz w:val="15"/>
              </w:rPr>
              <w:t>DG6-029</w:t>
            </w:r>
          </w:p>
        </w:tc>
        <w:tc>
          <w:tcPr>
            <w:tcW w:type="dxa" w:w="750"/>
          </w:tcPr>
          <w:p>
            <w:pPr>
              <w:keepLines/>
              <w:spacing w:after="0" w:line="276" w:lineRule="auto"/>
            </w:pPr>
            <w:r>
              <w:rPr>
                <w:rFonts w:ascii="Calibri" w:hAnsi="Calibri" w:eastAsia="Microsoft YaHei"/>
                <w:color w:val="0B2545"/>
                <w:sz w:val="15"/>
              </w:rPr>
              <w:t>E4</w:t>
            </w:r>
          </w:p>
        </w:tc>
        <w:tc>
          <w:tcPr>
            <w:tcW w:type="dxa" w:w="750"/>
          </w:tcPr>
          <w:p>
            <w:pPr>
              <w:keepLines/>
              <w:spacing w:after="0" w:line="276" w:lineRule="auto"/>
            </w:pPr>
            <w:r>
              <w:rPr>
                <w:rFonts w:ascii="Calibri" w:hAnsi="Calibri" w:eastAsia="Microsoft YaHei"/>
                <w:color w:val="0B2545"/>
                <w:sz w:val="15"/>
              </w:rPr>
              <w:t>D4</w:t>
            </w:r>
          </w:p>
        </w:tc>
        <w:tc>
          <w:tcPr>
            <w:tcW w:type="dxa" w:w="2100"/>
          </w:tcPr>
          <w:p>
            <w:pPr>
              <w:keepLines/>
              <w:spacing w:after="0" w:line="276" w:lineRule="auto"/>
            </w:pPr>
            <w:r>
              <w:rPr>
                <w:rFonts w:ascii="Calibri" w:hAnsi="Calibri" w:eastAsia="Microsoft YaHei"/>
                <w:color w:val="0B2545"/>
                <w:sz w:val="15"/>
              </w:rPr>
              <w:t>MAGNETIC</w:t>
            </w:r>
          </w:p>
        </w:tc>
        <w:tc>
          <w:tcPr>
            <w:tcW w:type="dxa" w:w="4560"/>
          </w:tcPr>
          <w:p>
            <w:pPr>
              <w:keepLines/>
              <w:spacing w:after="0" w:line="276" w:lineRule="auto"/>
            </w:pPr>
            <w:r>
              <w:rPr>
                <w:rFonts w:ascii="Calibri" w:hAnsi="Calibri" w:eastAsia="Microsoft YaHei"/>
                <w:color w:val="0B2545"/>
                <w:sz w:val="15"/>
              </w:rPr>
              <w:t>J-TEXT；MAST；DIII-D；EAST；KSTAR</w:t>
            </w:r>
          </w:p>
        </w:tc>
      </w:tr>
    </w:tbl>
    <w:p>
      <w:pPr>
        <w:spacing w:before="0" w:after="60"/>
      </w:pPr>
    </w:p>
    <w:p>
      <w:pPr>
        <w:widowControl/>
      </w:pPr>
      <w:r>
        <w:rPr>
          <w:rFonts w:ascii="Calibri" w:hAnsi="Calibri" w:eastAsia="Microsoft YaHei"/>
          <w:b/>
          <w:color w:val="1F4D78"/>
        </w:rPr>
        <w:t>解决问题：</w:t>
      </w:r>
      <w:r>
        <w:rPr>
          <w:rFonts w:ascii="Calibri" w:hAnsi="Calibri" w:eastAsia="Microsoft YaHei"/>
        </w:rPr>
        <w:t>高时间分辨识别撕裂模、鱼骨、ELM、锁模和模态数。</w:t>
      </w:r>
    </w:p>
    <w:p>
      <w:pPr>
        <w:widowControl/>
      </w:pPr>
      <w:r>
        <w:rPr>
          <w:rFonts w:ascii="Calibri" w:hAnsi="Calibri" w:eastAsia="Microsoft YaHei"/>
          <w:b/>
          <w:color w:val="1F4D78"/>
        </w:rPr>
        <w:t>测量原理：</w:t>
      </w:r>
      <w:r>
        <w:rPr>
          <w:rFonts w:ascii="Calibri" w:hAnsi="Calibri" w:eastAsia="Microsoft YaHei"/>
        </w:rPr>
        <w:t>小型拾取线圈测dB/dt；极向/环向阵列的相位与幅值给m/n及旋转频率。</w:t>
      </w:r>
    </w:p>
    <w:p>
      <w:pPr>
        <w:widowControl/>
      </w:pPr>
      <w:r>
        <w:rPr>
          <w:rFonts w:ascii="Calibri" w:hAnsi="Calibri" w:eastAsia="Microsoft YaHei"/>
          <w:b/>
          <w:color w:val="1F4D78"/>
        </w:rPr>
        <w:t>测量产品：</w:t>
      </w:r>
      <w:r>
        <w:rPr>
          <w:rFonts w:ascii="Calibri" w:hAnsi="Calibri" w:eastAsia="Microsoft YaHei"/>
        </w:rPr>
        <w:t>magnetic fluctuation；mode frequency；m/n numbers；mode amplitude</w:t>
      </w:r>
    </w:p>
    <w:p>
      <w:pPr>
        <w:widowControl/>
      </w:pPr>
      <w:r>
        <w:rPr>
          <w:rFonts w:ascii="Calibri" w:hAnsi="Calibri" w:eastAsia="Microsoft YaHei"/>
          <w:b/>
          <w:color w:val="1F4D78"/>
        </w:rPr>
        <w:t>时空分辨与覆盖：</w:t>
      </w:r>
      <w:r>
        <w:rPr>
          <w:rFonts w:ascii="Calibri" w:hAnsi="Calibri" w:eastAsia="Microsoft YaHei"/>
        </w:rPr>
        <w:t>时间：因装置、采集和分析链而异；原始来源未给出统一数值。；空间：由视线、几何和反演设定；原始来源未给出统一数值。</w:t>
      </w:r>
    </w:p>
    <w:p>
      <w:pPr>
        <w:widowControl/>
      </w:pPr>
      <w:r>
        <w:rPr>
          <w:rFonts w:ascii="Calibri" w:hAnsi="Calibri" w:eastAsia="Microsoft YaHei"/>
          <w:b/>
          <w:color w:val="1F4D78"/>
        </w:rPr>
        <w:t>仪器与传感器：</w:t>
      </w:r>
      <w:r>
        <w:rPr>
          <w:rFonts w:ascii="Calibri" w:hAnsi="Calibri" w:eastAsia="Microsoft YaHei"/>
        </w:rPr>
        <w:t>Mirnov coils；saddle loops；integrators；fast digitizers</w:t>
      </w:r>
    </w:p>
    <w:p>
      <w:pPr>
        <w:widowControl/>
      </w:pPr>
      <w:r>
        <w:rPr>
          <w:rFonts w:ascii="Calibri" w:hAnsi="Calibri" w:eastAsia="Microsoft YaHei"/>
          <w:b/>
          <w:color w:val="1F4D78"/>
        </w:rPr>
        <w:t>标定与质量：</w:t>
      </w:r>
      <w:r>
        <w:rPr>
          <w:rFonts w:ascii="Calibri" w:hAnsi="Calibri" w:eastAsia="Microsoft YaHei"/>
        </w:rPr>
        <w:t>已知线圈/磁场注入标定幅相和通道延迟；测几何、频响和串扰。</w:t>
      </w:r>
    </w:p>
    <w:p>
      <w:pPr>
        <w:widowControl/>
      </w:pPr>
      <w:r>
        <w:rPr>
          <w:rFonts w:ascii="Calibri" w:hAnsi="Calibri" w:eastAsia="Microsoft YaHei"/>
          <w:b/>
          <w:color w:val="1F4D78"/>
        </w:rPr>
        <w:t>反演与分析：</w:t>
      </w:r>
      <w:r>
        <w:rPr>
          <w:rFonts w:ascii="Calibri" w:hAnsi="Calibri" w:eastAsia="Microsoft YaHei"/>
        </w:rPr>
        <w:t>积分/带通/时频分析后以阵列相位拟合m/n；锁模用低频非轴对称场。</w:t>
      </w:r>
    </w:p>
    <w:p>
      <w:pPr>
        <w:widowControl/>
      </w:pPr>
      <w:r>
        <w:rPr>
          <w:rFonts w:ascii="Calibri" w:hAnsi="Calibri" w:eastAsia="Microsoft YaHei"/>
          <w:b/>
          <w:color w:val="1F4D78"/>
        </w:rPr>
        <w:t>验证与应用：</w:t>
      </w:r>
      <w:r>
        <w:rPr>
          <w:rFonts w:ascii="Calibri" w:hAnsi="Calibri" w:eastAsia="Microsoft YaHei"/>
        </w:rPr>
        <w:t>装置上用阵列冗余、合成模态注入及与SXR/ECEI事件交叉。</w:t>
      </w:r>
    </w:p>
    <w:p>
      <w:pPr>
        <w:widowControl/>
      </w:pPr>
      <w:r>
        <w:rPr>
          <w:rFonts w:ascii="Calibri" w:hAnsi="Calibri" w:eastAsia="Microsoft YaHei"/>
          <w:b/>
          <w:color w:val="1F4D78"/>
        </w:rPr>
        <w:t>局限与边界：</w:t>
      </w:r>
      <w:r>
        <w:rPr>
          <w:rFonts w:ascii="Calibri" w:hAnsi="Calibri" w:eastAsia="Microsoft YaHei"/>
        </w:rPr>
        <w:t>壁屏蔽、涡流和有限阵列导致模态混叠；局部线圈不直接给内部径向位置。</w:t>
      </w:r>
    </w:p>
    <w:tbl>
      <w:tblPr>
        <w:tblStyle w:val="TableGrid"/>
        <w:tblW w:type="dxa" w:w="9360"/>
        <w:jc w:val="left"/>
        <w:tblLayout w:type="fixed"/>
        <w:tblLook w:firstColumn="1" w:firstRow="1" w:lastColumn="0" w:lastRow="0" w:noHBand="0" w:noVBand="1" w:val="04A0"/>
        <w:tblInd w:w="120" w:type="dxa"/>
      </w:tblPr>
      <w:tblGrid>
        <w:gridCol w:w="9360"/>
      </w:tblGrid>
      <w:tr>
        <w:trPr>
          <w:cantSplit/>
        </w:trPr>
        <w:tc>
          <w:tcPr>
            <w:tcW w:type="dxa" w:w="9360"/>
            <w:tcMar>
              <w:top w:w="80" w:type="dxa"/>
              <w:bottom w:w="80" w:type="dxa"/>
              <w:start w:w="120" w:type="dxa"/>
              <w:end w:w="120" w:type="dxa"/>
            </w:tcMar>
            <w:vAlign w:val="center"/>
            <w:shd w:fill="EEF7F7"/>
          </w:tcPr>
          <w:p>
            <w:pPr>
              <w:keepNext/>
              <w:keepLines/>
              <w:spacing w:after="40"/>
            </w:pPr>
            <w:r>
              <w:rPr>
                <w:rFonts w:ascii="Calibri" w:hAnsi="Calibri" w:eastAsia="Microsoft YaHei"/>
                <w:b/>
                <w:color w:val="008C95"/>
                <w:sz w:val="17"/>
              </w:rPr>
              <w:t>DIGITAL-TWIN RELEVANCE</w:t>
            </w:r>
          </w:p>
          <w:p>
            <w:pPr>
              <w:spacing w:after="0"/>
            </w:pPr>
            <w:r>
              <w:rPr>
                <w:rFonts w:ascii="Calibri" w:hAnsi="Calibri" w:eastAsia="Microsoft YaHei"/>
                <w:color w:val="0B2545"/>
                <w:sz w:val="20"/>
              </w:rPr>
              <w:t>是MHD事件孪生的高带宽触发层；需保留复幅值、频响和模态置信度。</w:t>
            </w:r>
          </w:p>
        </w:tc>
      </w:tr>
    </w:tbl>
    <w:p>
      <w:pPr>
        <w:spacing w:after="40"/>
      </w:pPr>
    </w:p>
    <w:tbl>
      <w:tblPr>
        <w:tblStyle w:val="TableGrid"/>
        <w:tblW w:type="dxa" w:w="9360"/>
        <w:jc w:val="left"/>
        <w:tblLayout w:type="fixed"/>
        <w:tblLook w:firstColumn="1" w:firstRow="1" w:lastColumn="0" w:lastRow="0" w:noHBand="0" w:noVBand="1" w:val="04A0"/>
        <w:tblInd w:w="120" w:type="dxa"/>
      </w:tblPr>
      <w:tblGrid>
        <w:gridCol w:w="850"/>
        <w:gridCol w:w="2500"/>
        <w:gridCol w:w="1600"/>
        <w:gridCol w:w="2300"/>
        <w:gridCol w:w="2110"/>
      </w:tblGrid>
      <w:tr>
        <w:trPr>
          <w:tblHeader w:val="true"/>
        </w:trPr>
        <w:tc>
          <w:tcPr>
            <w:tcW w:type="dxa" w:w="8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年份/类型</w:t>
            </w:r>
          </w:p>
        </w:tc>
        <w:tc>
          <w:tcPr>
            <w:tcW w:type="dxa" w:w="25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论文或软件</w:t>
            </w:r>
          </w:p>
        </w:tc>
        <w:tc>
          <w:tcPr>
            <w:tcW w:type="dxa" w:w="16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期刊/开放性</w:t>
            </w:r>
          </w:p>
        </w:tc>
        <w:tc>
          <w:tcPr>
            <w:tcW w:type="dxa" w:w="23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来源类型/关系</w:t>
            </w:r>
          </w:p>
        </w:tc>
        <w:tc>
          <w:tcPr>
            <w:tcW w:type="dxa" w:w="211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链接</w:t>
            </w:r>
          </w:p>
        </w:tc>
      </w:tr>
      <w:tr>
        <w:trPr>
          <w:cantSplit/>
        </w:trPr>
        <w:tc>
          <w:tcPr>
            <w:tcW w:type="dxa" w:w="850"/>
          </w:tcPr>
          <w:p>
            <w:pPr>
              <w:keepLines/>
              <w:spacing w:after="0" w:line="276" w:lineRule="auto"/>
            </w:pPr>
            <w:r>
              <w:rPr>
                <w:rFonts w:ascii="Calibri" w:hAnsi="Calibri" w:eastAsia="Microsoft YaHei"/>
                <w:color w:val="0B2545"/>
                <w:sz w:val="14"/>
              </w:rPr>
              <w:t>2009</w:t>
            </w:r>
          </w:p>
        </w:tc>
        <w:tc>
          <w:tcPr>
            <w:tcW w:type="dxa" w:w="2500"/>
          </w:tcPr>
          <w:p>
            <w:pPr>
              <w:keepLines/>
              <w:spacing w:after="0" w:line="276" w:lineRule="auto"/>
            </w:pPr>
            <w:r>
              <w:rPr>
                <w:rFonts w:ascii="Calibri" w:hAnsi="Calibri" w:eastAsia="Microsoft YaHei"/>
                <w:color w:val="0B2545"/>
                <w:sz w:val="14"/>
              </w:rPr>
              <w:t>A high resolution Mirnov array for the Mega Ampere Spherical Tokamak</w:t>
            </w:r>
          </w:p>
        </w:tc>
        <w:tc>
          <w:tcPr>
            <w:tcW w:type="dxa" w:w="1600"/>
          </w:tcPr>
          <w:p>
            <w:pPr>
              <w:keepLines/>
              <w:spacing w:after="0" w:line="276" w:lineRule="auto"/>
            </w:pPr>
            <w:r>
              <w:rPr>
                <w:rFonts w:ascii="Calibri" w:hAnsi="Calibri" w:eastAsia="Microsoft YaHei"/>
                <w:color w:val="0B2545"/>
                <w:sz w:val="14"/>
              </w:rPr>
              <w:t>Review of Scientific Instruments</w:t>
            </w:r>
          </w:p>
        </w:tc>
        <w:tc>
          <w:tcPr>
            <w:tcW w:type="dxa" w:w="2300"/>
          </w:tcPr>
          <w:p>
            <w:pPr>
              <w:keepLines/>
              <w:spacing w:after="0" w:line="276" w:lineRule="auto"/>
            </w:pPr>
            <w:r>
              <w:rPr>
                <w:rFonts w:ascii="Calibri" w:hAnsi="Calibri" w:eastAsia="Microsoft YaHei"/>
                <w:color w:val="0B2545"/>
                <w:sz w:val="14"/>
              </w:rPr>
              <w:t>peer-reviewed-journal</w:t>
            </w:r>
          </w:p>
        </w:tc>
        <w:tc>
          <w:tcPr>
            <w:tcW w:type="dxa" w:w="2110"/>
          </w:tcPr>
          <w:p>
            <w:pPr>
              <w:keepLines/>
              <w:spacing w:after="0" w:line="276" w:lineRule="auto"/>
            </w:pPr>
            <w:hyperlink r:id="rId102">
              <w:r>
                <w:rPr>
                  <w:rFonts w:ascii="Calibri" w:hAnsi="Calibri" w:eastAsia="Microsoft YaHei"/>
                  <w:color w:val="008C95"/>
                  <w:u w:val="single"/>
                </w:rPr>
                <w:t>打开原始来源 ↗</w:t>
              </w:r>
            </w:hyperlink>
          </w:p>
        </w:tc>
      </w:tr>
      <w:tr>
        <w:trPr>
          <w:cantSplit/>
        </w:trPr>
        <w:tc>
          <w:tcPr>
            <w:tcW w:type="dxa" w:w="850"/>
          </w:tcPr>
          <w:p>
            <w:pPr>
              <w:keepLines/>
              <w:spacing w:after="0" w:line="276" w:lineRule="auto"/>
            </w:pPr>
            <w:r>
              <w:rPr>
                <w:rFonts w:ascii="Calibri" w:hAnsi="Calibri" w:eastAsia="Microsoft YaHei"/>
                <w:color w:val="0B2545"/>
                <w:sz w:val="14"/>
              </w:rPr>
              <w:t>2017</w:t>
            </w:r>
          </w:p>
        </w:tc>
        <w:tc>
          <w:tcPr>
            <w:tcW w:type="dxa" w:w="2500"/>
          </w:tcPr>
          <w:p>
            <w:pPr>
              <w:keepLines/>
              <w:spacing w:after="0" w:line="276" w:lineRule="auto"/>
            </w:pPr>
            <w:r>
              <w:rPr>
                <w:rFonts w:ascii="Calibri" w:hAnsi="Calibri" w:eastAsia="Microsoft YaHei"/>
                <w:color w:val="0B2545"/>
                <w:sz w:val="14"/>
              </w:rPr>
              <w:t>Upgrade of the Mirnov probe arrays on the J-TEXT tokamak</w:t>
            </w:r>
          </w:p>
        </w:tc>
        <w:tc>
          <w:tcPr>
            <w:tcW w:type="dxa" w:w="1600"/>
          </w:tcPr>
          <w:p>
            <w:pPr>
              <w:keepLines/>
              <w:spacing w:after="0" w:line="276" w:lineRule="auto"/>
            </w:pPr>
            <w:r>
              <w:rPr>
                <w:rFonts w:ascii="Calibri" w:hAnsi="Calibri" w:eastAsia="Microsoft YaHei"/>
                <w:color w:val="0B2545"/>
                <w:sz w:val="14"/>
              </w:rPr>
              <w:t>Review of Scientific Instruments</w:t>
            </w:r>
          </w:p>
        </w:tc>
        <w:tc>
          <w:tcPr>
            <w:tcW w:type="dxa" w:w="2300"/>
          </w:tcPr>
          <w:p>
            <w:pPr>
              <w:keepLines/>
              <w:spacing w:after="0" w:line="276" w:lineRule="auto"/>
            </w:pPr>
            <w:r>
              <w:rPr>
                <w:rFonts w:ascii="Calibri" w:hAnsi="Calibri" w:eastAsia="Microsoft YaHei"/>
                <w:color w:val="0B2545"/>
                <w:sz w:val="14"/>
              </w:rPr>
              <w:t>peer-reviewed-journal</w:t>
            </w:r>
          </w:p>
        </w:tc>
        <w:tc>
          <w:tcPr>
            <w:tcW w:type="dxa" w:w="2110"/>
          </w:tcPr>
          <w:p>
            <w:pPr>
              <w:keepLines/>
              <w:spacing w:after="0" w:line="276" w:lineRule="auto"/>
            </w:pPr>
            <w:hyperlink r:id="rId103">
              <w:r>
                <w:rPr>
                  <w:rFonts w:ascii="Calibri" w:hAnsi="Calibri" w:eastAsia="Microsoft YaHei"/>
                  <w:color w:val="008C95"/>
                  <w:u w:val="single"/>
                </w:rPr>
                <w:t>打开原始来源 ↗</w:t>
              </w:r>
            </w:hyperlink>
          </w:p>
        </w:tc>
      </w:tr>
      <w:tr>
        <w:trPr>
          <w:cantSplit/>
        </w:trPr>
        <w:tc>
          <w:tcPr>
            <w:tcW w:type="dxa" w:w="850"/>
          </w:tcPr>
          <w:p>
            <w:pPr>
              <w:keepLines/>
              <w:spacing w:after="0" w:line="276" w:lineRule="auto"/>
            </w:pPr>
            <w:r>
              <w:rPr>
                <w:rFonts w:ascii="Calibri" w:hAnsi="Calibri" w:eastAsia="Microsoft YaHei"/>
                <w:color w:val="0B2545"/>
                <w:sz w:val="14"/>
              </w:rPr>
              <w:t>软件</w:t>
            </w:r>
          </w:p>
        </w:tc>
        <w:tc>
          <w:tcPr>
            <w:tcW w:type="dxa" w:w="2500"/>
          </w:tcPr>
          <w:p>
            <w:pPr>
              <w:keepLines/>
              <w:spacing w:after="0" w:line="276" w:lineRule="auto"/>
            </w:pPr>
            <w:r>
              <w:rPr>
                <w:rFonts w:ascii="Calibri" w:hAnsi="Calibri" w:eastAsia="Microsoft YaHei"/>
                <w:color w:val="0B2545"/>
                <w:sz w:val="14"/>
              </w:rPr>
              <w:t>装置专有分析/标定软件</w:t>
            </w:r>
          </w:p>
        </w:tc>
        <w:tc>
          <w:tcPr>
            <w:tcW w:type="dxa" w:w="1600"/>
          </w:tcPr>
          <w:p>
            <w:pPr>
              <w:keepLines/>
              <w:spacing w:after="0" w:line="276" w:lineRule="auto"/>
            </w:pPr>
            <w:r>
              <w:rPr>
                <w:rFonts w:ascii="Calibri" w:hAnsi="Calibri" w:eastAsia="Microsoft YaHei"/>
                <w:color w:val="0B2545"/>
                <w:sz w:val="14"/>
              </w:rPr>
              <w:t>not-public</w:t>
            </w:r>
          </w:p>
        </w:tc>
        <w:tc>
          <w:tcPr>
            <w:tcW w:type="dxa" w:w="2300"/>
          </w:tcPr>
          <w:p>
            <w:pPr>
              <w:keepLines/>
              <w:spacing w:after="0" w:line="276" w:lineRule="auto"/>
            </w:pPr>
            <w:r>
              <w:rPr>
                <w:rFonts w:ascii="Calibri" w:hAnsi="Calibri" w:eastAsia="Microsoft YaHei"/>
                <w:color w:val="0B2545"/>
                <w:sz w:val="14"/>
              </w:rPr>
              <w:t>实时模态识别和保护接口未公开。</w:t>
            </w:r>
          </w:p>
        </w:tc>
        <w:tc>
          <w:tcPr>
            <w:tcW w:type="dxa" w:w="2110"/>
          </w:tcPr>
          <w:p>
            <w:pPr>
              <w:keepLines/>
              <w:spacing w:after="0" w:line="276" w:lineRule="auto"/>
            </w:pPr>
            <w:r>
              <w:rPr>
                <w:rFonts w:ascii="Calibri" w:hAnsi="Calibri" w:eastAsia="Microsoft YaHei"/>
                <w:color w:val="0B2545"/>
                <w:sz w:val="14"/>
              </w:rPr>
              <w:t>未公开</w:t>
            </w:r>
          </w:p>
        </w:tc>
      </w:tr>
    </w:tbl>
    <w:p>
      <w:pPr>
        <w:spacing w:before="0" w:after="60"/>
      </w:pPr>
    </w:p>
    <w:p>
      <w:pPr>
        <w:pStyle w:val="Heading3"/>
        <w:keepNext/>
      </w:pPr>
      <w:r>
        <w:t>DG6.02  二维电子回旋辐射成像：磁岛与湍流</w:t>
      </w:r>
    </w:p>
    <w:p>
      <w:pPr>
        <w:keepNext/>
        <w:spacing w:after="80"/>
      </w:pPr>
      <w:r>
        <w:rPr>
          <w:rFonts w:ascii="Calibri" w:hAnsi="Calibri" w:eastAsia="Microsoft YaHei"/>
          <w:i/>
          <w:color w:val="566573"/>
          <w:sz w:val="18"/>
        </w:rPr>
        <w:t>Electron-cyclotron-emission imaging of islands and turbulence</w:t>
      </w:r>
    </w:p>
    <w:tbl>
      <w:tblPr>
        <w:tblStyle w:val="TableGrid"/>
        <w:tblW w:type="dxa" w:w="9360"/>
        <w:jc w:val="left"/>
        <w:tblLayout w:type="fixed"/>
        <w:tblLook w:firstColumn="1" w:firstRow="1" w:lastColumn="0" w:lastRow="0" w:noHBand="0" w:noVBand="1" w:val="04A0"/>
        <w:tblInd w:w="120" w:type="dxa"/>
      </w:tblPr>
      <w:tblGrid>
        <w:gridCol w:w="1200"/>
        <w:gridCol w:w="750"/>
        <w:gridCol w:w="750"/>
        <w:gridCol w:w="2100"/>
        <w:gridCol w:w="4560"/>
      </w:tblGrid>
      <w:tr>
        <w:trPr>
          <w:tblHeader w:val="true"/>
        </w:trPr>
        <w:tc>
          <w:tcPr>
            <w:tcW w:type="dxa" w:w="12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工作 ID</w:t>
            </w:r>
          </w:p>
        </w:tc>
        <w:tc>
          <w:tcPr>
            <w:tcW w:type="dxa" w:w="7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证据</w:t>
            </w:r>
          </w:p>
        </w:tc>
        <w:tc>
          <w:tcPr>
            <w:tcW w:type="dxa" w:w="7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部署</w:t>
            </w:r>
          </w:p>
        </w:tc>
        <w:tc>
          <w:tcPr>
            <w:tcW w:type="dxa" w:w="21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技术族</w:t>
            </w:r>
          </w:p>
        </w:tc>
        <w:tc>
          <w:tcPr>
            <w:tcW w:type="dxa" w:w="456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装置</w:t>
            </w:r>
          </w:p>
        </w:tc>
      </w:tr>
      <w:tr>
        <w:trPr>
          <w:cantSplit/>
        </w:trPr>
        <w:tc>
          <w:tcPr>
            <w:tcW w:type="dxa" w:w="1200"/>
          </w:tcPr>
          <w:p>
            <w:pPr>
              <w:keepLines/>
              <w:spacing w:after="0" w:line="276" w:lineRule="auto"/>
            </w:pPr>
            <w:r>
              <w:rPr>
                <w:rFonts w:ascii="Calibri" w:hAnsi="Calibri" w:eastAsia="Microsoft YaHei"/>
                <w:color w:val="0B2545"/>
                <w:sz w:val="15"/>
              </w:rPr>
              <w:t>DG6-030</w:t>
            </w:r>
          </w:p>
        </w:tc>
        <w:tc>
          <w:tcPr>
            <w:tcW w:type="dxa" w:w="750"/>
          </w:tcPr>
          <w:p>
            <w:pPr>
              <w:keepLines/>
              <w:spacing w:after="0" w:line="276" w:lineRule="auto"/>
            </w:pPr>
            <w:r>
              <w:rPr>
                <w:rFonts w:ascii="Calibri" w:hAnsi="Calibri" w:eastAsia="Microsoft YaHei"/>
                <w:color w:val="0B2545"/>
                <w:sz w:val="15"/>
              </w:rPr>
              <w:t>E4</w:t>
            </w:r>
          </w:p>
        </w:tc>
        <w:tc>
          <w:tcPr>
            <w:tcW w:type="dxa" w:w="750"/>
          </w:tcPr>
          <w:p>
            <w:pPr>
              <w:keepLines/>
              <w:spacing w:after="0" w:line="276" w:lineRule="auto"/>
            </w:pPr>
            <w:r>
              <w:rPr>
                <w:rFonts w:ascii="Calibri" w:hAnsi="Calibri" w:eastAsia="Microsoft YaHei"/>
                <w:color w:val="0B2545"/>
                <w:sz w:val="15"/>
              </w:rPr>
              <w:t>D4</w:t>
            </w:r>
          </w:p>
        </w:tc>
        <w:tc>
          <w:tcPr>
            <w:tcW w:type="dxa" w:w="2100"/>
          </w:tcPr>
          <w:p>
            <w:pPr>
              <w:keepLines/>
              <w:spacing w:after="0" w:line="276" w:lineRule="auto"/>
            </w:pPr>
            <w:r>
              <w:rPr>
                <w:rFonts w:ascii="Calibri" w:hAnsi="Calibri" w:eastAsia="Microsoft YaHei"/>
                <w:color w:val="0B2545"/>
                <w:sz w:val="15"/>
              </w:rPr>
              <w:t>MICROWAVE</w:t>
            </w:r>
          </w:p>
        </w:tc>
        <w:tc>
          <w:tcPr>
            <w:tcW w:type="dxa" w:w="4560"/>
          </w:tcPr>
          <w:p>
            <w:pPr>
              <w:keepLines/>
              <w:spacing w:after="0" w:line="276" w:lineRule="auto"/>
            </w:pPr>
            <w:r>
              <w:rPr>
                <w:rFonts w:ascii="Calibri" w:hAnsi="Calibri" w:eastAsia="Microsoft YaHei"/>
                <w:color w:val="0B2545"/>
                <w:sz w:val="15"/>
              </w:rPr>
              <w:t>KSTAR；DIII-D；EAST</w:t>
            </w:r>
          </w:p>
        </w:tc>
      </w:tr>
    </w:tbl>
    <w:p>
      <w:pPr>
        <w:spacing w:before="0" w:after="60"/>
      </w:pPr>
    </w:p>
    <w:p>
      <w:pPr>
        <w:widowControl/>
      </w:pPr>
      <w:r>
        <w:rPr>
          <w:rFonts w:ascii="Calibri" w:hAnsi="Calibri" w:eastAsia="Microsoft YaHei"/>
          <w:b/>
          <w:color w:val="1F4D78"/>
        </w:rPr>
        <w:t>解决问题：</w:t>
      </w:r>
      <w:r>
        <w:rPr>
          <w:rFonts w:ascii="Calibri" w:hAnsi="Calibri" w:eastAsia="Microsoft YaHei"/>
        </w:rPr>
        <w:t>二维成像电子温度扰动，解析磁岛、锯齿、ELM与湍流结构。</w:t>
      </w:r>
    </w:p>
    <w:p>
      <w:pPr>
        <w:widowControl/>
      </w:pPr>
      <w:r>
        <w:rPr>
          <w:rFonts w:ascii="Calibri" w:hAnsi="Calibri" w:eastAsia="Microsoft YaHei"/>
          <w:b/>
          <w:color w:val="1F4D78"/>
        </w:rPr>
        <w:t>测量原理：</w:t>
      </w:r>
      <w:r>
        <w:rPr>
          <w:rFonts w:ascii="Calibri" w:hAnsi="Calibri" w:eastAsia="Microsoft YaHei"/>
        </w:rPr>
        <w:t>多通道天线/透镜同时采样多个频率和垂直位置；ECE亮温变化映射二维Te扰动。</w:t>
      </w:r>
    </w:p>
    <w:p>
      <w:pPr>
        <w:widowControl/>
      </w:pPr>
      <w:r>
        <w:rPr>
          <w:rFonts w:ascii="Calibri" w:hAnsi="Calibri" w:eastAsia="Microsoft YaHei"/>
          <w:b/>
          <w:color w:val="1F4D78"/>
        </w:rPr>
        <w:t>测量产品：</w:t>
      </w:r>
      <w:r>
        <w:rPr>
          <w:rFonts w:ascii="Calibri" w:hAnsi="Calibri" w:eastAsia="Microsoft YaHei"/>
        </w:rPr>
        <w:t>2-D Te fluctuation；island structure；sawtooth/ELM dynamics</w:t>
      </w:r>
    </w:p>
    <w:p>
      <w:pPr>
        <w:widowControl/>
      </w:pPr>
      <w:r>
        <w:rPr>
          <w:rFonts w:ascii="Calibri" w:hAnsi="Calibri" w:eastAsia="Microsoft YaHei"/>
          <w:b/>
          <w:color w:val="1F4D78"/>
        </w:rPr>
        <w:t>时空分辨与覆盖：</w:t>
      </w:r>
      <w:r>
        <w:rPr>
          <w:rFonts w:ascii="Calibri" w:hAnsi="Calibri" w:eastAsia="Microsoft YaHei"/>
        </w:rPr>
        <w:t>时间：因装置、采集和分析链而异；原始来源未给出统一数值。；空间：由视线、几何和反演设定；原始来源未给出统一数值。</w:t>
      </w:r>
    </w:p>
    <w:p>
      <w:pPr>
        <w:widowControl/>
      </w:pPr>
      <w:r>
        <w:rPr>
          <w:rFonts w:ascii="Calibri" w:hAnsi="Calibri" w:eastAsia="Microsoft YaHei"/>
          <w:b/>
          <w:color w:val="1F4D78"/>
        </w:rPr>
        <w:t>仪器与传感器：</w:t>
      </w:r>
      <w:r>
        <w:rPr>
          <w:rFonts w:ascii="Calibri" w:hAnsi="Calibri" w:eastAsia="Microsoft YaHei"/>
        </w:rPr>
        <w:t>microwave imaging optics；mixer arrays；LO distribution；fast digitizers</w:t>
      </w:r>
    </w:p>
    <w:p>
      <w:pPr>
        <w:widowControl/>
      </w:pPr>
      <w:r>
        <w:rPr>
          <w:rFonts w:ascii="Calibri" w:hAnsi="Calibri" w:eastAsia="Microsoft YaHei"/>
          <w:b/>
          <w:color w:val="1F4D78"/>
        </w:rPr>
        <w:t>标定与质量：</w:t>
      </w:r>
      <w:r>
        <w:rPr>
          <w:rFonts w:ascii="Calibri" w:hAnsi="Calibri" w:eastAsia="Microsoft YaHei"/>
        </w:rPr>
        <w:t>黑体/热源标定通道增益与相位；用磁平衡和射线追踪标定空间映射。</w:t>
      </w:r>
    </w:p>
    <w:p>
      <w:pPr>
        <w:widowControl/>
      </w:pPr>
      <w:r>
        <w:rPr>
          <w:rFonts w:ascii="Calibri" w:hAnsi="Calibri" w:eastAsia="Microsoft YaHei"/>
          <w:b/>
          <w:color w:val="1F4D78"/>
        </w:rPr>
        <w:t>反演与分析：</w:t>
      </w:r>
      <w:r>
        <w:rPr>
          <w:rFonts w:ascii="Calibri" w:hAnsi="Calibri" w:eastAsia="Microsoft YaHei"/>
        </w:rPr>
        <w:t>去公共模/增益后构造二维电影，做互谱/相干/模态追踪和合成视场卷积。</w:t>
      </w:r>
    </w:p>
    <w:p>
      <w:pPr>
        <w:widowControl/>
      </w:pPr>
      <w:r>
        <w:rPr>
          <w:rFonts w:ascii="Calibri" w:hAnsi="Calibri" w:eastAsia="Microsoft YaHei"/>
          <w:b/>
          <w:color w:val="1F4D78"/>
        </w:rPr>
        <w:t>验证与应用：</w:t>
      </w:r>
      <w:r>
        <w:rPr>
          <w:rFonts w:ascii="Calibri" w:hAnsi="Calibri" w:eastAsia="Microsoft YaHei"/>
        </w:rPr>
        <w:t>用受控MHD事件、ECE一维剖面和磁探针交叉；KSTAR给出升级系统装置性能。</w:t>
      </w:r>
    </w:p>
    <w:p>
      <w:pPr>
        <w:widowControl/>
      </w:pPr>
      <w:r>
        <w:rPr>
          <w:rFonts w:ascii="Calibri" w:hAnsi="Calibri" w:eastAsia="Microsoft YaHei"/>
          <w:b/>
          <w:color w:val="1F4D78"/>
        </w:rPr>
        <w:t>局限与边界：</w:t>
      </w:r>
      <w:r>
        <w:rPr>
          <w:rFonts w:ascii="Calibri" w:hAnsi="Calibri" w:eastAsia="Microsoft YaHei"/>
        </w:rPr>
        <w:t>局限于ECE光学厚可达区；折射、非热电子、通道串扰和视场映射误差。</w:t>
      </w:r>
    </w:p>
    <w:tbl>
      <w:tblPr>
        <w:tblStyle w:val="TableGrid"/>
        <w:tblW w:type="dxa" w:w="9360"/>
        <w:jc w:val="left"/>
        <w:tblLayout w:type="fixed"/>
        <w:tblLook w:firstColumn="1" w:firstRow="1" w:lastColumn="0" w:lastRow="0" w:noHBand="0" w:noVBand="1" w:val="04A0"/>
        <w:tblInd w:w="120" w:type="dxa"/>
      </w:tblPr>
      <w:tblGrid>
        <w:gridCol w:w="9360"/>
      </w:tblGrid>
      <w:tr>
        <w:trPr>
          <w:cantSplit/>
        </w:trPr>
        <w:tc>
          <w:tcPr>
            <w:tcW w:type="dxa" w:w="9360"/>
            <w:tcMar>
              <w:top w:w="80" w:type="dxa"/>
              <w:bottom w:w="80" w:type="dxa"/>
              <w:start w:w="120" w:type="dxa"/>
              <w:end w:w="120" w:type="dxa"/>
            </w:tcMar>
            <w:vAlign w:val="center"/>
            <w:shd w:fill="EEF7F7"/>
          </w:tcPr>
          <w:p>
            <w:pPr>
              <w:keepNext/>
              <w:keepLines/>
              <w:spacing w:after="40"/>
            </w:pPr>
            <w:r>
              <w:rPr>
                <w:rFonts w:ascii="Calibri" w:hAnsi="Calibri" w:eastAsia="Microsoft YaHei"/>
                <w:b/>
                <w:color w:val="008C95"/>
                <w:sz w:val="17"/>
              </w:rPr>
              <w:t>DIGITAL-TWIN RELEVANCE</w:t>
            </w:r>
          </w:p>
          <w:p>
            <w:pPr>
              <w:spacing w:after="0"/>
            </w:pPr>
            <w:r>
              <w:rPr>
                <w:rFonts w:ascii="Calibri" w:hAnsi="Calibri" w:eastAsia="Microsoft YaHei"/>
                <w:color w:val="0B2545"/>
                <w:sz w:val="20"/>
              </w:rPr>
              <w:t>为动态MHD孪生提供二维观测；每帧应带映射/PSF和有效性掩膜。</w:t>
            </w:r>
          </w:p>
        </w:tc>
      </w:tr>
    </w:tbl>
    <w:p>
      <w:pPr>
        <w:spacing w:after="40"/>
      </w:pPr>
    </w:p>
    <w:tbl>
      <w:tblPr>
        <w:tblStyle w:val="TableGrid"/>
        <w:tblW w:type="dxa" w:w="9360"/>
        <w:jc w:val="left"/>
        <w:tblLayout w:type="fixed"/>
        <w:tblLook w:firstColumn="1" w:firstRow="1" w:lastColumn="0" w:lastRow="0" w:noHBand="0" w:noVBand="1" w:val="04A0"/>
        <w:tblInd w:w="120" w:type="dxa"/>
      </w:tblPr>
      <w:tblGrid>
        <w:gridCol w:w="850"/>
        <w:gridCol w:w="2500"/>
        <w:gridCol w:w="1600"/>
        <w:gridCol w:w="2300"/>
        <w:gridCol w:w="2110"/>
      </w:tblGrid>
      <w:tr>
        <w:trPr>
          <w:tblHeader w:val="true"/>
        </w:trPr>
        <w:tc>
          <w:tcPr>
            <w:tcW w:type="dxa" w:w="8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年份/类型</w:t>
            </w:r>
          </w:p>
        </w:tc>
        <w:tc>
          <w:tcPr>
            <w:tcW w:type="dxa" w:w="25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论文或软件</w:t>
            </w:r>
          </w:p>
        </w:tc>
        <w:tc>
          <w:tcPr>
            <w:tcW w:type="dxa" w:w="16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期刊/开放性</w:t>
            </w:r>
          </w:p>
        </w:tc>
        <w:tc>
          <w:tcPr>
            <w:tcW w:type="dxa" w:w="23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来源类型/关系</w:t>
            </w:r>
          </w:p>
        </w:tc>
        <w:tc>
          <w:tcPr>
            <w:tcW w:type="dxa" w:w="211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链接</w:t>
            </w:r>
          </w:p>
        </w:tc>
      </w:tr>
      <w:tr>
        <w:trPr>
          <w:cantSplit/>
        </w:trPr>
        <w:tc>
          <w:tcPr>
            <w:tcW w:type="dxa" w:w="850"/>
          </w:tcPr>
          <w:p>
            <w:pPr>
              <w:keepLines/>
              <w:spacing w:after="0" w:line="276" w:lineRule="auto"/>
            </w:pPr>
            <w:r>
              <w:rPr>
                <w:rFonts w:ascii="Calibri" w:hAnsi="Calibri" w:eastAsia="Microsoft YaHei"/>
                <w:color w:val="0B2545"/>
                <w:sz w:val="14"/>
              </w:rPr>
              <w:t>2024</w:t>
            </w:r>
          </w:p>
        </w:tc>
        <w:tc>
          <w:tcPr>
            <w:tcW w:type="dxa" w:w="2500"/>
          </w:tcPr>
          <w:p>
            <w:pPr>
              <w:keepLines/>
              <w:spacing w:after="0" w:line="276" w:lineRule="auto"/>
            </w:pPr>
            <w:r>
              <w:rPr>
                <w:rFonts w:ascii="Calibri" w:hAnsi="Calibri" w:eastAsia="Microsoft YaHei"/>
                <w:color w:val="0B2545"/>
                <w:sz w:val="14"/>
              </w:rPr>
              <w:t>Development of a toroidally resolved broadband ECE imaging system for measurement of turbulent fluctuations on the KSTAR</w:t>
            </w:r>
          </w:p>
        </w:tc>
        <w:tc>
          <w:tcPr>
            <w:tcW w:type="dxa" w:w="1600"/>
          </w:tcPr>
          <w:p>
            <w:pPr>
              <w:keepLines/>
              <w:spacing w:after="0" w:line="276" w:lineRule="auto"/>
            </w:pPr>
            <w:r>
              <w:rPr>
                <w:rFonts w:ascii="Calibri" w:hAnsi="Calibri" w:eastAsia="Microsoft YaHei"/>
                <w:color w:val="0B2545"/>
                <w:sz w:val="14"/>
              </w:rPr>
              <w:t>Review of Scientific Instruments</w:t>
            </w:r>
          </w:p>
        </w:tc>
        <w:tc>
          <w:tcPr>
            <w:tcW w:type="dxa" w:w="2300"/>
          </w:tcPr>
          <w:p>
            <w:pPr>
              <w:keepLines/>
              <w:spacing w:after="0" w:line="276" w:lineRule="auto"/>
            </w:pPr>
            <w:r>
              <w:rPr>
                <w:rFonts w:ascii="Calibri" w:hAnsi="Calibri" w:eastAsia="Microsoft YaHei"/>
                <w:color w:val="0B2545"/>
                <w:sz w:val="14"/>
              </w:rPr>
              <w:t>peer-reviewed-journal</w:t>
            </w:r>
          </w:p>
        </w:tc>
        <w:tc>
          <w:tcPr>
            <w:tcW w:type="dxa" w:w="2110"/>
          </w:tcPr>
          <w:p>
            <w:pPr>
              <w:keepLines/>
              <w:spacing w:after="0" w:line="276" w:lineRule="auto"/>
            </w:pPr>
            <w:hyperlink r:id="rId104">
              <w:r>
                <w:rPr>
                  <w:rFonts w:ascii="Calibri" w:hAnsi="Calibri" w:eastAsia="Microsoft YaHei"/>
                  <w:color w:val="008C95"/>
                  <w:u w:val="single"/>
                </w:rPr>
                <w:t>打开原始来源 ↗</w:t>
              </w:r>
            </w:hyperlink>
          </w:p>
        </w:tc>
      </w:tr>
      <w:tr>
        <w:trPr>
          <w:cantSplit/>
        </w:trPr>
        <w:tc>
          <w:tcPr>
            <w:tcW w:type="dxa" w:w="850"/>
          </w:tcPr>
          <w:p>
            <w:pPr>
              <w:keepLines/>
              <w:spacing w:after="0" w:line="276" w:lineRule="auto"/>
            </w:pPr>
            <w:r>
              <w:rPr>
                <w:rFonts w:ascii="Calibri" w:hAnsi="Calibri" w:eastAsia="Microsoft YaHei"/>
                <w:color w:val="0B2545"/>
                <w:sz w:val="14"/>
              </w:rPr>
              <w:t>软件</w:t>
            </w:r>
          </w:p>
        </w:tc>
        <w:tc>
          <w:tcPr>
            <w:tcW w:type="dxa" w:w="2500"/>
          </w:tcPr>
          <w:p>
            <w:pPr>
              <w:keepLines/>
              <w:spacing w:after="0" w:line="276" w:lineRule="auto"/>
            </w:pPr>
            <w:r>
              <w:rPr>
                <w:rFonts w:ascii="Calibri" w:hAnsi="Calibri" w:eastAsia="Microsoft YaHei"/>
                <w:color w:val="0B2545"/>
                <w:sz w:val="14"/>
              </w:rPr>
              <w:t>装置专有分析/标定软件</w:t>
            </w:r>
          </w:p>
        </w:tc>
        <w:tc>
          <w:tcPr>
            <w:tcW w:type="dxa" w:w="1600"/>
          </w:tcPr>
          <w:p>
            <w:pPr>
              <w:keepLines/>
              <w:spacing w:after="0" w:line="276" w:lineRule="auto"/>
            </w:pPr>
            <w:r>
              <w:rPr>
                <w:rFonts w:ascii="Calibri" w:hAnsi="Calibri" w:eastAsia="Microsoft YaHei"/>
                <w:color w:val="0B2545"/>
                <w:sz w:val="14"/>
              </w:rPr>
              <w:t>not-public</w:t>
            </w:r>
          </w:p>
        </w:tc>
        <w:tc>
          <w:tcPr>
            <w:tcW w:type="dxa" w:w="2300"/>
          </w:tcPr>
          <w:p>
            <w:pPr>
              <w:keepLines/>
              <w:spacing w:after="0" w:line="276" w:lineRule="auto"/>
            </w:pPr>
            <w:r>
              <w:rPr>
                <w:rFonts w:ascii="Calibri" w:hAnsi="Calibri" w:eastAsia="Microsoft YaHei"/>
                <w:color w:val="0B2545"/>
                <w:sz w:val="14"/>
              </w:rPr>
              <w:t>ECEI成像校准、实时事件识别和射线追踪生产代码未公开。</w:t>
            </w:r>
          </w:p>
        </w:tc>
        <w:tc>
          <w:tcPr>
            <w:tcW w:type="dxa" w:w="2110"/>
          </w:tcPr>
          <w:p>
            <w:pPr>
              <w:keepLines/>
              <w:spacing w:after="0" w:line="276" w:lineRule="auto"/>
            </w:pPr>
            <w:r>
              <w:rPr>
                <w:rFonts w:ascii="Calibri" w:hAnsi="Calibri" w:eastAsia="Microsoft YaHei"/>
                <w:color w:val="0B2545"/>
                <w:sz w:val="14"/>
              </w:rPr>
              <w:t>未公开</w:t>
            </w:r>
          </w:p>
        </w:tc>
      </w:tr>
    </w:tbl>
    <w:p>
      <w:pPr>
        <w:spacing w:before="0" w:after="60"/>
      </w:pPr>
    </w:p>
    <w:p>
      <w:pPr>
        <w:pStyle w:val="Heading3"/>
        <w:keepNext/>
      </w:pPr>
      <w:r>
        <w:t>DG6.03  束发射光谱：密度湍流与径向相关</w:t>
      </w:r>
    </w:p>
    <w:p>
      <w:pPr>
        <w:keepNext/>
        <w:spacing w:after="80"/>
      </w:pPr>
      <w:r>
        <w:rPr>
          <w:rFonts w:ascii="Calibri" w:hAnsi="Calibri" w:eastAsia="Microsoft YaHei"/>
          <w:i/>
          <w:color w:val="566573"/>
          <w:sz w:val="18"/>
        </w:rPr>
        <w:t>Beam-emission spectroscopy for density turbulence</w:t>
      </w:r>
    </w:p>
    <w:tbl>
      <w:tblPr>
        <w:tblStyle w:val="TableGrid"/>
        <w:tblW w:type="dxa" w:w="9360"/>
        <w:jc w:val="left"/>
        <w:tblLayout w:type="fixed"/>
        <w:tblLook w:firstColumn="1" w:firstRow="1" w:lastColumn="0" w:lastRow="0" w:noHBand="0" w:noVBand="1" w:val="04A0"/>
        <w:tblInd w:w="120" w:type="dxa"/>
      </w:tblPr>
      <w:tblGrid>
        <w:gridCol w:w="1200"/>
        <w:gridCol w:w="750"/>
        <w:gridCol w:w="750"/>
        <w:gridCol w:w="2100"/>
        <w:gridCol w:w="4560"/>
      </w:tblGrid>
      <w:tr>
        <w:trPr>
          <w:tblHeader w:val="true"/>
        </w:trPr>
        <w:tc>
          <w:tcPr>
            <w:tcW w:type="dxa" w:w="12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工作 ID</w:t>
            </w:r>
          </w:p>
        </w:tc>
        <w:tc>
          <w:tcPr>
            <w:tcW w:type="dxa" w:w="7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证据</w:t>
            </w:r>
          </w:p>
        </w:tc>
        <w:tc>
          <w:tcPr>
            <w:tcW w:type="dxa" w:w="7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部署</w:t>
            </w:r>
          </w:p>
        </w:tc>
        <w:tc>
          <w:tcPr>
            <w:tcW w:type="dxa" w:w="21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技术族</w:t>
            </w:r>
          </w:p>
        </w:tc>
        <w:tc>
          <w:tcPr>
            <w:tcW w:type="dxa" w:w="456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装置</w:t>
            </w:r>
          </w:p>
        </w:tc>
      </w:tr>
      <w:tr>
        <w:trPr>
          <w:cantSplit/>
        </w:trPr>
        <w:tc>
          <w:tcPr>
            <w:tcW w:type="dxa" w:w="1200"/>
          </w:tcPr>
          <w:p>
            <w:pPr>
              <w:keepLines/>
              <w:spacing w:after="0" w:line="276" w:lineRule="auto"/>
            </w:pPr>
            <w:r>
              <w:rPr>
                <w:rFonts w:ascii="Calibri" w:hAnsi="Calibri" w:eastAsia="Microsoft YaHei"/>
                <w:color w:val="0B2545"/>
                <w:sz w:val="15"/>
              </w:rPr>
              <w:t>DG6-031</w:t>
            </w:r>
          </w:p>
        </w:tc>
        <w:tc>
          <w:tcPr>
            <w:tcW w:type="dxa" w:w="750"/>
          </w:tcPr>
          <w:p>
            <w:pPr>
              <w:keepLines/>
              <w:spacing w:after="0" w:line="276" w:lineRule="auto"/>
            </w:pPr>
            <w:r>
              <w:rPr>
                <w:rFonts w:ascii="Calibri" w:hAnsi="Calibri" w:eastAsia="Microsoft YaHei"/>
                <w:color w:val="0B2545"/>
                <w:sz w:val="15"/>
              </w:rPr>
              <w:t>E4</w:t>
            </w:r>
          </w:p>
        </w:tc>
        <w:tc>
          <w:tcPr>
            <w:tcW w:type="dxa" w:w="750"/>
          </w:tcPr>
          <w:p>
            <w:pPr>
              <w:keepLines/>
              <w:spacing w:after="0" w:line="276" w:lineRule="auto"/>
            </w:pPr>
            <w:r>
              <w:rPr>
                <w:rFonts w:ascii="Calibri" w:hAnsi="Calibri" w:eastAsia="Microsoft YaHei"/>
                <w:color w:val="0B2545"/>
                <w:sz w:val="15"/>
              </w:rPr>
              <w:t>D4</w:t>
            </w:r>
          </w:p>
        </w:tc>
        <w:tc>
          <w:tcPr>
            <w:tcW w:type="dxa" w:w="2100"/>
          </w:tcPr>
          <w:p>
            <w:pPr>
              <w:keepLines/>
              <w:spacing w:after="0" w:line="276" w:lineRule="auto"/>
            </w:pPr>
            <w:r>
              <w:rPr>
                <w:rFonts w:ascii="Calibri" w:hAnsi="Calibri" w:eastAsia="Microsoft YaHei"/>
                <w:color w:val="0B2545"/>
                <w:sz w:val="15"/>
              </w:rPr>
              <w:t>OPTICAL</w:t>
            </w:r>
          </w:p>
        </w:tc>
        <w:tc>
          <w:tcPr>
            <w:tcW w:type="dxa" w:w="4560"/>
          </w:tcPr>
          <w:p>
            <w:pPr>
              <w:keepLines/>
              <w:spacing w:after="0" w:line="276" w:lineRule="auto"/>
            </w:pPr>
            <w:r>
              <w:rPr>
                <w:rFonts w:ascii="Calibri" w:hAnsi="Calibri" w:eastAsia="Microsoft YaHei"/>
                <w:color w:val="0B2545"/>
                <w:sz w:val="15"/>
              </w:rPr>
              <w:t>DIII-D；MAST；NSTX</w:t>
            </w:r>
          </w:p>
        </w:tc>
      </w:tr>
    </w:tbl>
    <w:p>
      <w:pPr>
        <w:spacing w:before="0" w:after="60"/>
      </w:pPr>
    </w:p>
    <w:p>
      <w:pPr>
        <w:widowControl/>
      </w:pPr>
      <w:r>
        <w:rPr>
          <w:rFonts w:ascii="Calibri" w:hAnsi="Calibri" w:eastAsia="Microsoft YaHei"/>
          <w:b/>
          <w:color w:val="1F4D78"/>
        </w:rPr>
        <w:t>解决问题：</w:t>
      </w:r>
      <w:r>
        <w:rPr>
          <w:rFonts w:ascii="Calibri" w:hAnsi="Calibri" w:eastAsia="Microsoft YaHei"/>
        </w:rPr>
        <w:t>测量局部密度涨落、相关长度、传播和湍流输运。</w:t>
      </w:r>
    </w:p>
    <w:p>
      <w:pPr>
        <w:widowControl/>
      </w:pPr>
      <w:r>
        <w:rPr>
          <w:rFonts w:ascii="Calibri" w:hAnsi="Calibri" w:eastAsia="Microsoft YaHei"/>
          <w:b/>
          <w:color w:val="1F4D78"/>
        </w:rPr>
        <w:t>测量原理：</w:t>
      </w:r>
      <w:r>
        <w:rPr>
          <w:rFonts w:ascii="Calibri" w:hAnsi="Calibri" w:eastAsia="Microsoft YaHei"/>
        </w:rPr>
        <w:t>中性束Dα发射随局部ne变化；二维视线阵列经原子寿命和光学PSF形成密度涨落观测。</w:t>
      </w:r>
    </w:p>
    <w:p>
      <w:pPr>
        <w:widowControl/>
      </w:pPr>
      <w:r>
        <w:rPr>
          <w:rFonts w:ascii="Calibri" w:hAnsi="Calibri" w:eastAsia="Microsoft YaHei"/>
          <w:b/>
          <w:color w:val="1F4D78"/>
        </w:rPr>
        <w:t>测量产品：</w:t>
      </w:r>
      <w:r>
        <w:rPr>
          <w:rFonts w:ascii="Calibri" w:hAnsi="Calibri" w:eastAsia="Microsoft YaHei"/>
        </w:rPr>
        <w:t>delta-ne/ne；correlation length；phase velocity；turbulence spectrum</w:t>
      </w:r>
    </w:p>
    <w:p>
      <w:pPr>
        <w:widowControl/>
      </w:pPr>
      <w:r>
        <w:rPr>
          <w:rFonts w:ascii="Calibri" w:hAnsi="Calibri" w:eastAsia="Microsoft YaHei"/>
          <w:b/>
          <w:color w:val="1F4D78"/>
        </w:rPr>
        <w:t>时空分辨与覆盖：</w:t>
      </w:r>
      <w:r>
        <w:rPr>
          <w:rFonts w:ascii="Calibri" w:hAnsi="Calibri" w:eastAsia="Microsoft YaHei"/>
        </w:rPr>
        <w:t>时间：因装置、采集和分析链而异；原始来源未给出统一数值。；空间：由视线、几何和反演设定；原始来源未给出统一数值。</w:t>
      </w:r>
    </w:p>
    <w:p>
      <w:pPr>
        <w:widowControl/>
      </w:pPr>
      <w:r>
        <w:rPr>
          <w:rFonts w:ascii="Calibri" w:hAnsi="Calibri" w:eastAsia="Microsoft YaHei"/>
          <w:b/>
          <w:color w:val="1F4D78"/>
        </w:rPr>
        <w:t>仪器与传感器：</w:t>
      </w:r>
      <w:r>
        <w:rPr>
          <w:rFonts w:ascii="Calibri" w:hAnsi="Calibri" w:eastAsia="Microsoft YaHei"/>
        </w:rPr>
        <w:t>neutral beam；filtered avalanche photodiodes；fiber array；fast low-noise electronics</w:t>
      </w:r>
    </w:p>
    <w:p>
      <w:pPr>
        <w:widowControl/>
      </w:pPr>
      <w:r>
        <w:rPr>
          <w:rFonts w:ascii="Calibri" w:hAnsi="Calibri" w:eastAsia="Microsoft YaHei"/>
          <w:b/>
          <w:color w:val="1F4D78"/>
        </w:rPr>
        <w:t>标定与质量：</w:t>
      </w:r>
      <w:r>
        <w:rPr>
          <w:rFonts w:ascii="Calibri" w:hAnsi="Calibri" w:eastAsia="Microsoft YaHei"/>
        </w:rPr>
        <w:t>标定增益/噪声/频响、视线几何和PSF；束关闭与背景视线去除被动光。</w:t>
      </w:r>
    </w:p>
    <w:p>
      <w:pPr>
        <w:widowControl/>
      </w:pPr>
      <w:r>
        <w:rPr>
          <w:rFonts w:ascii="Calibri" w:hAnsi="Calibri" w:eastAsia="Microsoft YaHei"/>
          <w:b/>
          <w:color w:val="1F4D78"/>
        </w:rPr>
        <w:t>反演与分析：</w:t>
      </w:r>
      <w:r>
        <w:rPr>
          <w:rFonts w:ascii="Calibri" w:hAnsi="Calibri" w:eastAsia="Microsoft YaHei"/>
        </w:rPr>
        <w:t>去公共噪声后做互相关/互谱；合成诊断修正原子寿命、束衰减和视场卷积。</w:t>
      </w:r>
    </w:p>
    <w:p>
      <w:pPr>
        <w:widowControl/>
      </w:pPr>
      <w:r>
        <w:rPr>
          <w:rFonts w:ascii="Calibri" w:hAnsi="Calibri" w:eastAsia="Microsoft YaHei"/>
          <w:b/>
          <w:color w:val="1F4D78"/>
        </w:rPr>
        <w:t>验证与应用：</w:t>
      </w:r>
      <w:r>
        <w:rPr>
          <w:rFonts w:ascii="Calibri" w:hAnsi="Calibri" w:eastAsia="Microsoft YaHei"/>
        </w:rPr>
        <w:t>DIII-D多代BES以装置涨落、电子学噪声注入和合成诊断验证。</w:t>
      </w:r>
    </w:p>
    <w:p>
      <w:pPr>
        <w:widowControl/>
      </w:pPr>
      <w:r>
        <w:rPr>
          <w:rFonts w:ascii="Calibri" w:hAnsi="Calibri" w:eastAsia="Microsoft YaHei"/>
          <w:b/>
          <w:color w:val="1F4D78"/>
        </w:rPr>
        <w:t>局限与边界：</w:t>
      </w:r>
      <w:r>
        <w:rPr>
          <w:rFonts w:ascii="Calibri" w:hAnsi="Calibri" w:eastAsia="Microsoft YaHei"/>
        </w:rPr>
        <w:t>依赖中性束；beam-imprinting、光子噪声、有限PSF和MHD污染影响湍流量。</w:t>
      </w:r>
    </w:p>
    <w:tbl>
      <w:tblPr>
        <w:tblStyle w:val="TableGrid"/>
        <w:tblW w:type="dxa" w:w="9360"/>
        <w:jc w:val="left"/>
        <w:tblLayout w:type="fixed"/>
        <w:tblLook w:firstColumn="1" w:firstRow="1" w:lastColumn="0" w:lastRow="0" w:noHBand="0" w:noVBand="1" w:val="04A0"/>
        <w:tblInd w:w="120" w:type="dxa"/>
      </w:tblPr>
      <w:tblGrid>
        <w:gridCol w:w="9360"/>
      </w:tblGrid>
      <w:tr>
        <w:trPr>
          <w:cantSplit/>
        </w:trPr>
        <w:tc>
          <w:tcPr>
            <w:tcW w:type="dxa" w:w="9360"/>
            <w:tcMar>
              <w:top w:w="80" w:type="dxa"/>
              <w:bottom w:w="80" w:type="dxa"/>
              <w:start w:w="120" w:type="dxa"/>
              <w:end w:w="120" w:type="dxa"/>
            </w:tcMar>
            <w:vAlign w:val="center"/>
            <w:shd w:fill="EEF7F7"/>
          </w:tcPr>
          <w:p>
            <w:pPr>
              <w:keepNext/>
              <w:keepLines/>
              <w:spacing w:after="40"/>
            </w:pPr>
            <w:r>
              <w:rPr>
                <w:rFonts w:ascii="Calibri" w:hAnsi="Calibri" w:eastAsia="Microsoft YaHei"/>
                <w:b/>
                <w:color w:val="008C95"/>
                <w:sz w:val="17"/>
              </w:rPr>
              <w:t>DIGITAL-TWIN RELEVANCE</w:t>
            </w:r>
          </w:p>
          <w:p>
            <w:pPr>
              <w:spacing w:after="0"/>
            </w:pPr>
            <w:r>
              <w:rPr>
                <w:rFonts w:ascii="Calibri" w:hAnsi="Calibri" w:eastAsia="Microsoft YaHei"/>
                <w:color w:val="0B2545"/>
                <w:sz w:val="20"/>
              </w:rPr>
              <w:t>连接湍流模型和输运系数；孪生需存PSF、噪声谱和束状态。</w:t>
            </w:r>
          </w:p>
        </w:tc>
      </w:tr>
    </w:tbl>
    <w:p>
      <w:pPr>
        <w:spacing w:after="40"/>
      </w:pPr>
    </w:p>
    <w:tbl>
      <w:tblPr>
        <w:tblStyle w:val="TableGrid"/>
        <w:tblW w:type="dxa" w:w="9360"/>
        <w:jc w:val="left"/>
        <w:tblLayout w:type="fixed"/>
        <w:tblLook w:firstColumn="1" w:firstRow="1" w:lastColumn="0" w:lastRow="0" w:noHBand="0" w:noVBand="1" w:val="04A0"/>
        <w:tblInd w:w="120" w:type="dxa"/>
      </w:tblPr>
      <w:tblGrid>
        <w:gridCol w:w="850"/>
        <w:gridCol w:w="2500"/>
        <w:gridCol w:w="1600"/>
        <w:gridCol w:w="2300"/>
        <w:gridCol w:w="2110"/>
      </w:tblGrid>
      <w:tr>
        <w:trPr>
          <w:tblHeader w:val="true"/>
        </w:trPr>
        <w:tc>
          <w:tcPr>
            <w:tcW w:type="dxa" w:w="8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年份/类型</w:t>
            </w:r>
          </w:p>
        </w:tc>
        <w:tc>
          <w:tcPr>
            <w:tcW w:type="dxa" w:w="25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论文或软件</w:t>
            </w:r>
          </w:p>
        </w:tc>
        <w:tc>
          <w:tcPr>
            <w:tcW w:type="dxa" w:w="16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期刊/开放性</w:t>
            </w:r>
          </w:p>
        </w:tc>
        <w:tc>
          <w:tcPr>
            <w:tcW w:type="dxa" w:w="23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来源类型/关系</w:t>
            </w:r>
          </w:p>
        </w:tc>
        <w:tc>
          <w:tcPr>
            <w:tcW w:type="dxa" w:w="211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链接</w:t>
            </w:r>
          </w:p>
        </w:tc>
      </w:tr>
      <w:tr>
        <w:trPr>
          <w:cantSplit/>
        </w:trPr>
        <w:tc>
          <w:tcPr>
            <w:tcW w:type="dxa" w:w="850"/>
          </w:tcPr>
          <w:p>
            <w:pPr>
              <w:keepLines/>
              <w:spacing w:after="0" w:line="276" w:lineRule="auto"/>
            </w:pPr>
            <w:r>
              <w:rPr>
                <w:rFonts w:ascii="Calibri" w:hAnsi="Calibri" w:eastAsia="Microsoft YaHei"/>
                <w:color w:val="0B2545"/>
                <w:sz w:val="14"/>
              </w:rPr>
              <w:t>2007</w:t>
            </w:r>
          </w:p>
        </w:tc>
        <w:tc>
          <w:tcPr>
            <w:tcW w:type="dxa" w:w="2500"/>
          </w:tcPr>
          <w:p>
            <w:pPr>
              <w:keepLines/>
              <w:spacing w:after="0" w:line="276" w:lineRule="auto"/>
            </w:pPr>
            <w:r>
              <w:rPr>
                <w:rFonts w:ascii="Calibri" w:hAnsi="Calibri" w:eastAsia="Microsoft YaHei"/>
                <w:color w:val="0B2545"/>
                <w:sz w:val="14"/>
              </w:rPr>
              <w:t>Plasma Turbulence Imaging via Beam Emission Spectroscopy in the Core of the DIII-D Tokamak</w:t>
            </w:r>
          </w:p>
        </w:tc>
        <w:tc>
          <w:tcPr>
            <w:tcW w:type="dxa" w:w="1600"/>
          </w:tcPr>
          <w:p>
            <w:pPr>
              <w:keepLines/>
              <w:spacing w:after="0" w:line="276" w:lineRule="auto"/>
            </w:pPr>
            <w:r>
              <w:rPr>
                <w:rFonts w:ascii="Calibri" w:hAnsi="Calibri" w:eastAsia="Microsoft YaHei"/>
                <w:color w:val="0B2545"/>
                <w:sz w:val="14"/>
              </w:rPr>
              <w:t>Plasma and Fusion Research</w:t>
            </w:r>
          </w:p>
        </w:tc>
        <w:tc>
          <w:tcPr>
            <w:tcW w:type="dxa" w:w="2300"/>
          </w:tcPr>
          <w:p>
            <w:pPr>
              <w:keepLines/>
              <w:spacing w:after="0" w:line="276" w:lineRule="auto"/>
            </w:pPr>
            <w:r>
              <w:rPr>
                <w:rFonts w:ascii="Calibri" w:hAnsi="Calibri" w:eastAsia="Microsoft YaHei"/>
                <w:color w:val="0B2545"/>
                <w:sz w:val="14"/>
              </w:rPr>
              <w:t>peer-reviewed-journal</w:t>
            </w:r>
          </w:p>
        </w:tc>
        <w:tc>
          <w:tcPr>
            <w:tcW w:type="dxa" w:w="2110"/>
          </w:tcPr>
          <w:p>
            <w:pPr>
              <w:keepLines/>
              <w:spacing w:after="0" w:line="276" w:lineRule="auto"/>
            </w:pPr>
            <w:hyperlink r:id="rId105">
              <w:r>
                <w:rPr>
                  <w:rFonts w:ascii="Calibri" w:hAnsi="Calibri" w:eastAsia="Microsoft YaHei"/>
                  <w:color w:val="008C95"/>
                  <w:u w:val="single"/>
                </w:rPr>
                <w:t>打开原始来源 ↗</w:t>
              </w:r>
            </w:hyperlink>
          </w:p>
        </w:tc>
      </w:tr>
      <w:tr>
        <w:trPr>
          <w:cantSplit/>
        </w:trPr>
        <w:tc>
          <w:tcPr>
            <w:tcW w:type="dxa" w:w="850"/>
          </w:tcPr>
          <w:p>
            <w:pPr>
              <w:keepLines/>
              <w:spacing w:after="0" w:line="276" w:lineRule="auto"/>
            </w:pPr>
            <w:r>
              <w:rPr>
                <w:rFonts w:ascii="Calibri" w:hAnsi="Calibri" w:eastAsia="Microsoft YaHei"/>
                <w:color w:val="0B2545"/>
                <w:sz w:val="14"/>
              </w:rPr>
              <w:t>2010</w:t>
            </w:r>
          </w:p>
        </w:tc>
        <w:tc>
          <w:tcPr>
            <w:tcW w:type="dxa" w:w="2500"/>
          </w:tcPr>
          <w:p>
            <w:pPr>
              <w:keepLines/>
              <w:spacing w:after="0" w:line="276" w:lineRule="auto"/>
            </w:pPr>
            <w:r>
              <w:rPr>
                <w:rFonts w:ascii="Calibri" w:hAnsi="Calibri" w:eastAsia="Microsoft YaHei"/>
                <w:color w:val="0B2545"/>
                <w:sz w:val="14"/>
              </w:rPr>
              <w:t>Wide-field turbulence imaging with beam emission spectroscopy</w:t>
            </w:r>
          </w:p>
        </w:tc>
        <w:tc>
          <w:tcPr>
            <w:tcW w:type="dxa" w:w="1600"/>
          </w:tcPr>
          <w:p>
            <w:pPr>
              <w:keepLines/>
              <w:spacing w:after="0" w:line="276" w:lineRule="auto"/>
            </w:pPr>
            <w:r>
              <w:rPr>
                <w:rFonts w:ascii="Calibri" w:hAnsi="Calibri" w:eastAsia="Microsoft YaHei"/>
                <w:color w:val="0B2545"/>
                <w:sz w:val="14"/>
              </w:rPr>
              <w:t>Review of Scientific Instruments</w:t>
            </w:r>
          </w:p>
        </w:tc>
        <w:tc>
          <w:tcPr>
            <w:tcW w:type="dxa" w:w="2300"/>
          </w:tcPr>
          <w:p>
            <w:pPr>
              <w:keepLines/>
              <w:spacing w:after="0" w:line="276" w:lineRule="auto"/>
            </w:pPr>
            <w:r>
              <w:rPr>
                <w:rFonts w:ascii="Calibri" w:hAnsi="Calibri" w:eastAsia="Microsoft YaHei"/>
                <w:color w:val="0B2545"/>
                <w:sz w:val="14"/>
              </w:rPr>
              <w:t>peer-reviewed-journal</w:t>
            </w:r>
          </w:p>
        </w:tc>
        <w:tc>
          <w:tcPr>
            <w:tcW w:type="dxa" w:w="2110"/>
          </w:tcPr>
          <w:p>
            <w:pPr>
              <w:keepLines/>
              <w:spacing w:after="0" w:line="276" w:lineRule="auto"/>
            </w:pPr>
            <w:hyperlink r:id="rId106">
              <w:r>
                <w:rPr>
                  <w:rFonts w:ascii="Calibri" w:hAnsi="Calibri" w:eastAsia="Microsoft YaHei"/>
                  <w:color w:val="008C95"/>
                  <w:u w:val="single"/>
                </w:rPr>
                <w:t>打开原始来源 ↗</w:t>
              </w:r>
            </w:hyperlink>
          </w:p>
        </w:tc>
      </w:tr>
      <w:tr>
        <w:trPr>
          <w:cantSplit/>
        </w:trPr>
        <w:tc>
          <w:tcPr>
            <w:tcW w:type="dxa" w:w="850"/>
          </w:tcPr>
          <w:p>
            <w:pPr>
              <w:keepLines/>
              <w:spacing w:after="0" w:line="276" w:lineRule="auto"/>
            </w:pPr>
            <w:r>
              <w:rPr>
                <w:rFonts w:ascii="Calibri" w:hAnsi="Calibri" w:eastAsia="Microsoft YaHei"/>
                <w:color w:val="0B2545"/>
                <w:sz w:val="14"/>
              </w:rPr>
              <w:t>软件</w:t>
            </w:r>
          </w:p>
        </w:tc>
        <w:tc>
          <w:tcPr>
            <w:tcW w:type="dxa" w:w="2500"/>
          </w:tcPr>
          <w:p>
            <w:pPr>
              <w:keepLines/>
              <w:spacing w:after="0" w:line="276" w:lineRule="auto"/>
            </w:pPr>
            <w:r>
              <w:rPr>
                <w:rFonts w:ascii="Calibri" w:hAnsi="Calibri" w:eastAsia="Microsoft YaHei"/>
                <w:color w:val="0B2545"/>
                <w:sz w:val="14"/>
              </w:rPr>
              <w:t>装置专有分析/标定软件</w:t>
            </w:r>
          </w:p>
        </w:tc>
        <w:tc>
          <w:tcPr>
            <w:tcW w:type="dxa" w:w="1600"/>
          </w:tcPr>
          <w:p>
            <w:pPr>
              <w:keepLines/>
              <w:spacing w:after="0" w:line="276" w:lineRule="auto"/>
            </w:pPr>
            <w:r>
              <w:rPr>
                <w:rFonts w:ascii="Calibri" w:hAnsi="Calibri" w:eastAsia="Microsoft YaHei"/>
                <w:color w:val="0B2545"/>
                <w:sz w:val="14"/>
              </w:rPr>
              <w:t>not-public</w:t>
            </w:r>
          </w:p>
        </w:tc>
        <w:tc>
          <w:tcPr>
            <w:tcW w:type="dxa" w:w="2300"/>
          </w:tcPr>
          <w:p>
            <w:pPr>
              <w:keepLines/>
              <w:spacing w:after="0" w:line="276" w:lineRule="auto"/>
            </w:pPr>
            <w:r>
              <w:rPr>
                <w:rFonts w:ascii="Calibri" w:hAnsi="Calibri" w:eastAsia="Microsoft YaHei"/>
                <w:color w:val="0B2545"/>
                <w:sz w:val="14"/>
              </w:rPr>
              <w:t>BES实时/离线湍流分析和PSF数据库未公开。</w:t>
            </w:r>
          </w:p>
        </w:tc>
        <w:tc>
          <w:tcPr>
            <w:tcW w:type="dxa" w:w="2110"/>
          </w:tcPr>
          <w:p>
            <w:pPr>
              <w:keepLines/>
              <w:spacing w:after="0" w:line="276" w:lineRule="auto"/>
            </w:pPr>
            <w:r>
              <w:rPr>
                <w:rFonts w:ascii="Calibri" w:hAnsi="Calibri" w:eastAsia="Microsoft YaHei"/>
                <w:color w:val="0B2545"/>
                <w:sz w:val="14"/>
              </w:rPr>
              <w:t>未公开</w:t>
            </w:r>
          </w:p>
        </w:tc>
      </w:tr>
    </w:tbl>
    <w:p>
      <w:pPr>
        <w:spacing w:before="0" w:after="60"/>
      </w:pPr>
    </w:p>
    <w:p>
      <w:pPr>
        <w:pStyle w:val="Heading3"/>
        <w:keepNext/>
      </w:pPr>
      <w:r>
        <w:t>DG6.04  多普勒反射与相关反射：湍流和E×B速度</w:t>
      </w:r>
    </w:p>
    <w:p>
      <w:pPr>
        <w:keepNext/>
        <w:spacing w:after="80"/>
      </w:pPr>
      <w:r>
        <w:rPr>
          <w:rFonts w:ascii="Calibri" w:hAnsi="Calibri" w:eastAsia="Microsoft YaHei"/>
          <w:i/>
          <w:color w:val="566573"/>
          <w:sz w:val="18"/>
        </w:rPr>
        <w:t>Doppler and correlation reflectometry for turbulence and ExB velocity</w:t>
      </w:r>
    </w:p>
    <w:tbl>
      <w:tblPr>
        <w:tblStyle w:val="TableGrid"/>
        <w:tblW w:type="dxa" w:w="9360"/>
        <w:jc w:val="left"/>
        <w:tblLayout w:type="fixed"/>
        <w:tblLook w:firstColumn="1" w:firstRow="1" w:lastColumn="0" w:lastRow="0" w:noHBand="0" w:noVBand="1" w:val="04A0"/>
        <w:tblInd w:w="120" w:type="dxa"/>
      </w:tblPr>
      <w:tblGrid>
        <w:gridCol w:w="1200"/>
        <w:gridCol w:w="750"/>
        <w:gridCol w:w="750"/>
        <w:gridCol w:w="2100"/>
        <w:gridCol w:w="4560"/>
      </w:tblGrid>
      <w:tr>
        <w:trPr>
          <w:tblHeader w:val="true"/>
        </w:trPr>
        <w:tc>
          <w:tcPr>
            <w:tcW w:type="dxa" w:w="12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工作 ID</w:t>
            </w:r>
          </w:p>
        </w:tc>
        <w:tc>
          <w:tcPr>
            <w:tcW w:type="dxa" w:w="7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证据</w:t>
            </w:r>
          </w:p>
        </w:tc>
        <w:tc>
          <w:tcPr>
            <w:tcW w:type="dxa" w:w="7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部署</w:t>
            </w:r>
          </w:p>
        </w:tc>
        <w:tc>
          <w:tcPr>
            <w:tcW w:type="dxa" w:w="21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技术族</w:t>
            </w:r>
          </w:p>
        </w:tc>
        <w:tc>
          <w:tcPr>
            <w:tcW w:type="dxa" w:w="456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装置</w:t>
            </w:r>
          </w:p>
        </w:tc>
      </w:tr>
      <w:tr>
        <w:trPr>
          <w:cantSplit/>
        </w:trPr>
        <w:tc>
          <w:tcPr>
            <w:tcW w:type="dxa" w:w="1200"/>
          </w:tcPr>
          <w:p>
            <w:pPr>
              <w:keepLines/>
              <w:spacing w:after="0" w:line="276" w:lineRule="auto"/>
            </w:pPr>
            <w:r>
              <w:rPr>
                <w:rFonts w:ascii="Calibri" w:hAnsi="Calibri" w:eastAsia="Microsoft YaHei"/>
                <w:color w:val="0B2545"/>
                <w:sz w:val="15"/>
              </w:rPr>
              <w:t>DG6-032</w:t>
            </w:r>
          </w:p>
        </w:tc>
        <w:tc>
          <w:tcPr>
            <w:tcW w:type="dxa" w:w="750"/>
          </w:tcPr>
          <w:p>
            <w:pPr>
              <w:keepLines/>
              <w:spacing w:after="0" w:line="276" w:lineRule="auto"/>
            </w:pPr>
            <w:r>
              <w:rPr>
                <w:rFonts w:ascii="Calibri" w:hAnsi="Calibri" w:eastAsia="Microsoft YaHei"/>
                <w:color w:val="0B2545"/>
                <w:sz w:val="15"/>
              </w:rPr>
              <w:t>E4</w:t>
            </w:r>
          </w:p>
        </w:tc>
        <w:tc>
          <w:tcPr>
            <w:tcW w:type="dxa" w:w="750"/>
          </w:tcPr>
          <w:p>
            <w:pPr>
              <w:keepLines/>
              <w:spacing w:after="0" w:line="276" w:lineRule="auto"/>
            </w:pPr>
            <w:r>
              <w:rPr>
                <w:rFonts w:ascii="Calibri" w:hAnsi="Calibri" w:eastAsia="Microsoft YaHei"/>
                <w:color w:val="0B2545"/>
                <w:sz w:val="15"/>
              </w:rPr>
              <w:t>D4</w:t>
            </w:r>
          </w:p>
        </w:tc>
        <w:tc>
          <w:tcPr>
            <w:tcW w:type="dxa" w:w="2100"/>
          </w:tcPr>
          <w:p>
            <w:pPr>
              <w:keepLines/>
              <w:spacing w:after="0" w:line="276" w:lineRule="auto"/>
            </w:pPr>
            <w:r>
              <w:rPr>
                <w:rFonts w:ascii="Calibri" w:hAnsi="Calibri" w:eastAsia="Microsoft YaHei"/>
                <w:color w:val="0B2545"/>
                <w:sz w:val="15"/>
              </w:rPr>
              <w:t>MICROWAVE</w:t>
            </w:r>
          </w:p>
        </w:tc>
        <w:tc>
          <w:tcPr>
            <w:tcW w:type="dxa" w:w="4560"/>
          </w:tcPr>
          <w:p>
            <w:pPr>
              <w:keepLines/>
              <w:spacing w:after="0" w:line="276" w:lineRule="auto"/>
            </w:pPr>
            <w:r>
              <w:rPr>
                <w:rFonts w:ascii="Calibri" w:hAnsi="Calibri" w:eastAsia="Microsoft YaHei"/>
                <w:color w:val="0B2545"/>
                <w:sz w:val="15"/>
              </w:rPr>
              <w:t>ASDEX Upgrade；EAST；DIII-D；W7-X</w:t>
            </w:r>
          </w:p>
        </w:tc>
      </w:tr>
    </w:tbl>
    <w:p>
      <w:pPr>
        <w:spacing w:before="0" w:after="60"/>
      </w:pPr>
    </w:p>
    <w:p>
      <w:pPr>
        <w:widowControl/>
      </w:pPr>
      <w:r>
        <w:rPr>
          <w:rFonts w:ascii="Calibri" w:hAnsi="Calibri" w:eastAsia="Microsoft YaHei"/>
          <w:b/>
          <w:color w:val="1F4D78"/>
        </w:rPr>
        <w:t>解决问题：</w:t>
      </w:r>
      <w:r>
        <w:rPr>
          <w:rFonts w:ascii="Calibri" w:hAnsi="Calibri" w:eastAsia="Microsoft YaHei"/>
        </w:rPr>
        <w:t>测量选定波数密度湍流、垂直速度与剪切流。</w:t>
      </w:r>
    </w:p>
    <w:p>
      <w:pPr>
        <w:widowControl/>
      </w:pPr>
      <w:r>
        <w:rPr>
          <w:rFonts w:ascii="Calibri" w:hAnsi="Calibri" w:eastAsia="Microsoft YaHei"/>
          <w:b/>
          <w:color w:val="1F4D78"/>
        </w:rPr>
        <w:t>测量原理：</w:t>
      </w:r>
      <w:r>
        <w:rPr>
          <w:rFonts w:ascii="Calibri" w:hAnsi="Calibri" w:eastAsia="Microsoft YaHei"/>
        </w:rPr>
        <w:t>倾斜微波在截止层发生Bragg背散射；频移给垂直速度，功率给湍流水平代理；多点相位给相关传播。</w:t>
      </w:r>
    </w:p>
    <w:p>
      <w:pPr>
        <w:widowControl/>
      </w:pPr>
      <w:r>
        <w:rPr>
          <w:rFonts w:ascii="Calibri" w:hAnsi="Calibri" w:eastAsia="Microsoft YaHei"/>
          <w:b/>
          <w:color w:val="1F4D78"/>
        </w:rPr>
        <w:t>测量产品：</w:t>
      </w:r>
      <w:r>
        <w:rPr>
          <w:rFonts w:ascii="Calibri" w:hAnsi="Calibri" w:eastAsia="Microsoft YaHei"/>
        </w:rPr>
        <w:t>Doppler shift；perpendicular velocity；turbulence wavenumber；correlation length</w:t>
      </w:r>
    </w:p>
    <w:p>
      <w:pPr>
        <w:widowControl/>
      </w:pPr>
      <w:r>
        <w:rPr>
          <w:rFonts w:ascii="Calibri" w:hAnsi="Calibri" w:eastAsia="Microsoft YaHei"/>
          <w:b/>
          <w:color w:val="1F4D78"/>
        </w:rPr>
        <w:t>时空分辨与覆盖：</w:t>
      </w:r>
      <w:r>
        <w:rPr>
          <w:rFonts w:ascii="Calibri" w:hAnsi="Calibri" w:eastAsia="Microsoft YaHei"/>
        </w:rPr>
        <w:t>时间：因装置、采集和分析链而异；原始来源未给出统一数值。；空间：由视线、几何和反演设定；原始来源未给出统一数值。</w:t>
      </w:r>
    </w:p>
    <w:p>
      <w:pPr>
        <w:widowControl/>
      </w:pPr>
      <w:r>
        <w:rPr>
          <w:rFonts w:ascii="Calibri" w:hAnsi="Calibri" w:eastAsia="Microsoft YaHei"/>
          <w:b/>
          <w:color w:val="1F4D78"/>
        </w:rPr>
        <w:t>仪器与传感器：</w:t>
      </w:r>
      <w:r>
        <w:rPr>
          <w:rFonts w:ascii="Calibri" w:hAnsi="Calibri" w:eastAsia="Microsoft YaHei"/>
        </w:rPr>
        <w:t>steerable microwave antennas；frequency sources；I/Q receivers；fast digitizers</w:t>
      </w:r>
    </w:p>
    <w:p>
      <w:pPr>
        <w:widowControl/>
      </w:pPr>
      <w:r>
        <w:rPr>
          <w:rFonts w:ascii="Calibri" w:hAnsi="Calibri" w:eastAsia="Microsoft YaHei"/>
          <w:b/>
          <w:color w:val="1F4D78"/>
        </w:rPr>
        <w:t>标定与质量：</w:t>
      </w:r>
      <w:r>
        <w:rPr>
          <w:rFonts w:ascii="Calibri" w:hAnsi="Calibri" w:eastAsia="Microsoft YaHei"/>
        </w:rPr>
        <w:t>标定I/Q幅相、频率、天线角度和真空延迟；用射线追踪确定散射位置/k。</w:t>
      </w:r>
    </w:p>
    <w:p>
      <w:pPr>
        <w:widowControl/>
      </w:pPr>
      <w:r>
        <w:rPr>
          <w:rFonts w:ascii="Calibri" w:hAnsi="Calibri" w:eastAsia="Microsoft YaHei"/>
          <w:b/>
          <w:color w:val="1F4D78"/>
        </w:rPr>
        <w:t>反演与分析：</w:t>
      </w:r>
      <w:r>
        <w:rPr>
          <w:rFonts w:ascii="Calibri" w:hAnsi="Calibri" w:eastAsia="Microsoft YaHei"/>
        </w:rPr>
        <w:t>时频谱拟合Doppler峰；结合磁几何估计E×B速度，合成射线/全波评估局域性。</w:t>
      </w:r>
    </w:p>
    <w:p>
      <w:pPr>
        <w:widowControl/>
      </w:pPr>
      <w:r>
        <w:rPr>
          <w:rFonts w:ascii="Calibri" w:hAnsi="Calibri" w:eastAsia="Microsoft YaHei"/>
          <w:b/>
          <w:color w:val="1F4D78"/>
        </w:rPr>
        <w:t>验证与应用：</w:t>
      </w:r>
      <w:r>
        <w:rPr>
          <w:rFonts w:ascii="Calibri" w:hAnsi="Calibri" w:eastAsia="Microsoft YaHei"/>
        </w:rPr>
        <w:t>装置上与CXRS Er、GPI/BES和参数扫描比较；EAST相关反射计有装置验证。</w:t>
      </w:r>
    </w:p>
    <w:p>
      <w:pPr>
        <w:widowControl/>
      </w:pPr>
      <w:r>
        <w:rPr>
          <w:rFonts w:ascii="Calibri" w:hAnsi="Calibri" w:eastAsia="Microsoft YaHei"/>
          <w:b/>
          <w:color w:val="1F4D78"/>
        </w:rPr>
        <w:t>局限与边界：</w:t>
      </w:r>
      <w:r>
        <w:rPr>
          <w:rFonts w:ascii="Calibri" w:hAnsi="Calibri" w:eastAsia="Microsoft YaHei"/>
        </w:rPr>
        <w:t>相速度贡献、折射、多散射和散射位置不确定导致速度解释偏差。</w:t>
      </w:r>
    </w:p>
    <w:tbl>
      <w:tblPr>
        <w:tblStyle w:val="TableGrid"/>
        <w:tblW w:type="dxa" w:w="9360"/>
        <w:jc w:val="left"/>
        <w:tblLayout w:type="fixed"/>
        <w:tblLook w:firstColumn="1" w:firstRow="1" w:lastColumn="0" w:lastRow="0" w:noHBand="0" w:noVBand="1" w:val="04A0"/>
        <w:tblInd w:w="120" w:type="dxa"/>
      </w:tblPr>
      <w:tblGrid>
        <w:gridCol w:w="9360"/>
      </w:tblGrid>
      <w:tr>
        <w:trPr>
          <w:cantSplit/>
        </w:trPr>
        <w:tc>
          <w:tcPr>
            <w:tcW w:type="dxa" w:w="9360"/>
            <w:tcMar>
              <w:top w:w="80" w:type="dxa"/>
              <w:bottom w:w="80" w:type="dxa"/>
              <w:start w:w="120" w:type="dxa"/>
              <w:end w:w="120" w:type="dxa"/>
            </w:tcMar>
            <w:vAlign w:val="center"/>
            <w:shd w:fill="EEF7F7"/>
          </w:tcPr>
          <w:p>
            <w:pPr>
              <w:keepNext/>
              <w:keepLines/>
              <w:spacing w:after="40"/>
            </w:pPr>
            <w:r>
              <w:rPr>
                <w:rFonts w:ascii="Calibri" w:hAnsi="Calibri" w:eastAsia="Microsoft YaHei"/>
                <w:b/>
                <w:color w:val="008C95"/>
                <w:sz w:val="17"/>
              </w:rPr>
              <w:t>DIGITAL-TWIN RELEVANCE</w:t>
            </w:r>
          </w:p>
          <w:p>
            <w:pPr>
              <w:spacing w:after="0"/>
            </w:pPr>
            <w:r>
              <w:rPr>
                <w:rFonts w:ascii="Calibri" w:hAnsi="Calibri" w:eastAsia="Microsoft YaHei"/>
                <w:color w:val="0B2545"/>
                <w:sz w:val="20"/>
              </w:rPr>
              <w:t>为边缘流剪切孪生提供高频观测；应保留散射位置和k空间后验。</w:t>
            </w:r>
          </w:p>
        </w:tc>
      </w:tr>
    </w:tbl>
    <w:p>
      <w:pPr>
        <w:spacing w:after="40"/>
      </w:pPr>
    </w:p>
    <w:tbl>
      <w:tblPr>
        <w:tblStyle w:val="TableGrid"/>
        <w:tblW w:type="dxa" w:w="9360"/>
        <w:jc w:val="left"/>
        <w:tblLayout w:type="fixed"/>
        <w:tblLook w:firstColumn="1" w:firstRow="1" w:lastColumn="0" w:lastRow="0" w:noHBand="0" w:noVBand="1" w:val="04A0"/>
        <w:tblInd w:w="120" w:type="dxa"/>
      </w:tblPr>
      <w:tblGrid>
        <w:gridCol w:w="850"/>
        <w:gridCol w:w="2500"/>
        <w:gridCol w:w="1600"/>
        <w:gridCol w:w="2300"/>
        <w:gridCol w:w="2110"/>
      </w:tblGrid>
      <w:tr>
        <w:trPr>
          <w:tblHeader w:val="true"/>
        </w:trPr>
        <w:tc>
          <w:tcPr>
            <w:tcW w:type="dxa" w:w="8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年份/类型</w:t>
            </w:r>
          </w:p>
        </w:tc>
        <w:tc>
          <w:tcPr>
            <w:tcW w:type="dxa" w:w="25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论文或软件</w:t>
            </w:r>
          </w:p>
        </w:tc>
        <w:tc>
          <w:tcPr>
            <w:tcW w:type="dxa" w:w="16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期刊/开放性</w:t>
            </w:r>
          </w:p>
        </w:tc>
        <w:tc>
          <w:tcPr>
            <w:tcW w:type="dxa" w:w="23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来源类型/关系</w:t>
            </w:r>
          </w:p>
        </w:tc>
        <w:tc>
          <w:tcPr>
            <w:tcW w:type="dxa" w:w="211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链接</w:t>
            </w:r>
          </w:p>
        </w:tc>
      </w:tr>
      <w:tr>
        <w:trPr>
          <w:cantSplit/>
        </w:trPr>
        <w:tc>
          <w:tcPr>
            <w:tcW w:type="dxa" w:w="850"/>
          </w:tcPr>
          <w:p>
            <w:pPr>
              <w:keepLines/>
              <w:spacing w:after="0" w:line="276" w:lineRule="auto"/>
            </w:pPr>
            <w:r>
              <w:rPr>
                <w:rFonts w:ascii="Calibri" w:hAnsi="Calibri" w:eastAsia="Microsoft YaHei"/>
                <w:color w:val="0B2545"/>
                <w:sz w:val="14"/>
              </w:rPr>
              <w:t>2016</w:t>
            </w:r>
          </w:p>
        </w:tc>
        <w:tc>
          <w:tcPr>
            <w:tcW w:type="dxa" w:w="2500"/>
          </w:tcPr>
          <w:p>
            <w:pPr>
              <w:keepLines/>
              <w:spacing w:after="0" w:line="276" w:lineRule="auto"/>
            </w:pPr>
            <w:r>
              <w:rPr>
                <w:rFonts w:ascii="Calibri" w:hAnsi="Calibri" w:eastAsia="Microsoft YaHei"/>
                <w:color w:val="0B2545"/>
                <w:sz w:val="14"/>
              </w:rPr>
              <w:t>Multi-channel poloidal correlation reflectometry on experimental advanced superconducting tokamak</w:t>
            </w:r>
          </w:p>
        </w:tc>
        <w:tc>
          <w:tcPr>
            <w:tcW w:type="dxa" w:w="1600"/>
          </w:tcPr>
          <w:p>
            <w:pPr>
              <w:keepLines/>
              <w:spacing w:after="0" w:line="276" w:lineRule="auto"/>
            </w:pPr>
            <w:r>
              <w:rPr>
                <w:rFonts w:ascii="Calibri" w:hAnsi="Calibri" w:eastAsia="Microsoft YaHei"/>
                <w:color w:val="0B2545"/>
                <w:sz w:val="14"/>
              </w:rPr>
              <w:t>Review of Scientific Instruments</w:t>
            </w:r>
          </w:p>
        </w:tc>
        <w:tc>
          <w:tcPr>
            <w:tcW w:type="dxa" w:w="2300"/>
          </w:tcPr>
          <w:p>
            <w:pPr>
              <w:keepLines/>
              <w:spacing w:after="0" w:line="276" w:lineRule="auto"/>
            </w:pPr>
            <w:r>
              <w:rPr>
                <w:rFonts w:ascii="Calibri" w:hAnsi="Calibri" w:eastAsia="Microsoft YaHei"/>
                <w:color w:val="0B2545"/>
                <w:sz w:val="14"/>
              </w:rPr>
              <w:t>peer-reviewed-journal</w:t>
            </w:r>
          </w:p>
        </w:tc>
        <w:tc>
          <w:tcPr>
            <w:tcW w:type="dxa" w:w="2110"/>
          </w:tcPr>
          <w:p>
            <w:pPr>
              <w:keepLines/>
              <w:spacing w:after="0" w:line="276" w:lineRule="auto"/>
            </w:pPr>
            <w:hyperlink r:id="rId107">
              <w:r>
                <w:rPr>
                  <w:rFonts w:ascii="Calibri" w:hAnsi="Calibri" w:eastAsia="Microsoft YaHei"/>
                  <w:color w:val="008C95"/>
                  <w:u w:val="single"/>
                </w:rPr>
                <w:t>打开原始来源 ↗</w:t>
              </w:r>
            </w:hyperlink>
          </w:p>
        </w:tc>
      </w:tr>
      <w:tr>
        <w:trPr>
          <w:cantSplit/>
        </w:trPr>
        <w:tc>
          <w:tcPr>
            <w:tcW w:type="dxa" w:w="850"/>
          </w:tcPr>
          <w:p>
            <w:pPr>
              <w:keepLines/>
              <w:spacing w:after="0" w:line="276" w:lineRule="auto"/>
            </w:pPr>
            <w:r>
              <w:rPr>
                <w:rFonts w:ascii="Calibri" w:hAnsi="Calibri" w:eastAsia="Microsoft YaHei"/>
                <w:color w:val="0B2545"/>
                <w:sz w:val="14"/>
              </w:rPr>
              <w:t>2013</w:t>
            </w:r>
          </w:p>
        </w:tc>
        <w:tc>
          <w:tcPr>
            <w:tcW w:type="dxa" w:w="2500"/>
          </w:tcPr>
          <w:p>
            <w:pPr>
              <w:keepLines/>
              <w:spacing w:after="0" w:line="276" w:lineRule="auto"/>
            </w:pPr>
            <w:r>
              <w:rPr>
                <w:rFonts w:ascii="Calibri" w:hAnsi="Calibri" w:eastAsia="Microsoft YaHei"/>
                <w:color w:val="0B2545"/>
                <w:sz w:val="14"/>
              </w:rPr>
              <w:t>On turbulence-correlation analysis based on correlation reflectometry</w:t>
            </w:r>
          </w:p>
        </w:tc>
        <w:tc>
          <w:tcPr>
            <w:tcW w:type="dxa" w:w="1600"/>
          </w:tcPr>
          <w:p>
            <w:pPr>
              <w:keepLines/>
              <w:spacing w:after="0" w:line="276" w:lineRule="auto"/>
            </w:pPr>
            <w:r>
              <w:rPr>
                <w:rFonts w:ascii="Calibri" w:hAnsi="Calibri" w:eastAsia="Microsoft YaHei"/>
                <w:color w:val="0B2545"/>
                <w:sz w:val="14"/>
              </w:rPr>
              <w:t>Physica Scripta</w:t>
            </w:r>
          </w:p>
        </w:tc>
        <w:tc>
          <w:tcPr>
            <w:tcW w:type="dxa" w:w="2300"/>
          </w:tcPr>
          <w:p>
            <w:pPr>
              <w:keepLines/>
              <w:spacing w:after="0" w:line="276" w:lineRule="auto"/>
            </w:pPr>
            <w:r>
              <w:rPr>
                <w:rFonts w:ascii="Calibri" w:hAnsi="Calibri" w:eastAsia="Microsoft YaHei"/>
                <w:color w:val="0B2545"/>
                <w:sz w:val="14"/>
              </w:rPr>
              <w:t>peer-reviewed-journal</w:t>
            </w:r>
          </w:p>
        </w:tc>
        <w:tc>
          <w:tcPr>
            <w:tcW w:type="dxa" w:w="2110"/>
          </w:tcPr>
          <w:p>
            <w:pPr>
              <w:keepLines/>
              <w:spacing w:after="0" w:line="276" w:lineRule="auto"/>
            </w:pPr>
            <w:hyperlink r:id="rId108">
              <w:r>
                <w:rPr>
                  <w:rFonts w:ascii="Calibri" w:hAnsi="Calibri" w:eastAsia="Microsoft YaHei"/>
                  <w:color w:val="008C95"/>
                  <w:u w:val="single"/>
                </w:rPr>
                <w:t>打开原始来源 ↗</w:t>
              </w:r>
            </w:hyperlink>
          </w:p>
        </w:tc>
      </w:tr>
      <w:tr>
        <w:trPr>
          <w:cantSplit/>
        </w:trPr>
        <w:tc>
          <w:tcPr>
            <w:tcW w:type="dxa" w:w="850"/>
          </w:tcPr>
          <w:p>
            <w:pPr>
              <w:keepLines/>
              <w:spacing w:after="0" w:line="276" w:lineRule="auto"/>
            </w:pPr>
            <w:r>
              <w:rPr>
                <w:rFonts w:ascii="Calibri" w:hAnsi="Calibri" w:eastAsia="Microsoft YaHei"/>
                <w:color w:val="0B2545"/>
                <w:sz w:val="14"/>
              </w:rPr>
              <w:t>软件</w:t>
            </w:r>
          </w:p>
        </w:tc>
        <w:tc>
          <w:tcPr>
            <w:tcW w:type="dxa" w:w="2500"/>
          </w:tcPr>
          <w:p>
            <w:pPr>
              <w:keepLines/>
              <w:spacing w:after="0" w:line="276" w:lineRule="auto"/>
            </w:pPr>
            <w:r>
              <w:rPr>
                <w:rFonts w:ascii="Calibri" w:hAnsi="Calibri" w:eastAsia="Microsoft YaHei"/>
                <w:color w:val="0B2545"/>
                <w:sz w:val="14"/>
              </w:rPr>
              <w:t>装置专有分析/标定软件</w:t>
            </w:r>
          </w:p>
        </w:tc>
        <w:tc>
          <w:tcPr>
            <w:tcW w:type="dxa" w:w="1600"/>
          </w:tcPr>
          <w:p>
            <w:pPr>
              <w:keepLines/>
              <w:spacing w:after="0" w:line="276" w:lineRule="auto"/>
            </w:pPr>
            <w:r>
              <w:rPr>
                <w:rFonts w:ascii="Calibri" w:hAnsi="Calibri" w:eastAsia="Microsoft YaHei"/>
                <w:color w:val="0B2545"/>
                <w:sz w:val="14"/>
              </w:rPr>
              <w:t>not-public</w:t>
            </w:r>
          </w:p>
        </w:tc>
        <w:tc>
          <w:tcPr>
            <w:tcW w:type="dxa" w:w="2300"/>
          </w:tcPr>
          <w:p>
            <w:pPr>
              <w:keepLines/>
              <w:spacing w:after="0" w:line="276" w:lineRule="auto"/>
            </w:pPr>
            <w:r>
              <w:rPr>
                <w:rFonts w:ascii="Calibri" w:hAnsi="Calibri" w:eastAsia="Microsoft YaHei"/>
                <w:color w:val="0B2545"/>
                <w:sz w:val="14"/>
              </w:rPr>
              <w:t>射线追踪、实时谱拟合和角度配置代码未公开。</w:t>
            </w:r>
          </w:p>
        </w:tc>
        <w:tc>
          <w:tcPr>
            <w:tcW w:type="dxa" w:w="2110"/>
          </w:tcPr>
          <w:p>
            <w:pPr>
              <w:keepLines/>
              <w:spacing w:after="0" w:line="276" w:lineRule="auto"/>
            </w:pPr>
            <w:r>
              <w:rPr>
                <w:rFonts w:ascii="Calibri" w:hAnsi="Calibri" w:eastAsia="Microsoft YaHei"/>
                <w:color w:val="0B2545"/>
                <w:sz w:val="14"/>
              </w:rPr>
              <w:t>未公开</w:t>
            </w:r>
          </w:p>
        </w:tc>
      </w:tr>
    </w:tbl>
    <w:p>
      <w:pPr>
        <w:spacing w:before="0" w:after="60"/>
      </w:pPr>
    </w:p>
    <w:p>
      <w:pPr>
        <w:pStyle w:val="Heading3"/>
        <w:keepNext/>
      </w:pPr>
      <w:r>
        <w:t>DG6.05  重离子束探针：电势、密度与涨落</w:t>
      </w:r>
    </w:p>
    <w:p>
      <w:pPr>
        <w:keepNext/>
        <w:spacing w:after="80"/>
      </w:pPr>
      <w:r>
        <w:rPr>
          <w:rFonts w:ascii="Calibri" w:hAnsi="Calibri" w:eastAsia="Microsoft YaHei"/>
          <w:i/>
          <w:color w:val="566573"/>
          <w:sz w:val="18"/>
        </w:rPr>
        <w:t>Heavy-ion-beam probe for potential and density fluctuations</w:t>
      </w:r>
    </w:p>
    <w:tbl>
      <w:tblPr>
        <w:tblStyle w:val="TableGrid"/>
        <w:tblW w:type="dxa" w:w="9360"/>
        <w:jc w:val="left"/>
        <w:tblLayout w:type="fixed"/>
        <w:tblLook w:firstColumn="1" w:firstRow="1" w:lastColumn="0" w:lastRow="0" w:noHBand="0" w:noVBand="1" w:val="04A0"/>
        <w:tblInd w:w="120" w:type="dxa"/>
      </w:tblPr>
      <w:tblGrid>
        <w:gridCol w:w="1200"/>
        <w:gridCol w:w="750"/>
        <w:gridCol w:w="750"/>
        <w:gridCol w:w="2100"/>
        <w:gridCol w:w="4560"/>
      </w:tblGrid>
      <w:tr>
        <w:trPr>
          <w:tblHeader w:val="true"/>
        </w:trPr>
        <w:tc>
          <w:tcPr>
            <w:tcW w:type="dxa" w:w="12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工作 ID</w:t>
            </w:r>
          </w:p>
        </w:tc>
        <w:tc>
          <w:tcPr>
            <w:tcW w:type="dxa" w:w="7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证据</w:t>
            </w:r>
          </w:p>
        </w:tc>
        <w:tc>
          <w:tcPr>
            <w:tcW w:type="dxa" w:w="7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部署</w:t>
            </w:r>
          </w:p>
        </w:tc>
        <w:tc>
          <w:tcPr>
            <w:tcW w:type="dxa" w:w="21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技术族</w:t>
            </w:r>
          </w:p>
        </w:tc>
        <w:tc>
          <w:tcPr>
            <w:tcW w:type="dxa" w:w="456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装置</w:t>
            </w:r>
          </w:p>
        </w:tc>
      </w:tr>
      <w:tr>
        <w:trPr>
          <w:cantSplit/>
        </w:trPr>
        <w:tc>
          <w:tcPr>
            <w:tcW w:type="dxa" w:w="1200"/>
          </w:tcPr>
          <w:p>
            <w:pPr>
              <w:keepLines/>
              <w:spacing w:after="0" w:line="276" w:lineRule="auto"/>
            </w:pPr>
            <w:r>
              <w:rPr>
                <w:rFonts w:ascii="Calibri" w:hAnsi="Calibri" w:eastAsia="Microsoft YaHei"/>
                <w:color w:val="0B2545"/>
                <w:sz w:val="15"/>
              </w:rPr>
              <w:t>DG6-034</w:t>
            </w:r>
          </w:p>
        </w:tc>
        <w:tc>
          <w:tcPr>
            <w:tcW w:type="dxa" w:w="750"/>
          </w:tcPr>
          <w:p>
            <w:pPr>
              <w:keepLines/>
              <w:spacing w:after="0" w:line="276" w:lineRule="auto"/>
            </w:pPr>
            <w:r>
              <w:rPr>
                <w:rFonts w:ascii="Calibri" w:hAnsi="Calibri" w:eastAsia="Microsoft YaHei"/>
                <w:color w:val="0B2545"/>
                <w:sz w:val="15"/>
              </w:rPr>
              <w:t>E3</w:t>
            </w:r>
          </w:p>
        </w:tc>
        <w:tc>
          <w:tcPr>
            <w:tcW w:type="dxa" w:w="750"/>
          </w:tcPr>
          <w:p>
            <w:pPr>
              <w:keepLines/>
              <w:spacing w:after="0" w:line="276" w:lineRule="auto"/>
            </w:pPr>
            <w:r>
              <w:rPr>
                <w:rFonts w:ascii="Calibri" w:hAnsi="Calibri" w:eastAsia="Microsoft YaHei"/>
                <w:color w:val="0B2545"/>
                <w:sz w:val="15"/>
              </w:rPr>
              <w:t>D3</w:t>
            </w:r>
          </w:p>
        </w:tc>
        <w:tc>
          <w:tcPr>
            <w:tcW w:type="dxa" w:w="2100"/>
          </w:tcPr>
          <w:p>
            <w:pPr>
              <w:keepLines/>
              <w:spacing w:after="0" w:line="276" w:lineRule="auto"/>
            </w:pPr>
            <w:r>
              <w:rPr>
                <w:rFonts w:ascii="Calibri" w:hAnsi="Calibri" w:eastAsia="Microsoft YaHei"/>
                <w:color w:val="0B2545"/>
                <w:sz w:val="15"/>
              </w:rPr>
              <w:t>NUCLEAR_PARTICLE</w:t>
            </w:r>
          </w:p>
        </w:tc>
        <w:tc>
          <w:tcPr>
            <w:tcW w:type="dxa" w:w="4560"/>
          </w:tcPr>
          <w:p>
            <w:pPr>
              <w:keepLines/>
              <w:spacing w:after="0" w:line="276" w:lineRule="auto"/>
            </w:pPr>
            <w:r>
              <w:rPr>
                <w:rFonts w:ascii="Calibri" w:hAnsi="Calibri" w:eastAsia="Microsoft YaHei"/>
                <w:color w:val="0B2545"/>
                <w:sz w:val="15"/>
              </w:rPr>
              <w:t>QUEST；JIPP T-IIU；T-10；TJ-II</w:t>
            </w:r>
          </w:p>
        </w:tc>
      </w:tr>
    </w:tbl>
    <w:p>
      <w:pPr>
        <w:spacing w:before="0" w:after="60"/>
      </w:pPr>
    </w:p>
    <w:p>
      <w:pPr>
        <w:widowControl/>
      </w:pPr>
      <w:r>
        <w:rPr>
          <w:rFonts w:ascii="Calibri" w:hAnsi="Calibri" w:eastAsia="Microsoft YaHei"/>
          <w:b/>
          <w:color w:val="1F4D78"/>
        </w:rPr>
        <w:t>解决问题：</w:t>
      </w:r>
      <w:r>
        <w:rPr>
          <w:rFonts w:ascii="Calibri" w:hAnsi="Calibri" w:eastAsia="Microsoft YaHei"/>
        </w:rPr>
        <w:t>直接局部测量等离子体电势及密度/磁涨落，研究径向电场和输运。</w:t>
      </w:r>
    </w:p>
    <w:p>
      <w:pPr>
        <w:widowControl/>
      </w:pPr>
      <w:r>
        <w:rPr>
          <w:rFonts w:ascii="Calibri" w:hAnsi="Calibri" w:eastAsia="Microsoft YaHei"/>
          <w:b/>
          <w:color w:val="1F4D78"/>
        </w:rPr>
        <w:t>测量原理：</w:t>
      </w:r>
      <w:r>
        <w:rPr>
          <w:rFonts w:ascii="Calibri" w:hAnsi="Calibri" w:eastAsia="Microsoft YaHei"/>
        </w:rPr>
        <w:t>注入重离子在等离子体内二次电离；二次离子能量差给局部电势，电流给密度/电离信息。</w:t>
      </w:r>
    </w:p>
    <w:p>
      <w:pPr>
        <w:widowControl/>
      </w:pPr>
      <w:r>
        <w:rPr>
          <w:rFonts w:ascii="Calibri" w:hAnsi="Calibri" w:eastAsia="Microsoft YaHei"/>
          <w:b/>
          <w:color w:val="1F4D78"/>
        </w:rPr>
        <w:t>测量产品：</w:t>
      </w:r>
      <w:r>
        <w:rPr>
          <w:rFonts w:ascii="Calibri" w:hAnsi="Calibri" w:eastAsia="Microsoft YaHei"/>
        </w:rPr>
        <w:t>plasma potential；electric-field fluctuation；density fluctuation；magnetic fluctuation</w:t>
      </w:r>
    </w:p>
    <w:p>
      <w:pPr>
        <w:widowControl/>
      </w:pPr>
      <w:r>
        <w:rPr>
          <w:rFonts w:ascii="Calibri" w:hAnsi="Calibri" w:eastAsia="Microsoft YaHei"/>
          <w:b/>
          <w:color w:val="1F4D78"/>
        </w:rPr>
        <w:t>时空分辨与覆盖：</w:t>
      </w:r>
      <w:r>
        <w:rPr>
          <w:rFonts w:ascii="Calibri" w:hAnsi="Calibri" w:eastAsia="Microsoft YaHei"/>
        </w:rPr>
        <w:t>时间：因装置、采集和分析链而异；原始来源未给出统一数值。；空间：由视线、几何和反演设定；原始来源未给出统一数值。</w:t>
      </w:r>
    </w:p>
    <w:p>
      <w:pPr>
        <w:widowControl/>
      </w:pPr>
      <w:r>
        <w:rPr>
          <w:rFonts w:ascii="Calibri" w:hAnsi="Calibri" w:eastAsia="Microsoft YaHei"/>
          <w:b/>
          <w:color w:val="1F4D78"/>
        </w:rPr>
        <w:t>仪器与传感器：</w:t>
      </w:r>
      <w:r>
        <w:rPr>
          <w:rFonts w:ascii="Calibri" w:hAnsi="Calibri" w:eastAsia="Microsoft YaHei"/>
        </w:rPr>
        <w:t>heavy-ion accelerator；electrostatic analyzers；beamline；secondary-ion detectors</w:t>
      </w:r>
    </w:p>
    <w:p>
      <w:pPr>
        <w:widowControl/>
      </w:pPr>
      <w:r>
        <w:rPr>
          <w:rFonts w:ascii="Calibri" w:hAnsi="Calibri" w:eastAsia="Microsoft YaHei"/>
          <w:b/>
          <w:color w:val="1F4D78"/>
        </w:rPr>
        <w:t>标定与质量：</w:t>
      </w:r>
      <w:r>
        <w:rPr>
          <w:rFonts w:ascii="Calibri" w:hAnsi="Calibri" w:eastAsia="Microsoft YaHei"/>
        </w:rPr>
        <w:t>标定束能量、分析器增益和轨道几何；用真空轨迹与磁场模型定位采样体积。</w:t>
      </w:r>
    </w:p>
    <w:p>
      <w:pPr>
        <w:widowControl/>
      </w:pPr>
      <w:r>
        <w:rPr>
          <w:rFonts w:ascii="Calibri" w:hAnsi="Calibri" w:eastAsia="Microsoft YaHei"/>
          <w:b/>
          <w:color w:val="1F4D78"/>
        </w:rPr>
        <w:t>反演与分析：</w:t>
      </w:r>
      <w:r>
        <w:rPr>
          <w:rFonts w:ascii="Calibri" w:hAnsi="Calibri" w:eastAsia="Microsoft YaHei"/>
        </w:rPr>
        <w:t>能量差/电流解算并用轨道追踪映射；多通道互谱获得涨落传播。</w:t>
      </w:r>
    </w:p>
    <w:p>
      <w:pPr>
        <w:widowControl/>
      </w:pPr>
      <w:r>
        <w:rPr>
          <w:rFonts w:ascii="Calibri" w:hAnsi="Calibri" w:eastAsia="Microsoft YaHei"/>
          <w:b/>
          <w:color w:val="1F4D78"/>
        </w:rPr>
        <w:t>验证与应用：</w:t>
      </w:r>
      <w:r>
        <w:rPr>
          <w:rFonts w:ascii="Calibri" w:hAnsi="Calibri" w:eastAsia="Microsoft YaHei"/>
        </w:rPr>
        <w:t>束线台架、真空轨道和装置电势/涨落与独立Er诊断交叉。</w:t>
      </w:r>
    </w:p>
    <w:p>
      <w:pPr>
        <w:widowControl/>
      </w:pPr>
      <w:r>
        <w:rPr>
          <w:rFonts w:ascii="Calibri" w:hAnsi="Calibri" w:eastAsia="Microsoft YaHei"/>
          <w:b/>
          <w:color w:val="1F4D78"/>
        </w:rPr>
        <w:t>局限与边界：</w:t>
      </w:r>
      <w:r>
        <w:rPr>
          <w:rFonts w:ascii="Calibri" w:hAnsi="Calibri" w:eastAsia="Microsoft YaHei"/>
        </w:rPr>
        <w:t>系统大、束衰减强，轨道对磁场敏感；空间覆盖和端口可达性有限。</w:t>
      </w:r>
    </w:p>
    <w:tbl>
      <w:tblPr>
        <w:tblStyle w:val="TableGrid"/>
        <w:tblW w:type="dxa" w:w="9360"/>
        <w:jc w:val="left"/>
        <w:tblLayout w:type="fixed"/>
        <w:tblLook w:firstColumn="1" w:firstRow="1" w:lastColumn="0" w:lastRow="0" w:noHBand="0" w:noVBand="1" w:val="04A0"/>
        <w:tblInd w:w="120" w:type="dxa"/>
      </w:tblPr>
      <w:tblGrid>
        <w:gridCol w:w="9360"/>
      </w:tblGrid>
      <w:tr>
        <w:trPr>
          <w:cantSplit/>
        </w:trPr>
        <w:tc>
          <w:tcPr>
            <w:tcW w:type="dxa" w:w="9360"/>
            <w:tcMar>
              <w:top w:w="80" w:type="dxa"/>
              <w:bottom w:w="80" w:type="dxa"/>
              <w:start w:w="120" w:type="dxa"/>
              <w:end w:w="120" w:type="dxa"/>
            </w:tcMar>
            <w:vAlign w:val="center"/>
            <w:shd w:fill="EEF7F7"/>
          </w:tcPr>
          <w:p>
            <w:pPr>
              <w:keepNext/>
              <w:keepLines/>
              <w:spacing w:after="40"/>
            </w:pPr>
            <w:r>
              <w:rPr>
                <w:rFonts w:ascii="Calibri" w:hAnsi="Calibri" w:eastAsia="Microsoft YaHei"/>
                <w:b/>
                <w:color w:val="008C95"/>
                <w:sz w:val="17"/>
              </w:rPr>
              <w:t>DIGITAL-TWIN RELEVANCE</w:t>
            </w:r>
          </w:p>
          <w:p>
            <w:pPr>
              <w:spacing w:after="0"/>
            </w:pPr>
            <w:r>
              <w:rPr>
                <w:rFonts w:ascii="Calibri" w:hAnsi="Calibri" w:eastAsia="Microsoft YaHei"/>
                <w:color w:val="0B2545"/>
                <w:sz w:val="20"/>
              </w:rPr>
              <w:t>提供稀缺电势真值，可校准边缘电场孪生；轨道/束健康应作为观测算子状态。</w:t>
            </w:r>
          </w:p>
        </w:tc>
      </w:tr>
    </w:tbl>
    <w:p>
      <w:pPr>
        <w:spacing w:after="40"/>
      </w:pPr>
    </w:p>
    <w:tbl>
      <w:tblPr>
        <w:tblStyle w:val="TableGrid"/>
        <w:tblW w:type="dxa" w:w="9360"/>
        <w:jc w:val="left"/>
        <w:tblLayout w:type="fixed"/>
        <w:tblLook w:firstColumn="1" w:firstRow="1" w:lastColumn="0" w:lastRow="0" w:noHBand="0" w:noVBand="1" w:val="04A0"/>
        <w:tblInd w:w="120" w:type="dxa"/>
      </w:tblPr>
      <w:tblGrid>
        <w:gridCol w:w="850"/>
        <w:gridCol w:w="2500"/>
        <w:gridCol w:w="1600"/>
        <w:gridCol w:w="2300"/>
        <w:gridCol w:w="2110"/>
      </w:tblGrid>
      <w:tr>
        <w:trPr>
          <w:tblHeader w:val="true"/>
        </w:trPr>
        <w:tc>
          <w:tcPr>
            <w:tcW w:type="dxa" w:w="8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年份/类型</w:t>
            </w:r>
          </w:p>
        </w:tc>
        <w:tc>
          <w:tcPr>
            <w:tcW w:type="dxa" w:w="25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论文或软件</w:t>
            </w:r>
          </w:p>
        </w:tc>
        <w:tc>
          <w:tcPr>
            <w:tcW w:type="dxa" w:w="16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期刊/开放性</w:t>
            </w:r>
          </w:p>
        </w:tc>
        <w:tc>
          <w:tcPr>
            <w:tcW w:type="dxa" w:w="23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来源类型/关系</w:t>
            </w:r>
          </w:p>
        </w:tc>
        <w:tc>
          <w:tcPr>
            <w:tcW w:type="dxa" w:w="211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链接</w:t>
            </w:r>
          </w:p>
        </w:tc>
      </w:tr>
      <w:tr>
        <w:trPr>
          <w:cantSplit/>
        </w:trPr>
        <w:tc>
          <w:tcPr>
            <w:tcW w:type="dxa" w:w="850"/>
          </w:tcPr>
          <w:p>
            <w:pPr>
              <w:keepLines/>
              <w:spacing w:after="0" w:line="276" w:lineRule="auto"/>
            </w:pPr>
            <w:r>
              <w:rPr>
                <w:rFonts w:ascii="Calibri" w:hAnsi="Calibri" w:eastAsia="Microsoft YaHei"/>
                <w:color w:val="0B2545"/>
                <w:sz w:val="14"/>
              </w:rPr>
              <w:t>2022</w:t>
            </w:r>
          </w:p>
        </w:tc>
        <w:tc>
          <w:tcPr>
            <w:tcW w:type="dxa" w:w="2500"/>
          </w:tcPr>
          <w:p>
            <w:pPr>
              <w:keepLines/>
              <w:spacing w:after="0" w:line="276" w:lineRule="auto"/>
            </w:pPr>
            <w:r>
              <w:rPr>
                <w:rFonts w:ascii="Calibri" w:hAnsi="Calibri" w:eastAsia="Microsoft YaHei"/>
                <w:color w:val="0B2545"/>
                <w:sz w:val="14"/>
              </w:rPr>
              <w:t>Conceptual design of a heavy ion beam probe for the QUEST spherical tokamak</w:t>
            </w:r>
          </w:p>
        </w:tc>
        <w:tc>
          <w:tcPr>
            <w:tcW w:type="dxa" w:w="1600"/>
          </w:tcPr>
          <w:p>
            <w:pPr>
              <w:keepLines/>
              <w:spacing w:after="0" w:line="276" w:lineRule="auto"/>
            </w:pPr>
            <w:r>
              <w:rPr>
                <w:rFonts w:ascii="Calibri" w:hAnsi="Calibri" w:eastAsia="Microsoft YaHei"/>
                <w:color w:val="0B2545"/>
                <w:sz w:val="14"/>
              </w:rPr>
              <w:t>Review of Scientific Instruments</w:t>
            </w:r>
          </w:p>
        </w:tc>
        <w:tc>
          <w:tcPr>
            <w:tcW w:type="dxa" w:w="2300"/>
          </w:tcPr>
          <w:p>
            <w:pPr>
              <w:keepLines/>
              <w:spacing w:after="0" w:line="276" w:lineRule="auto"/>
            </w:pPr>
            <w:r>
              <w:rPr>
                <w:rFonts w:ascii="Calibri" w:hAnsi="Calibri" w:eastAsia="Microsoft YaHei"/>
                <w:color w:val="0B2545"/>
                <w:sz w:val="14"/>
              </w:rPr>
              <w:t>peer-reviewed-journal</w:t>
            </w:r>
          </w:p>
        </w:tc>
        <w:tc>
          <w:tcPr>
            <w:tcW w:type="dxa" w:w="2110"/>
          </w:tcPr>
          <w:p>
            <w:pPr>
              <w:keepLines/>
              <w:spacing w:after="0" w:line="276" w:lineRule="auto"/>
            </w:pPr>
            <w:hyperlink r:id="rId109">
              <w:r>
                <w:rPr>
                  <w:rFonts w:ascii="Calibri" w:hAnsi="Calibri" w:eastAsia="Microsoft YaHei"/>
                  <w:color w:val="008C95"/>
                  <w:u w:val="single"/>
                </w:rPr>
                <w:t>打开原始来源 ↗</w:t>
              </w:r>
            </w:hyperlink>
          </w:p>
        </w:tc>
      </w:tr>
      <w:tr>
        <w:trPr>
          <w:cantSplit/>
        </w:trPr>
        <w:tc>
          <w:tcPr>
            <w:tcW w:type="dxa" w:w="850"/>
          </w:tcPr>
          <w:p>
            <w:pPr>
              <w:keepLines/>
              <w:spacing w:after="0" w:line="276" w:lineRule="auto"/>
            </w:pPr>
            <w:r>
              <w:rPr>
                <w:rFonts w:ascii="Calibri" w:hAnsi="Calibri" w:eastAsia="Microsoft YaHei"/>
                <w:color w:val="0B2545"/>
                <w:sz w:val="14"/>
              </w:rPr>
              <w:t>1997</w:t>
            </w:r>
          </w:p>
        </w:tc>
        <w:tc>
          <w:tcPr>
            <w:tcW w:type="dxa" w:w="2500"/>
          </w:tcPr>
          <w:p>
            <w:pPr>
              <w:keepLines/>
              <w:spacing w:after="0" w:line="276" w:lineRule="auto"/>
            </w:pPr>
            <w:r>
              <w:rPr>
                <w:rFonts w:ascii="Calibri" w:hAnsi="Calibri" w:eastAsia="Microsoft YaHei"/>
                <w:color w:val="0B2545"/>
                <w:sz w:val="14"/>
              </w:rPr>
              <w:t>Density fluctuations in JIPP T-IIU tokamak plasmas measured by a heavy ion beam probe</w:t>
            </w:r>
          </w:p>
        </w:tc>
        <w:tc>
          <w:tcPr>
            <w:tcW w:type="dxa" w:w="1600"/>
          </w:tcPr>
          <w:p>
            <w:pPr>
              <w:keepLines/>
              <w:spacing w:after="0" w:line="276" w:lineRule="auto"/>
            </w:pPr>
            <w:r>
              <w:rPr>
                <w:rFonts w:ascii="Calibri" w:hAnsi="Calibri" w:eastAsia="Microsoft YaHei"/>
                <w:color w:val="0B2545"/>
                <w:sz w:val="14"/>
              </w:rPr>
              <w:t>Nuclear Fusion</w:t>
            </w:r>
          </w:p>
        </w:tc>
        <w:tc>
          <w:tcPr>
            <w:tcW w:type="dxa" w:w="2300"/>
          </w:tcPr>
          <w:p>
            <w:pPr>
              <w:keepLines/>
              <w:spacing w:after="0" w:line="276" w:lineRule="auto"/>
            </w:pPr>
            <w:r>
              <w:rPr>
                <w:rFonts w:ascii="Calibri" w:hAnsi="Calibri" w:eastAsia="Microsoft YaHei"/>
                <w:color w:val="0B2545"/>
                <w:sz w:val="14"/>
              </w:rPr>
              <w:t>peer-reviewed-journal</w:t>
            </w:r>
          </w:p>
        </w:tc>
        <w:tc>
          <w:tcPr>
            <w:tcW w:type="dxa" w:w="2110"/>
          </w:tcPr>
          <w:p>
            <w:pPr>
              <w:keepLines/>
              <w:spacing w:after="0" w:line="276" w:lineRule="auto"/>
            </w:pPr>
            <w:hyperlink r:id="rId110">
              <w:r>
                <w:rPr>
                  <w:rFonts w:ascii="Calibri" w:hAnsi="Calibri" w:eastAsia="Microsoft YaHei"/>
                  <w:color w:val="008C95"/>
                  <w:u w:val="single"/>
                </w:rPr>
                <w:t>打开原始来源 ↗</w:t>
              </w:r>
            </w:hyperlink>
          </w:p>
        </w:tc>
      </w:tr>
      <w:tr>
        <w:trPr>
          <w:cantSplit/>
        </w:trPr>
        <w:tc>
          <w:tcPr>
            <w:tcW w:type="dxa" w:w="850"/>
          </w:tcPr>
          <w:p>
            <w:pPr>
              <w:keepLines/>
              <w:spacing w:after="0" w:line="276" w:lineRule="auto"/>
            </w:pPr>
            <w:r>
              <w:rPr>
                <w:rFonts w:ascii="Calibri" w:hAnsi="Calibri" w:eastAsia="Microsoft YaHei"/>
                <w:color w:val="0B2545"/>
                <w:sz w:val="14"/>
              </w:rPr>
              <w:t>软件</w:t>
            </w:r>
          </w:p>
        </w:tc>
        <w:tc>
          <w:tcPr>
            <w:tcW w:type="dxa" w:w="2500"/>
          </w:tcPr>
          <w:p>
            <w:pPr>
              <w:keepLines/>
              <w:spacing w:after="0" w:line="276" w:lineRule="auto"/>
            </w:pPr>
            <w:r>
              <w:rPr>
                <w:rFonts w:ascii="Calibri" w:hAnsi="Calibri" w:eastAsia="Microsoft YaHei"/>
                <w:color w:val="0B2545"/>
                <w:sz w:val="14"/>
              </w:rPr>
              <w:t>装置专有分析/标定软件</w:t>
            </w:r>
          </w:p>
        </w:tc>
        <w:tc>
          <w:tcPr>
            <w:tcW w:type="dxa" w:w="1600"/>
          </w:tcPr>
          <w:p>
            <w:pPr>
              <w:keepLines/>
              <w:spacing w:after="0" w:line="276" w:lineRule="auto"/>
            </w:pPr>
            <w:r>
              <w:rPr>
                <w:rFonts w:ascii="Calibri" w:hAnsi="Calibri" w:eastAsia="Microsoft YaHei"/>
                <w:color w:val="0B2545"/>
                <w:sz w:val="14"/>
              </w:rPr>
              <w:t>not-public</w:t>
            </w:r>
          </w:p>
        </w:tc>
        <w:tc>
          <w:tcPr>
            <w:tcW w:type="dxa" w:w="2300"/>
          </w:tcPr>
          <w:p>
            <w:pPr>
              <w:keepLines/>
              <w:spacing w:after="0" w:line="276" w:lineRule="auto"/>
            </w:pPr>
            <w:r>
              <w:rPr>
                <w:rFonts w:ascii="Calibri" w:hAnsi="Calibri" w:eastAsia="Microsoft YaHei"/>
                <w:color w:val="0B2545"/>
                <w:sz w:val="14"/>
              </w:rPr>
              <w:t>HIBP轨道、分析器控制和装置反演代码未公开。</w:t>
            </w:r>
          </w:p>
        </w:tc>
        <w:tc>
          <w:tcPr>
            <w:tcW w:type="dxa" w:w="2110"/>
          </w:tcPr>
          <w:p>
            <w:pPr>
              <w:keepLines/>
              <w:spacing w:after="0" w:line="276" w:lineRule="auto"/>
            </w:pPr>
            <w:r>
              <w:rPr>
                <w:rFonts w:ascii="Calibri" w:hAnsi="Calibri" w:eastAsia="Microsoft YaHei"/>
                <w:color w:val="0B2545"/>
                <w:sz w:val="14"/>
              </w:rPr>
              <w:t>未公开</w:t>
            </w:r>
          </w:p>
        </w:tc>
      </w:tr>
    </w:tbl>
    <w:p>
      <w:pPr>
        <w:spacing w:before="0" w:after="60"/>
      </w:pPr>
    </w:p>
    <w:p>
      <w:pPr>
        <w:pStyle w:val="Heading3"/>
        <w:keepNext/>
      </w:pPr>
      <w:r>
        <w:t>DG6.06  气体喷注成像：边缘丝状体与湍流</w:t>
      </w:r>
    </w:p>
    <w:p>
      <w:pPr>
        <w:keepNext/>
        <w:spacing w:after="80"/>
      </w:pPr>
      <w:r>
        <w:rPr>
          <w:rFonts w:ascii="Calibri" w:hAnsi="Calibri" w:eastAsia="Microsoft YaHei"/>
          <w:i/>
          <w:color w:val="566573"/>
          <w:sz w:val="18"/>
        </w:rPr>
        <w:t>Gas-puff imaging of edge filaments and turbulence</w:t>
      </w:r>
    </w:p>
    <w:tbl>
      <w:tblPr>
        <w:tblStyle w:val="TableGrid"/>
        <w:tblW w:type="dxa" w:w="9360"/>
        <w:jc w:val="left"/>
        <w:tblLayout w:type="fixed"/>
        <w:tblLook w:firstColumn="1" w:firstRow="1" w:lastColumn="0" w:lastRow="0" w:noHBand="0" w:noVBand="1" w:val="04A0"/>
        <w:tblInd w:w="120" w:type="dxa"/>
      </w:tblPr>
      <w:tblGrid>
        <w:gridCol w:w="1200"/>
        <w:gridCol w:w="750"/>
        <w:gridCol w:w="750"/>
        <w:gridCol w:w="2100"/>
        <w:gridCol w:w="4560"/>
      </w:tblGrid>
      <w:tr>
        <w:trPr>
          <w:tblHeader w:val="true"/>
        </w:trPr>
        <w:tc>
          <w:tcPr>
            <w:tcW w:type="dxa" w:w="12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工作 ID</w:t>
            </w:r>
          </w:p>
        </w:tc>
        <w:tc>
          <w:tcPr>
            <w:tcW w:type="dxa" w:w="7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证据</w:t>
            </w:r>
          </w:p>
        </w:tc>
        <w:tc>
          <w:tcPr>
            <w:tcW w:type="dxa" w:w="7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部署</w:t>
            </w:r>
          </w:p>
        </w:tc>
        <w:tc>
          <w:tcPr>
            <w:tcW w:type="dxa" w:w="21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技术族</w:t>
            </w:r>
          </w:p>
        </w:tc>
        <w:tc>
          <w:tcPr>
            <w:tcW w:type="dxa" w:w="456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装置</w:t>
            </w:r>
          </w:p>
        </w:tc>
      </w:tr>
      <w:tr>
        <w:trPr>
          <w:cantSplit/>
        </w:trPr>
        <w:tc>
          <w:tcPr>
            <w:tcW w:type="dxa" w:w="1200"/>
          </w:tcPr>
          <w:p>
            <w:pPr>
              <w:keepLines/>
              <w:spacing w:after="0" w:line="276" w:lineRule="auto"/>
            </w:pPr>
            <w:r>
              <w:rPr>
                <w:rFonts w:ascii="Calibri" w:hAnsi="Calibri" w:eastAsia="Microsoft YaHei"/>
                <w:color w:val="0B2545"/>
                <w:sz w:val="15"/>
              </w:rPr>
              <w:t>DG6-035</w:t>
            </w:r>
          </w:p>
        </w:tc>
        <w:tc>
          <w:tcPr>
            <w:tcW w:type="dxa" w:w="750"/>
          </w:tcPr>
          <w:p>
            <w:pPr>
              <w:keepLines/>
              <w:spacing w:after="0" w:line="276" w:lineRule="auto"/>
            </w:pPr>
            <w:r>
              <w:rPr>
                <w:rFonts w:ascii="Calibri" w:hAnsi="Calibri" w:eastAsia="Microsoft YaHei"/>
                <w:color w:val="0B2545"/>
                <w:sz w:val="15"/>
              </w:rPr>
              <w:t>E4</w:t>
            </w:r>
          </w:p>
        </w:tc>
        <w:tc>
          <w:tcPr>
            <w:tcW w:type="dxa" w:w="750"/>
          </w:tcPr>
          <w:p>
            <w:pPr>
              <w:keepLines/>
              <w:spacing w:after="0" w:line="276" w:lineRule="auto"/>
            </w:pPr>
            <w:r>
              <w:rPr>
                <w:rFonts w:ascii="Calibri" w:hAnsi="Calibri" w:eastAsia="Microsoft YaHei"/>
                <w:color w:val="0B2545"/>
                <w:sz w:val="15"/>
              </w:rPr>
              <w:t>D4</w:t>
            </w:r>
          </w:p>
        </w:tc>
        <w:tc>
          <w:tcPr>
            <w:tcW w:type="dxa" w:w="2100"/>
          </w:tcPr>
          <w:p>
            <w:pPr>
              <w:keepLines/>
              <w:spacing w:after="0" w:line="276" w:lineRule="auto"/>
            </w:pPr>
            <w:r>
              <w:rPr>
                <w:rFonts w:ascii="Calibri" w:hAnsi="Calibri" w:eastAsia="Microsoft YaHei"/>
                <w:color w:val="0B2545"/>
                <w:sz w:val="15"/>
              </w:rPr>
              <w:t>OPTICAL</w:t>
            </w:r>
          </w:p>
        </w:tc>
        <w:tc>
          <w:tcPr>
            <w:tcW w:type="dxa" w:w="4560"/>
          </w:tcPr>
          <w:p>
            <w:pPr>
              <w:keepLines/>
              <w:spacing w:after="0" w:line="276" w:lineRule="auto"/>
            </w:pPr>
            <w:r>
              <w:rPr>
                <w:rFonts w:ascii="Calibri" w:hAnsi="Calibri" w:eastAsia="Microsoft YaHei"/>
                <w:color w:val="0B2545"/>
                <w:sz w:val="15"/>
              </w:rPr>
              <w:t>TCV；Alcator C-Mod；NSTX；DIII-D</w:t>
            </w:r>
          </w:p>
        </w:tc>
      </w:tr>
    </w:tbl>
    <w:p>
      <w:pPr>
        <w:spacing w:before="0" w:after="60"/>
      </w:pPr>
    </w:p>
    <w:p>
      <w:pPr>
        <w:widowControl/>
      </w:pPr>
      <w:r>
        <w:rPr>
          <w:rFonts w:ascii="Calibri" w:hAnsi="Calibri" w:eastAsia="Microsoft YaHei"/>
          <w:b/>
          <w:color w:val="1F4D78"/>
        </w:rPr>
        <w:t>解决问题：</w:t>
      </w:r>
      <w:r>
        <w:rPr>
          <w:rFonts w:ascii="Calibri" w:hAnsi="Calibri" w:eastAsia="Microsoft YaHei"/>
        </w:rPr>
        <w:t>二维高速成像边缘/SOL密度结构、blob、ELM和传播。</w:t>
      </w:r>
    </w:p>
    <w:p>
      <w:pPr>
        <w:widowControl/>
      </w:pPr>
      <w:r>
        <w:rPr>
          <w:rFonts w:ascii="Calibri" w:hAnsi="Calibri" w:eastAsia="Microsoft YaHei"/>
          <w:b/>
          <w:color w:val="1F4D78"/>
        </w:rPr>
        <w:t>测量原理：</w:t>
      </w:r>
      <w:r>
        <w:rPr>
          <w:rFonts w:ascii="Calibri" w:hAnsi="Calibri" w:eastAsia="Microsoft YaHei"/>
        </w:rPr>
        <w:t>局部中性气体喷注的谱线发射随ne/Te变化；高速相机测二维亮度电影。</w:t>
      </w:r>
    </w:p>
    <w:p>
      <w:pPr>
        <w:widowControl/>
      </w:pPr>
      <w:r>
        <w:rPr>
          <w:rFonts w:ascii="Calibri" w:hAnsi="Calibri" w:eastAsia="Microsoft YaHei"/>
          <w:b/>
          <w:color w:val="1F4D78"/>
        </w:rPr>
        <w:t>测量产品：</w:t>
      </w:r>
      <w:r>
        <w:rPr>
          <w:rFonts w:ascii="Calibri" w:hAnsi="Calibri" w:eastAsia="Microsoft YaHei"/>
        </w:rPr>
        <w:t>2-D emission fluctuation；filament velocity；size/lifetime；ELM structure</w:t>
      </w:r>
    </w:p>
    <w:p>
      <w:pPr>
        <w:widowControl/>
      </w:pPr>
      <w:r>
        <w:rPr>
          <w:rFonts w:ascii="Calibri" w:hAnsi="Calibri" w:eastAsia="Microsoft YaHei"/>
          <w:b/>
          <w:color w:val="1F4D78"/>
        </w:rPr>
        <w:t>时空分辨与覆盖：</w:t>
      </w:r>
      <w:r>
        <w:rPr>
          <w:rFonts w:ascii="Calibri" w:hAnsi="Calibri" w:eastAsia="Microsoft YaHei"/>
        </w:rPr>
        <w:t>时间：因装置、采集和分析链而异；原始来源未给出统一数值。；空间：由视线、几何和反演设定；原始来源未给出统一数值。</w:t>
      </w:r>
    </w:p>
    <w:p>
      <w:pPr>
        <w:widowControl/>
      </w:pPr>
      <w:r>
        <w:rPr>
          <w:rFonts w:ascii="Calibri" w:hAnsi="Calibri" w:eastAsia="Microsoft YaHei"/>
          <w:b/>
          <w:color w:val="1F4D78"/>
        </w:rPr>
        <w:t>仪器与传感器：</w:t>
      </w:r>
      <w:r>
        <w:rPr>
          <w:rFonts w:ascii="Calibri" w:hAnsi="Calibri" w:eastAsia="Microsoft YaHei"/>
        </w:rPr>
        <w:t>gas manifold/nozzles；fast camera；interference filter；collection optics</w:t>
      </w:r>
    </w:p>
    <w:p>
      <w:pPr>
        <w:widowControl/>
      </w:pPr>
      <w:r>
        <w:rPr>
          <w:rFonts w:ascii="Calibri" w:hAnsi="Calibri" w:eastAsia="Microsoft YaHei"/>
          <w:b/>
          <w:color w:val="1F4D78"/>
        </w:rPr>
        <w:t>标定与质量：</w:t>
      </w:r>
      <w:r>
        <w:rPr>
          <w:rFonts w:ascii="Calibri" w:hAnsi="Calibri" w:eastAsia="Microsoft YaHei"/>
        </w:rPr>
        <w:t>标定相机增益/暗场/平场、视场几何和滤光片；测喷气波形与背景。</w:t>
      </w:r>
    </w:p>
    <w:p>
      <w:pPr>
        <w:widowControl/>
      </w:pPr>
      <w:r>
        <w:rPr>
          <w:rFonts w:ascii="Calibri" w:hAnsi="Calibri" w:eastAsia="Microsoft YaHei"/>
          <w:b/>
          <w:color w:val="1F4D78"/>
        </w:rPr>
        <w:t>反演与分析：</w:t>
      </w:r>
      <w:r>
        <w:rPr>
          <w:rFonts w:ascii="Calibri" w:hAnsi="Calibri" w:eastAsia="Microsoft YaHei"/>
        </w:rPr>
        <w:t>光流、互相关和结构追踪；碰撞辐射合成诊断把亮度与ne/Te涨落关联。</w:t>
      </w:r>
    </w:p>
    <w:p>
      <w:pPr>
        <w:widowControl/>
      </w:pPr>
      <w:r>
        <w:rPr>
          <w:rFonts w:ascii="Calibri" w:hAnsi="Calibri" w:eastAsia="Microsoft YaHei"/>
          <w:b/>
          <w:color w:val="1F4D78"/>
        </w:rPr>
        <w:t>验证与应用：</w:t>
      </w:r>
      <w:r>
        <w:rPr>
          <w:rFonts w:ascii="Calibri" w:hAnsi="Calibri" w:eastAsia="Microsoft YaHei"/>
        </w:rPr>
        <w:t>以标定靶/成像、不同喷气量扫描及与探针/BES交叉；TCV系统论文给装置性能。</w:t>
      </w:r>
    </w:p>
    <w:p>
      <w:pPr>
        <w:widowControl/>
      </w:pPr>
      <w:r>
        <w:rPr>
          <w:rFonts w:ascii="Calibri" w:hAnsi="Calibri" w:eastAsia="Microsoft YaHei"/>
          <w:b/>
          <w:color w:val="1F4D78"/>
        </w:rPr>
        <w:t>局限与边界：</w:t>
      </w:r>
      <w:r>
        <w:rPr>
          <w:rFonts w:ascii="Calibri" w:hAnsi="Calibri" w:eastAsia="Microsoft YaHei"/>
        </w:rPr>
        <w:t>喷气扰动局部等离子体；亮度非线性依赖ne/Te和中性输运，不能直接视为密度。</w:t>
      </w:r>
    </w:p>
    <w:tbl>
      <w:tblPr>
        <w:tblStyle w:val="TableGrid"/>
        <w:tblW w:type="dxa" w:w="9360"/>
        <w:jc w:val="left"/>
        <w:tblLayout w:type="fixed"/>
        <w:tblLook w:firstColumn="1" w:firstRow="1" w:lastColumn="0" w:lastRow="0" w:noHBand="0" w:noVBand="1" w:val="04A0"/>
        <w:tblInd w:w="120" w:type="dxa"/>
      </w:tblPr>
      <w:tblGrid>
        <w:gridCol w:w="9360"/>
      </w:tblGrid>
      <w:tr>
        <w:trPr>
          <w:cantSplit/>
        </w:trPr>
        <w:tc>
          <w:tcPr>
            <w:tcW w:type="dxa" w:w="9360"/>
            <w:tcMar>
              <w:top w:w="80" w:type="dxa"/>
              <w:bottom w:w="80" w:type="dxa"/>
              <w:start w:w="120" w:type="dxa"/>
              <w:end w:w="120" w:type="dxa"/>
            </w:tcMar>
            <w:vAlign w:val="center"/>
            <w:shd w:fill="EEF7F7"/>
          </w:tcPr>
          <w:p>
            <w:pPr>
              <w:keepNext/>
              <w:keepLines/>
              <w:spacing w:after="40"/>
            </w:pPr>
            <w:r>
              <w:rPr>
                <w:rFonts w:ascii="Calibri" w:hAnsi="Calibri" w:eastAsia="Microsoft YaHei"/>
                <w:b/>
                <w:color w:val="008C95"/>
                <w:sz w:val="17"/>
              </w:rPr>
              <w:t>DIGITAL-TWIN RELEVANCE</w:t>
            </w:r>
          </w:p>
          <w:p>
            <w:pPr>
              <w:spacing w:after="0"/>
            </w:pPr>
            <w:r>
              <w:rPr>
                <w:rFonts w:ascii="Calibri" w:hAnsi="Calibri" w:eastAsia="Microsoft YaHei"/>
                <w:color w:val="0B2545"/>
                <w:sz w:val="20"/>
              </w:rPr>
              <w:t>提供可解释边缘电影；孪生应使用合成发射而不是直接比较密度场。</w:t>
            </w:r>
          </w:p>
        </w:tc>
      </w:tr>
    </w:tbl>
    <w:p>
      <w:pPr>
        <w:spacing w:after="40"/>
      </w:pPr>
    </w:p>
    <w:tbl>
      <w:tblPr>
        <w:tblStyle w:val="TableGrid"/>
        <w:tblW w:type="dxa" w:w="9360"/>
        <w:jc w:val="left"/>
        <w:tblLayout w:type="fixed"/>
        <w:tblLook w:firstColumn="1" w:firstRow="1" w:lastColumn="0" w:lastRow="0" w:noHBand="0" w:noVBand="1" w:val="04A0"/>
        <w:tblInd w:w="120" w:type="dxa"/>
      </w:tblPr>
      <w:tblGrid>
        <w:gridCol w:w="850"/>
        <w:gridCol w:w="2500"/>
        <w:gridCol w:w="1600"/>
        <w:gridCol w:w="2300"/>
        <w:gridCol w:w="2110"/>
      </w:tblGrid>
      <w:tr>
        <w:trPr>
          <w:tblHeader w:val="true"/>
        </w:trPr>
        <w:tc>
          <w:tcPr>
            <w:tcW w:type="dxa" w:w="8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年份/类型</w:t>
            </w:r>
          </w:p>
        </w:tc>
        <w:tc>
          <w:tcPr>
            <w:tcW w:type="dxa" w:w="25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论文或软件</w:t>
            </w:r>
          </w:p>
        </w:tc>
        <w:tc>
          <w:tcPr>
            <w:tcW w:type="dxa" w:w="16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期刊/开放性</w:t>
            </w:r>
          </w:p>
        </w:tc>
        <w:tc>
          <w:tcPr>
            <w:tcW w:type="dxa" w:w="23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来源类型/关系</w:t>
            </w:r>
          </w:p>
        </w:tc>
        <w:tc>
          <w:tcPr>
            <w:tcW w:type="dxa" w:w="211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链接</w:t>
            </w:r>
          </w:p>
        </w:tc>
      </w:tr>
      <w:tr>
        <w:trPr>
          <w:cantSplit/>
        </w:trPr>
        <w:tc>
          <w:tcPr>
            <w:tcW w:type="dxa" w:w="850"/>
          </w:tcPr>
          <w:p>
            <w:pPr>
              <w:keepLines/>
              <w:spacing w:after="0" w:line="276" w:lineRule="auto"/>
            </w:pPr>
            <w:r>
              <w:rPr>
                <w:rFonts w:ascii="Calibri" w:hAnsi="Calibri" w:eastAsia="Microsoft YaHei"/>
                <w:color w:val="0B2545"/>
                <w:sz w:val="14"/>
              </w:rPr>
              <w:t>2022</w:t>
            </w:r>
          </w:p>
        </w:tc>
        <w:tc>
          <w:tcPr>
            <w:tcW w:type="dxa" w:w="2500"/>
          </w:tcPr>
          <w:p>
            <w:pPr>
              <w:keepLines/>
              <w:spacing w:after="0" w:line="276" w:lineRule="auto"/>
            </w:pPr>
            <w:r>
              <w:rPr>
                <w:rFonts w:ascii="Calibri" w:hAnsi="Calibri" w:eastAsia="Microsoft YaHei"/>
                <w:color w:val="0B2545"/>
                <w:sz w:val="14"/>
              </w:rPr>
              <w:t>Gas puff imaging on the TCV tokamak</w:t>
            </w:r>
          </w:p>
        </w:tc>
        <w:tc>
          <w:tcPr>
            <w:tcW w:type="dxa" w:w="1600"/>
          </w:tcPr>
          <w:p>
            <w:pPr>
              <w:keepLines/>
              <w:spacing w:after="0" w:line="276" w:lineRule="auto"/>
            </w:pPr>
            <w:r>
              <w:rPr>
                <w:rFonts w:ascii="Calibri" w:hAnsi="Calibri" w:eastAsia="Microsoft YaHei"/>
                <w:color w:val="0B2545"/>
                <w:sz w:val="14"/>
              </w:rPr>
              <w:t>Review of Scientific Instruments</w:t>
            </w:r>
          </w:p>
        </w:tc>
        <w:tc>
          <w:tcPr>
            <w:tcW w:type="dxa" w:w="2300"/>
          </w:tcPr>
          <w:p>
            <w:pPr>
              <w:keepLines/>
              <w:spacing w:after="0" w:line="276" w:lineRule="auto"/>
            </w:pPr>
            <w:r>
              <w:rPr>
                <w:rFonts w:ascii="Calibri" w:hAnsi="Calibri" w:eastAsia="Microsoft YaHei"/>
                <w:color w:val="0B2545"/>
                <w:sz w:val="14"/>
              </w:rPr>
              <w:t>peer-reviewed-journal</w:t>
            </w:r>
          </w:p>
        </w:tc>
        <w:tc>
          <w:tcPr>
            <w:tcW w:type="dxa" w:w="2110"/>
          </w:tcPr>
          <w:p>
            <w:pPr>
              <w:keepLines/>
              <w:spacing w:after="0" w:line="276" w:lineRule="auto"/>
            </w:pPr>
            <w:hyperlink r:id="rId111">
              <w:r>
                <w:rPr>
                  <w:rFonts w:ascii="Calibri" w:hAnsi="Calibri" w:eastAsia="Microsoft YaHei"/>
                  <w:color w:val="008C95"/>
                  <w:u w:val="single"/>
                </w:rPr>
                <w:t>打开原始来源 ↗</w:t>
              </w:r>
            </w:hyperlink>
          </w:p>
        </w:tc>
      </w:tr>
      <w:tr>
        <w:trPr>
          <w:cantSplit/>
        </w:trPr>
        <w:tc>
          <w:tcPr>
            <w:tcW w:type="dxa" w:w="850"/>
          </w:tcPr>
          <w:p>
            <w:pPr>
              <w:keepLines/>
              <w:spacing w:after="0" w:line="276" w:lineRule="auto"/>
            </w:pPr>
            <w:r>
              <w:rPr>
                <w:rFonts w:ascii="Calibri" w:hAnsi="Calibri" w:eastAsia="Microsoft YaHei"/>
                <w:color w:val="0B2545"/>
                <w:sz w:val="14"/>
              </w:rPr>
              <w:t>2017</w:t>
            </w:r>
          </w:p>
        </w:tc>
        <w:tc>
          <w:tcPr>
            <w:tcW w:type="dxa" w:w="2500"/>
          </w:tcPr>
          <w:p>
            <w:pPr>
              <w:keepLines/>
              <w:spacing w:after="0" w:line="276" w:lineRule="auto"/>
            </w:pPr>
            <w:r>
              <w:rPr>
                <w:rFonts w:ascii="Calibri" w:hAnsi="Calibri" w:eastAsia="Microsoft YaHei"/>
                <w:color w:val="0B2545"/>
                <w:sz w:val="14"/>
              </w:rPr>
              <w:t>Invited Review Article: Gas puff imaging diagnostics of edge plasma turbulence in magnetic fusion devices</w:t>
            </w:r>
          </w:p>
        </w:tc>
        <w:tc>
          <w:tcPr>
            <w:tcW w:type="dxa" w:w="1600"/>
          </w:tcPr>
          <w:p>
            <w:pPr>
              <w:keepLines/>
              <w:spacing w:after="0" w:line="276" w:lineRule="auto"/>
            </w:pPr>
            <w:r>
              <w:rPr>
                <w:rFonts w:ascii="Calibri" w:hAnsi="Calibri" w:eastAsia="Microsoft YaHei"/>
                <w:color w:val="0B2545"/>
                <w:sz w:val="14"/>
              </w:rPr>
              <w:t>Review of Scientific Instruments</w:t>
            </w:r>
          </w:p>
        </w:tc>
        <w:tc>
          <w:tcPr>
            <w:tcW w:type="dxa" w:w="2300"/>
          </w:tcPr>
          <w:p>
            <w:pPr>
              <w:keepLines/>
              <w:spacing w:after="0" w:line="276" w:lineRule="auto"/>
            </w:pPr>
            <w:r>
              <w:rPr>
                <w:rFonts w:ascii="Calibri" w:hAnsi="Calibri" w:eastAsia="Microsoft YaHei"/>
                <w:color w:val="0B2545"/>
                <w:sz w:val="14"/>
              </w:rPr>
              <w:t>peer-reviewed-journal</w:t>
            </w:r>
          </w:p>
        </w:tc>
        <w:tc>
          <w:tcPr>
            <w:tcW w:type="dxa" w:w="2110"/>
          </w:tcPr>
          <w:p>
            <w:pPr>
              <w:keepLines/>
              <w:spacing w:after="0" w:line="276" w:lineRule="auto"/>
            </w:pPr>
            <w:hyperlink r:id="rId112">
              <w:r>
                <w:rPr>
                  <w:rFonts w:ascii="Calibri" w:hAnsi="Calibri" w:eastAsia="Microsoft YaHei"/>
                  <w:color w:val="008C95"/>
                  <w:u w:val="single"/>
                </w:rPr>
                <w:t>打开原始来源 ↗</w:t>
              </w:r>
            </w:hyperlink>
          </w:p>
        </w:tc>
      </w:tr>
      <w:tr>
        <w:trPr>
          <w:cantSplit/>
        </w:trPr>
        <w:tc>
          <w:tcPr>
            <w:tcW w:type="dxa" w:w="850"/>
          </w:tcPr>
          <w:p>
            <w:pPr>
              <w:keepLines/>
              <w:spacing w:after="0" w:line="276" w:lineRule="auto"/>
            </w:pPr>
            <w:r>
              <w:rPr>
                <w:rFonts w:ascii="Calibri" w:hAnsi="Calibri" w:eastAsia="Microsoft YaHei"/>
                <w:color w:val="0B2545"/>
                <w:sz w:val="14"/>
              </w:rPr>
              <w:t>软件</w:t>
            </w:r>
          </w:p>
        </w:tc>
        <w:tc>
          <w:tcPr>
            <w:tcW w:type="dxa" w:w="2500"/>
          </w:tcPr>
          <w:p>
            <w:pPr>
              <w:keepLines/>
              <w:spacing w:after="0" w:line="276" w:lineRule="auto"/>
            </w:pPr>
            <w:r>
              <w:rPr>
                <w:rFonts w:ascii="Calibri" w:hAnsi="Calibri" w:eastAsia="Microsoft YaHei"/>
                <w:color w:val="0B2545"/>
                <w:sz w:val="14"/>
              </w:rPr>
              <w:t>OpenADAS</w:t>
            </w:r>
          </w:p>
        </w:tc>
        <w:tc>
          <w:tcPr>
            <w:tcW w:type="dxa" w:w="1600"/>
          </w:tcPr>
          <w:p>
            <w:pPr>
              <w:keepLines/>
              <w:spacing w:after="0" w:line="276" w:lineRule="auto"/>
            </w:pPr>
            <w:r>
              <w:rPr>
                <w:rFonts w:ascii="Calibri" w:hAnsi="Calibri" w:eastAsia="Microsoft YaHei"/>
                <w:color w:val="0B2545"/>
                <w:sz w:val="14"/>
              </w:rPr>
              <w:t>official-enabling</w:t>
            </w:r>
          </w:p>
        </w:tc>
        <w:tc>
          <w:tcPr>
            <w:tcW w:type="dxa" w:w="2300"/>
          </w:tcPr>
          <w:p>
            <w:pPr>
              <w:keepLines/>
              <w:spacing w:after="0" w:line="276" w:lineRule="auto"/>
            </w:pPr>
            <w:r>
              <w:rPr>
                <w:rFonts w:ascii="Calibri" w:hAnsi="Calibri" w:eastAsia="Microsoft YaHei"/>
                <w:color w:val="0B2545"/>
                <w:sz w:val="14"/>
              </w:rPr>
              <w:t>GPI谱线碰撞辐射系数。</w:t>
            </w:r>
          </w:p>
        </w:tc>
        <w:tc>
          <w:tcPr>
            <w:tcW w:type="dxa" w:w="2110"/>
          </w:tcPr>
          <w:p>
            <w:pPr>
              <w:keepLines/>
              <w:spacing w:after="0" w:line="276" w:lineRule="auto"/>
            </w:pPr>
            <w:hyperlink r:id="rId60">
              <w:r>
                <w:rPr>
                  <w:rFonts w:ascii="Calibri" w:hAnsi="Calibri" w:eastAsia="Microsoft YaHei"/>
                  <w:color w:val="008C95"/>
                  <w:u w:val="single"/>
                </w:rPr>
                <w:t>打开原始来源 ↗</w:t>
              </w:r>
            </w:hyperlink>
          </w:p>
        </w:tc>
      </w:tr>
      <w:tr>
        <w:trPr>
          <w:cantSplit/>
        </w:trPr>
        <w:tc>
          <w:tcPr>
            <w:tcW w:type="dxa" w:w="850"/>
          </w:tcPr>
          <w:p>
            <w:pPr>
              <w:keepLines/>
              <w:spacing w:after="0" w:line="276" w:lineRule="auto"/>
            </w:pPr>
            <w:r>
              <w:rPr>
                <w:rFonts w:ascii="Calibri" w:hAnsi="Calibri" w:eastAsia="Microsoft YaHei"/>
                <w:color w:val="0B2545"/>
                <w:sz w:val="14"/>
              </w:rPr>
              <w:t>软件</w:t>
            </w:r>
          </w:p>
        </w:tc>
        <w:tc>
          <w:tcPr>
            <w:tcW w:type="dxa" w:w="2500"/>
          </w:tcPr>
          <w:p>
            <w:pPr>
              <w:keepLines/>
              <w:spacing w:after="0" w:line="276" w:lineRule="auto"/>
            </w:pPr>
            <w:r>
              <w:rPr>
                <w:rFonts w:ascii="Calibri" w:hAnsi="Calibri" w:eastAsia="Microsoft YaHei"/>
                <w:color w:val="0B2545"/>
                <w:sz w:val="14"/>
              </w:rPr>
              <w:t>装置专有分析/标定软件</w:t>
            </w:r>
          </w:p>
        </w:tc>
        <w:tc>
          <w:tcPr>
            <w:tcW w:type="dxa" w:w="1600"/>
          </w:tcPr>
          <w:p>
            <w:pPr>
              <w:keepLines/>
              <w:spacing w:after="0" w:line="276" w:lineRule="auto"/>
            </w:pPr>
            <w:r>
              <w:rPr>
                <w:rFonts w:ascii="Calibri" w:hAnsi="Calibri" w:eastAsia="Microsoft YaHei"/>
                <w:color w:val="0B2545"/>
                <w:sz w:val="14"/>
              </w:rPr>
              <w:t>not-public</w:t>
            </w:r>
          </w:p>
        </w:tc>
        <w:tc>
          <w:tcPr>
            <w:tcW w:type="dxa" w:w="2300"/>
          </w:tcPr>
          <w:p>
            <w:pPr>
              <w:keepLines/>
              <w:spacing w:after="0" w:line="276" w:lineRule="auto"/>
            </w:pPr>
            <w:r>
              <w:rPr>
                <w:rFonts w:ascii="Calibri" w:hAnsi="Calibri" w:eastAsia="Microsoft YaHei"/>
                <w:color w:val="0B2545"/>
                <w:sz w:val="14"/>
              </w:rPr>
              <w:t>中性输运、光流和装置实时分析未公开。</w:t>
            </w:r>
          </w:p>
        </w:tc>
        <w:tc>
          <w:tcPr>
            <w:tcW w:type="dxa" w:w="2110"/>
          </w:tcPr>
          <w:p>
            <w:pPr>
              <w:keepLines/>
              <w:spacing w:after="0" w:line="276" w:lineRule="auto"/>
            </w:pPr>
            <w:r>
              <w:rPr>
                <w:rFonts w:ascii="Calibri" w:hAnsi="Calibri" w:eastAsia="Microsoft YaHei"/>
                <w:color w:val="0B2545"/>
                <w:sz w:val="14"/>
              </w:rPr>
              <w:t>未公开</w:t>
            </w:r>
          </w:p>
        </w:tc>
      </w:tr>
    </w:tbl>
    <w:p>
      <w:pPr>
        <w:spacing w:before="0" w:after="60"/>
      </w:pPr>
    </w:p>
    <w:p>
      <w:pPr>
        <w:pStyle w:val="Heading2"/>
      </w:pPr>
      <w:r>
        <w:t>关联工作速查</w:t>
      </w:r>
    </w:p>
    <w:tbl>
      <w:tblPr>
        <w:tblStyle w:val="TableGrid"/>
        <w:tblW w:type="dxa" w:w="9360"/>
        <w:jc w:val="left"/>
        <w:tblLayout w:type="fixed"/>
        <w:tblLook w:firstColumn="1" w:firstRow="1" w:lastColumn="0" w:lastRow="0" w:noHBand="0" w:noVBand="1" w:val="04A0"/>
        <w:tblInd w:w="120" w:type="dxa"/>
      </w:tblPr>
      <w:tblGrid>
        <w:gridCol w:w="1000"/>
        <w:gridCol w:w="900"/>
        <w:gridCol w:w="3760"/>
        <w:gridCol w:w="800"/>
        <w:gridCol w:w="2900"/>
      </w:tblGrid>
      <w:tr>
        <w:trPr>
          <w:tblHeader w:val="true"/>
        </w:trPr>
        <w:tc>
          <w:tcPr>
            <w:tcW w:type="dxa" w:w="1000"/>
            <w:tcMar>
              <w:top w:w="55" w:type="dxa"/>
              <w:bottom w:w="55" w:type="dxa"/>
              <w:start w:w="100" w:type="dxa"/>
              <w:end w:w="100" w:type="dxa"/>
            </w:tcMar>
            <w:vAlign w:val="center"/>
            <w:shd w:fill="E8EEF5"/>
          </w:tcPr>
          <w:p>
            <w:pPr>
              <w:keepNext/>
              <w:spacing w:after="0"/>
              <w:jc w:val="center"/>
            </w:pPr>
            <w:r>
              <w:rPr>
                <w:rFonts w:ascii="Calibri" w:hAnsi="Calibri" w:eastAsia="Microsoft YaHei"/>
                <w:b/>
                <w:color w:val="0B2545"/>
                <w:sz w:val="14"/>
              </w:rPr>
              <w:t>ID</w:t>
            </w:r>
          </w:p>
        </w:tc>
        <w:tc>
          <w:tcPr>
            <w:tcW w:type="dxa" w:w="900"/>
            <w:tcMar>
              <w:top w:w="55" w:type="dxa"/>
              <w:bottom w:w="55" w:type="dxa"/>
              <w:start w:w="100" w:type="dxa"/>
              <w:end w:w="100" w:type="dxa"/>
            </w:tcMar>
            <w:vAlign w:val="center"/>
            <w:shd w:fill="E8EEF5"/>
          </w:tcPr>
          <w:p>
            <w:pPr>
              <w:keepNext/>
              <w:spacing w:after="0"/>
              <w:jc w:val="center"/>
            </w:pPr>
            <w:r>
              <w:rPr>
                <w:rFonts w:ascii="Calibri" w:hAnsi="Calibri" w:eastAsia="Microsoft YaHei"/>
                <w:b/>
                <w:color w:val="0B2545"/>
                <w:sz w:val="14"/>
              </w:rPr>
              <w:t>主任务</w:t>
            </w:r>
          </w:p>
        </w:tc>
        <w:tc>
          <w:tcPr>
            <w:tcW w:type="dxa" w:w="3760"/>
            <w:tcMar>
              <w:top w:w="55" w:type="dxa"/>
              <w:bottom w:w="55" w:type="dxa"/>
              <w:start w:w="100" w:type="dxa"/>
              <w:end w:w="100" w:type="dxa"/>
            </w:tcMar>
            <w:vAlign w:val="center"/>
            <w:shd w:fill="E8EEF5"/>
          </w:tcPr>
          <w:p>
            <w:pPr>
              <w:keepNext/>
              <w:spacing w:after="0"/>
              <w:jc w:val="center"/>
            </w:pPr>
            <w:r>
              <w:rPr>
                <w:rFonts w:ascii="Calibri" w:hAnsi="Calibri" w:eastAsia="Microsoft YaHei"/>
                <w:b/>
                <w:color w:val="0B2545"/>
                <w:sz w:val="14"/>
              </w:rPr>
              <w:t>标题</w:t>
            </w:r>
          </w:p>
        </w:tc>
        <w:tc>
          <w:tcPr>
            <w:tcW w:type="dxa" w:w="800"/>
            <w:tcMar>
              <w:top w:w="55" w:type="dxa"/>
              <w:bottom w:w="55" w:type="dxa"/>
              <w:start w:w="100" w:type="dxa"/>
              <w:end w:w="100" w:type="dxa"/>
            </w:tcMar>
            <w:vAlign w:val="center"/>
            <w:shd w:fill="E8EEF5"/>
          </w:tcPr>
          <w:p>
            <w:pPr>
              <w:keepNext/>
              <w:spacing w:after="0"/>
              <w:jc w:val="center"/>
            </w:pPr>
            <w:r>
              <w:rPr>
                <w:rFonts w:ascii="Calibri" w:hAnsi="Calibri" w:eastAsia="Microsoft YaHei"/>
                <w:b/>
                <w:color w:val="0B2545"/>
                <w:sz w:val="14"/>
              </w:rPr>
              <w:t>证据</w:t>
            </w:r>
          </w:p>
        </w:tc>
        <w:tc>
          <w:tcPr>
            <w:tcW w:type="dxa" w:w="2900"/>
            <w:tcMar>
              <w:top w:w="55" w:type="dxa"/>
              <w:bottom w:w="55" w:type="dxa"/>
              <w:start w:w="100" w:type="dxa"/>
              <w:end w:w="100" w:type="dxa"/>
            </w:tcMar>
            <w:vAlign w:val="center"/>
            <w:shd w:fill="E8EEF5"/>
          </w:tcPr>
          <w:p>
            <w:pPr>
              <w:keepNext/>
              <w:spacing w:after="0"/>
              <w:jc w:val="center"/>
            </w:pPr>
            <w:r>
              <w:rPr>
                <w:rFonts w:ascii="Calibri" w:hAnsi="Calibri" w:eastAsia="Microsoft YaHei"/>
                <w:b/>
                <w:color w:val="0B2545"/>
                <w:sz w:val="14"/>
              </w:rPr>
              <w:t>装置</w:t>
            </w:r>
          </w:p>
        </w:tc>
      </w:tr>
      <w:tr>
        <w:trPr>
          <w:cantSplit/>
        </w:trPr>
        <w:tc>
          <w:tcPr>
            <w:tcW w:type="dxa" w:w="1000"/>
            <w:tcMar>
              <w:top w:w="45" w:type="dxa"/>
              <w:bottom w:w="45" w:type="dxa"/>
              <w:start w:w="100" w:type="dxa"/>
              <w:end w:w="100" w:type="dxa"/>
            </w:tcMar>
          </w:tcPr>
          <w:p>
            <w:pPr>
              <w:keepLines/>
              <w:spacing w:after="0" w:line="252" w:lineRule="auto"/>
            </w:pPr>
            <w:r>
              <w:rPr>
                <w:rFonts w:ascii="Calibri" w:hAnsi="Calibri" w:eastAsia="Microsoft YaHei"/>
                <w:color w:val="0B2545"/>
                <w:sz w:val="14"/>
              </w:rPr>
              <w:t>DSI-001</w:t>
            </w:r>
          </w:p>
        </w:tc>
        <w:tc>
          <w:tcPr>
            <w:tcW w:type="dxa" w:w="900"/>
            <w:tcMar>
              <w:top w:w="45" w:type="dxa"/>
              <w:bottom w:w="45" w:type="dxa"/>
              <w:start w:w="100" w:type="dxa"/>
              <w:end w:w="100" w:type="dxa"/>
            </w:tcMar>
          </w:tcPr>
          <w:p>
            <w:pPr>
              <w:keepLines/>
              <w:spacing w:after="0" w:line="252" w:lineRule="auto"/>
            </w:pPr>
            <w:r>
              <w:rPr>
                <w:rFonts w:ascii="Calibri" w:hAnsi="Calibri" w:eastAsia="Microsoft YaHei"/>
                <w:color w:val="0B2545"/>
                <w:sz w:val="14"/>
              </w:rPr>
              <w:t>DG0</w:t>
            </w:r>
          </w:p>
        </w:tc>
        <w:tc>
          <w:tcPr>
            <w:tcW w:type="dxa" w:w="3760"/>
            <w:tcMar>
              <w:top w:w="45" w:type="dxa"/>
              <w:bottom w:w="45" w:type="dxa"/>
              <w:start w:w="100" w:type="dxa"/>
              <w:end w:w="100" w:type="dxa"/>
            </w:tcMar>
          </w:tcPr>
          <w:p>
            <w:pPr>
              <w:keepLines/>
              <w:spacing w:after="0" w:line="252" w:lineRule="auto"/>
            </w:pPr>
            <w:r>
              <w:rPr>
                <w:rFonts w:ascii="Calibri" w:hAnsi="Calibri" w:eastAsia="Microsoft YaHei"/>
                <w:color w:val="0B2545"/>
                <w:sz w:val="14"/>
              </w:rPr>
              <w:t>IMAS 接口数据结构与数据字典</w:t>
            </w:r>
          </w:p>
        </w:tc>
        <w:tc>
          <w:tcPr>
            <w:tcW w:type="dxa" w:w="800"/>
            <w:tcMar>
              <w:top w:w="45" w:type="dxa"/>
              <w:bottom w:w="45" w:type="dxa"/>
              <w:start w:w="100" w:type="dxa"/>
              <w:end w:w="100" w:type="dxa"/>
            </w:tcMar>
          </w:tcPr>
          <w:p>
            <w:pPr>
              <w:keepLines/>
              <w:spacing w:after="0" w:line="252" w:lineRule="auto"/>
            </w:pPr>
            <w:r>
              <w:rPr>
                <w:rFonts w:ascii="Calibri" w:hAnsi="Calibri" w:eastAsia="Microsoft YaHei"/>
                <w:color w:val="0B2545"/>
                <w:sz w:val="14"/>
              </w:rPr>
              <w:t>E3</w:t>
            </w:r>
          </w:p>
        </w:tc>
        <w:tc>
          <w:tcPr>
            <w:tcW w:type="dxa" w:w="2900"/>
            <w:tcMar>
              <w:top w:w="45" w:type="dxa"/>
              <w:bottom w:w="45" w:type="dxa"/>
              <w:start w:w="100" w:type="dxa"/>
              <w:end w:w="100" w:type="dxa"/>
            </w:tcMar>
          </w:tcPr>
          <w:p>
            <w:pPr>
              <w:keepLines/>
              <w:spacing w:after="0" w:line="252" w:lineRule="auto"/>
            </w:pPr>
            <w:r>
              <w:rPr>
                <w:rFonts w:ascii="Calibri" w:hAnsi="Calibri" w:eastAsia="Microsoft YaHei"/>
                <w:color w:val="0B2545"/>
                <w:sz w:val="14"/>
              </w:rPr>
              <w:t>ITER；EUROfusion devices；JET；ASDEX Upgrade；WEST；TCV；W7-X</w:t>
            </w:r>
          </w:p>
        </w:tc>
      </w:tr>
      <w:tr>
        <w:trPr>
          <w:cantSplit/>
        </w:trPr>
        <w:tc>
          <w:tcPr>
            <w:tcW w:type="dxa" w:w="1000"/>
            <w:tcMar>
              <w:top w:w="45" w:type="dxa"/>
              <w:bottom w:w="45" w:type="dxa"/>
              <w:start w:w="100" w:type="dxa"/>
              <w:end w:w="100" w:type="dxa"/>
            </w:tcMar>
          </w:tcPr>
          <w:p>
            <w:pPr>
              <w:keepLines/>
              <w:spacing w:after="0" w:line="252" w:lineRule="auto"/>
            </w:pPr>
            <w:r>
              <w:rPr>
                <w:rFonts w:ascii="Calibri" w:hAnsi="Calibri" w:eastAsia="Microsoft YaHei"/>
                <w:color w:val="0B2545"/>
                <w:sz w:val="14"/>
              </w:rPr>
              <w:t>DSI-002</w:t>
            </w:r>
          </w:p>
        </w:tc>
        <w:tc>
          <w:tcPr>
            <w:tcW w:type="dxa" w:w="900"/>
            <w:tcMar>
              <w:top w:w="45" w:type="dxa"/>
              <w:bottom w:w="45" w:type="dxa"/>
              <w:start w:w="100" w:type="dxa"/>
              <w:end w:w="100" w:type="dxa"/>
            </w:tcMar>
          </w:tcPr>
          <w:p>
            <w:pPr>
              <w:keepLines/>
              <w:spacing w:after="0" w:line="252" w:lineRule="auto"/>
            </w:pPr>
            <w:r>
              <w:rPr>
                <w:rFonts w:ascii="Calibri" w:hAnsi="Calibri" w:eastAsia="Microsoft YaHei"/>
                <w:color w:val="0B2545"/>
                <w:sz w:val="14"/>
              </w:rPr>
              <w:t>DG0</w:t>
            </w:r>
          </w:p>
        </w:tc>
        <w:tc>
          <w:tcPr>
            <w:tcW w:type="dxa" w:w="3760"/>
            <w:tcMar>
              <w:top w:w="45" w:type="dxa"/>
              <w:bottom w:w="45" w:type="dxa"/>
              <w:start w:w="100" w:type="dxa"/>
              <w:end w:w="100" w:type="dxa"/>
            </w:tcMar>
          </w:tcPr>
          <w:p>
            <w:pPr>
              <w:keepLines/>
              <w:spacing w:after="0" w:line="252" w:lineRule="auto"/>
            </w:pPr>
            <w:r>
              <w:rPr>
                <w:rFonts w:ascii="Calibri" w:hAnsi="Calibri" w:eastAsia="Microsoft YaHei"/>
                <w:color w:val="0B2545"/>
                <w:sz w:val="14"/>
              </w:rPr>
              <w:t>MDSplus 脉冲树、数据采集与时序数据管理</w:t>
            </w:r>
          </w:p>
        </w:tc>
        <w:tc>
          <w:tcPr>
            <w:tcW w:type="dxa" w:w="800"/>
            <w:tcMar>
              <w:top w:w="45" w:type="dxa"/>
              <w:bottom w:w="45" w:type="dxa"/>
              <w:start w:w="100" w:type="dxa"/>
              <w:end w:w="100" w:type="dxa"/>
            </w:tcMar>
          </w:tcPr>
          <w:p>
            <w:pPr>
              <w:keepLines/>
              <w:spacing w:after="0" w:line="252" w:lineRule="auto"/>
            </w:pPr>
            <w:r>
              <w:rPr>
                <w:rFonts w:ascii="Calibri" w:hAnsi="Calibri" w:eastAsia="Microsoft YaHei"/>
                <w:color w:val="0B2545"/>
                <w:sz w:val="14"/>
              </w:rPr>
              <w:t>E4</w:t>
            </w:r>
          </w:p>
        </w:tc>
        <w:tc>
          <w:tcPr>
            <w:tcW w:type="dxa" w:w="2900"/>
            <w:tcMar>
              <w:top w:w="45" w:type="dxa"/>
              <w:bottom w:w="45" w:type="dxa"/>
              <w:start w:w="100" w:type="dxa"/>
              <w:end w:w="100" w:type="dxa"/>
            </w:tcMar>
          </w:tcPr>
          <w:p>
            <w:pPr>
              <w:keepLines/>
              <w:spacing w:after="0" w:line="252" w:lineRule="auto"/>
            </w:pPr>
            <w:r>
              <w:rPr>
                <w:rFonts w:ascii="Calibri" w:hAnsi="Calibri" w:eastAsia="Microsoft YaHei"/>
                <w:color w:val="0B2545"/>
                <w:sz w:val="14"/>
              </w:rPr>
              <w:t>Alcator C-Mod；RFX-mod；TCV；DIII-D；KSTAR；EAST；NSTX-U；SPIDER</w:t>
            </w:r>
          </w:p>
        </w:tc>
      </w:tr>
      <w:tr>
        <w:trPr>
          <w:cantSplit/>
        </w:trPr>
        <w:tc>
          <w:tcPr>
            <w:tcW w:type="dxa" w:w="1000"/>
            <w:tcMar>
              <w:top w:w="45" w:type="dxa"/>
              <w:bottom w:w="45" w:type="dxa"/>
              <w:start w:w="100" w:type="dxa"/>
              <w:end w:w="100" w:type="dxa"/>
            </w:tcMar>
          </w:tcPr>
          <w:p>
            <w:pPr>
              <w:keepLines/>
              <w:spacing w:after="0" w:line="252" w:lineRule="auto"/>
            </w:pPr>
            <w:r>
              <w:rPr>
                <w:rFonts w:ascii="Calibri" w:hAnsi="Calibri" w:eastAsia="Microsoft YaHei"/>
                <w:color w:val="0B2545"/>
                <w:sz w:val="14"/>
              </w:rPr>
              <w:t>DSI-003</w:t>
            </w:r>
          </w:p>
        </w:tc>
        <w:tc>
          <w:tcPr>
            <w:tcW w:type="dxa" w:w="900"/>
            <w:tcMar>
              <w:top w:w="45" w:type="dxa"/>
              <w:bottom w:w="45" w:type="dxa"/>
              <w:start w:w="100" w:type="dxa"/>
              <w:end w:w="100" w:type="dxa"/>
            </w:tcMar>
          </w:tcPr>
          <w:p>
            <w:pPr>
              <w:keepLines/>
              <w:spacing w:after="0" w:line="252" w:lineRule="auto"/>
            </w:pPr>
            <w:r>
              <w:rPr>
                <w:rFonts w:ascii="Calibri" w:hAnsi="Calibri" w:eastAsia="Microsoft YaHei"/>
                <w:color w:val="0B2545"/>
                <w:sz w:val="14"/>
              </w:rPr>
              <w:t>DG0</w:t>
            </w:r>
          </w:p>
        </w:tc>
        <w:tc>
          <w:tcPr>
            <w:tcW w:type="dxa" w:w="3760"/>
            <w:tcMar>
              <w:top w:w="45" w:type="dxa"/>
              <w:bottom w:w="45" w:type="dxa"/>
              <w:start w:w="100" w:type="dxa"/>
              <w:end w:w="100" w:type="dxa"/>
            </w:tcMar>
          </w:tcPr>
          <w:p>
            <w:pPr>
              <w:keepLines/>
              <w:spacing w:after="0" w:line="252" w:lineRule="auto"/>
            </w:pPr>
            <w:r>
              <w:rPr>
                <w:rFonts w:ascii="Calibri" w:hAnsi="Calibri" w:eastAsia="Microsoft YaHei"/>
                <w:color w:val="0B2545"/>
                <w:sz w:val="14"/>
              </w:rPr>
              <w:t>UDA 统一数据访问层</w:t>
            </w:r>
          </w:p>
        </w:tc>
        <w:tc>
          <w:tcPr>
            <w:tcW w:type="dxa" w:w="800"/>
            <w:tcMar>
              <w:top w:w="45" w:type="dxa"/>
              <w:bottom w:w="45" w:type="dxa"/>
              <w:start w:w="100" w:type="dxa"/>
              <w:end w:w="100" w:type="dxa"/>
            </w:tcMar>
          </w:tcPr>
          <w:p>
            <w:pPr>
              <w:keepLines/>
              <w:spacing w:after="0" w:line="252" w:lineRule="auto"/>
            </w:pPr>
            <w:r>
              <w:rPr>
                <w:rFonts w:ascii="Calibri" w:hAnsi="Calibri" w:eastAsia="Microsoft YaHei"/>
                <w:color w:val="0B2545"/>
                <w:sz w:val="14"/>
              </w:rPr>
              <w:t>E3</w:t>
            </w:r>
          </w:p>
        </w:tc>
        <w:tc>
          <w:tcPr>
            <w:tcW w:type="dxa" w:w="2900"/>
            <w:tcMar>
              <w:top w:w="45" w:type="dxa"/>
              <w:bottom w:w="45" w:type="dxa"/>
              <w:start w:w="100" w:type="dxa"/>
              <w:end w:w="100" w:type="dxa"/>
            </w:tcMar>
          </w:tcPr>
          <w:p>
            <w:pPr>
              <w:keepLines/>
              <w:spacing w:after="0" w:line="252" w:lineRule="auto"/>
            </w:pPr>
            <w:r>
              <w:rPr>
                <w:rFonts w:ascii="Calibri" w:hAnsi="Calibri" w:eastAsia="Microsoft YaHei"/>
                <w:color w:val="0B2545"/>
                <w:sz w:val="14"/>
              </w:rPr>
              <w:t>JET；MAST Upgrade；ITER/IMAS workflows；UKAEA facilities</w:t>
            </w:r>
          </w:p>
        </w:tc>
      </w:tr>
      <w:tr>
        <w:trPr>
          <w:cantSplit/>
        </w:trPr>
        <w:tc>
          <w:tcPr>
            <w:tcW w:type="dxa" w:w="1000"/>
            <w:tcMar>
              <w:top w:w="45" w:type="dxa"/>
              <w:bottom w:w="45" w:type="dxa"/>
              <w:start w:w="100" w:type="dxa"/>
              <w:end w:w="100" w:type="dxa"/>
            </w:tcMar>
          </w:tcPr>
          <w:p>
            <w:pPr>
              <w:keepLines/>
              <w:spacing w:after="0" w:line="252" w:lineRule="auto"/>
            </w:pPr>
            <w:r>
              <w:rPr>
                <w:rFonts w:ascii="Calibri" w:hAnsi="Calibri" w:eastAsia="Microsoft YaHei"/>
                <w:color w:val="0B2545"/>
                <w:sz w:val="14"/>
              </w:rPr>
              <w:t>DSI-004</w:t>
            </w:r>
          </w:p>
        </w:tc>
        <w:tc>
          <w:tcPr>
            <w:tcW w:type="dxa" w:w="900"/>
            <w:tcMar>
              <w:top w:w="45" w:type="dxa"/>
              <w:bottom w:w="45" w:type="dxa"/>
              <w:start w:w="100" w:type="dxa"/>
              <w:end w:w="100" w:type="dxa"/>
            </w:tcMar>
          </w:tcPr>
          <w:p>
            <w:pPr>
              <w:keepLines/>
              <w:spacing w:after="0" w:line="252" w:lineRule="auto"/>
            </w:pPr>
            <w:r>
              <w:rPr>
                <w:rFonts w:ascii="Calibri" w:hAnsi="Calibri" w:eastAsia="Microsoft YaHei"/>
                <w:color w:val="0B2545"/>
                <w:sz w:val="14"/>
              </w:rPr>
              <w:t>DG0</w:t>
            </w:r>
          </w:p>
        </w:tc>
        <w:tc>
          <w:tcPr>
            <w:tcW w:type="dxa" w:w="3760"/>
            <w:tcMar>
              <w:top w:w="45" w:type="dxa"/>
              <w:bottom w:w="45" w:type="dxa"/>
              <w:start w:w="100" w:type="dxa"/>
              <w:end w:w="100" w:type="dxa"/>
            </w:tcMar>
          </w:tcPr>
          <w:p>
            <w:pPr>
              <w:keepLines/>
              <w:spacing w:after="0" w:line="252" w:lineRule="auto"/>
            </w:pPr>
            <w:r>
              <w:rPr>
                <w:rFonts w:ascii="Calibri" w:hAnsi="Calibri" w:eastAsia="Microsoft YaHei"/>
                <w:color w:val="0B2545"/>
                <w:sz w:val="14"/>
              </w:rPr>
              <w:t>OMAS：轻量 IMAS 兼容数据对象与装置映射</w:t>
            </w:r>
          </w:p>
        </w:tc>
        <w:tc>
          <w:tcPr>
            <w:tcW w:type="dxa" w:w="800"/>
            <w:tcMar>
              <w:top w:w="45" w:type="dxa"/>
              <w:bottom w:w="45" w:type="dxa"/>
              <w:start w:w="100" w:type="dxa"/>
              <w:end w:w="100" w:type="dxa"/>
            </w:tcMar>
          </w:tcPr>
          <w:p>
            <w:pPr>
              <w:keepLines/>
              <w:spacing w:after="0" w:line="252" w:lineRule="auto"/>
            </w:pPr>
            <w:r>
              <w:rPr>
                <w:rFonts w:ascii="Calibri" w:hAnsi="Calibri" w:eastAsia="Microsoft YaHei"/>
                <w:color w:val="0B2545"/>
                <w:sz w:val="14"/>
              </w:rPr>
              <w:t>E2</w:t>
            </w:r>
          </w:p>
        </w:tc>
        <w:tc>
          <w:tcPr>
            <w:tcW w:type="dxa" w:w="2900"/>
            <w:tcMar>
              <w:top w:w="45" w:type="dxa"/>
              <w:bottom w:w="45" w:type="dxa"/>
              <w:start w:w="100" w:type="dxa"/>
              <w:end w:w="100" w:type="dxa"/>
            </w:tcMar>
          </w:tcPr>
          <w:p>
            <w:pPr>
              <w:keepLines/>
              <w:spacing w:after="0" w:line="252" w:lineRule="auto"/>
            </w:pPr>
            <w:r>
              <w:rPr>
                <w:rFonts w:ascii="Calibri" w:hAnsi="Calibri" w:eastAsia="Microsoft YaHei"/>
                <w:color w:val="0B2545"/>
                <w:sz w:val="14"/>
              </w:rPr>
              <w:t>DIII-D；NSTX-U；ITER scenario studies；GA workflows</w:t>
            </w:r>
          </w:p>
        </w:tc>
      </w:tr>
      <w:tr>
        <w:trPr>
          <w:cantSplit/>
        </w:trPr>
        <w:tc>
          <w:tcPr>
            <w:tcW w:type="dxa" w:w="1000"/>
            <w:tcMar>
              <w:top w:w="45" w:type="dxa"/>
              <w:bottom w:w="45" w:type="dxa"/>
              <w:start w:w="100" w:type="dxa"/>
              <w:end w:w="100" w:type="dxa"/>
            </w:tcMar>
          </w:tcPr>
          <w:p>
            <w:pPr>
              <w:keepLines/>
              <w:spacing w:after="0" w:line="252" w:lineRule="auto"/>
            </w:pPr>
            <w:r>
              <w:rPr>
                <w:rFonts w:ascii="Calibri" w:hAnsi="Calibri" w:eastAsia="Microsoft YaHei"/>
                <w:color w:val="0B2545"/>
                <w:sz w:val="14"/>
              </w:rPr>
              <w:t>DSI-005</w:t>
            </w:r>
          </w:p>
        </w:tc>
        <w:tc>
          <w:tcPr>
            <w:tcW w:type="dxa" w:w="900"/>
            <w:tcMar>
              <w:top w:w="45" w:type="dxa"/>
              <w:bottom w:w="45" w:type="dxa"/>
              <w:start w:w="100" w:type="dxa"/>
              <w:end w:w="100" w:type="dxa"/>
            </w:tcMar>
          </w:tcPr>
          <w:p>
            <w:pPr>
              <w:keepLines/>
              <w:spacing w:after="0" w:line="252" w:lineRule="auto"/>
            </w:pPr>
            <w:r>
              <w:rPr>
                <w:rFonts w:ascii="Calibri" w:hAnsi="Calibri" w:eastAsia="Microsoft YaHei"/>
                <w:color w:val="0B2545"/>
                <w:sz w:val="14"/>
              </w:rPr>
              <w:t>DG0</w:t>
            </w:r>
          </w:p>
        </w:tc>
        <w:tc>
          <w:tcPr>
            <w:tcW w:type="dxa" w:w="3760"/>
            <w:tcMar>
              <w:top w:w="45" w:type="dxa"/>
              <w:bottom w:w="45" w:type="dxa"/>
              <w:start w:w="100" w:type="dxa"/>
              <w:end w:w="100" w:type="dxa"/>
            </w:tcMar>
          </w:tcPr>
          <w:p>
            <w:pPr>
              <w:keepLines/>
              <w:spacing w:after="0" w:line="252" w:lineRule="auto"/>
            </w:pPr>
            <w:r>
              <w:rPr>
                <w:rFonts w:ascii="Calibri" w:hAnsi="Calibri" w:eastAsia="Microsoft YaHei"/>
                <w:color w:val="0B2545"/>
                <w:sz w:val="14"/>
              </w:rPr>
              <w:t>FAIR4Fusion 数据治理蓝图</w:t>
            </w:r>
          </w:p>
        </w:tc>
        <w:tc>
          <w:tcPr>
            <w:tcW w:type="dxa" w:w="800"/>
            <w:tcMar>
              <w:top w:w="45" w:type="dxa"/>
              <w:bottom w:w="45" w:type="dxa"/>
              <w:start w:w="100" w:type="dxa"/>
              <w:end w:w="100" w:type="dxa"/>
            </w:tcMar>
          </w:tcPr>
          <w:p>
            <w:pPr>
              <w:keepLines/>
              <w:spacing w:after="0" w:line="252" w:lineRule="auto"/>
            </w:pPr>
            <w:r>
              <w:rPr>
                <w:rFonts w:ascii="Calibri" w:hAnsi="Calibri" w:eastAsia="Microsoft YaHei"/>
                <w:color w:val="0B2545"/>
                <w:sz w:val="14"/>
              </w:rPr>
              <w:t>E1</w:t>
            </w:r>
          </w:p>
        </w:tc>
        <w:tc>
          <w:tcPr>
            <w:tcW w:type="dxa" w:w="2900"/>
            <w:tcMar>
              <w:top w:w="45" w:type="dxa"/>
              <w:bottom w:w="45" w:type="dxa"/>
              <w:start w:w="100" w:type="dxa"/>
              <w:end w:w="100" w:type="dxa"/>
            </w:tcMar>
          </w:tcPr>
          <w:p>
            <w:pPr>
              <w:keepLines/>
              <w:spacing w:after="0" w:line="252" w:lineRule="auto"/>
            </w:pPr>
            <w:r>
              <w:rPr>
                <w:rFonts w:ascii="Calibri" w:hAnsi="Calibri" w:eastAsia="Microsoft YaHei"/>
                <w:color w:val="0B2545"/>
                <w:sz w:val="14"/>
              </w:rPr>
              <w:t>EUROfusion facilities；ITER-adjacent research ecosystem</w:t>
            </w:r>
          </w:p>
        </w:tc>
      </w:tr>
      <w:tr>
        <w:trPr>
          <w:cantSplit/>
        </w:trPr>
        <w:tc>
          <w:tcPr>
            <w:tcW w:type="dxa" w:w="1000"/>
            <w:tcMar>
              <w:top w:w="45" w:type="dxa"/>
              <w:bottom w:w="45" w:type="dxa"/>
              <w:start w:w="100" w:type="dxa"/>
              <w:end w:w="100" w:type="dxa"/>
            </w:tcMar>
          </w:tcPr>
          <w:p>
            <w:pPr>
              <w:keepLines/>
              <w:spacing w:after="0" w:line="252" w:lineRule="auto"/>
            </w:pPr>
            <w:r>
              <w:rPr>
                <w:rFonts w:ascii="Calibri" w:hAnsi="Calibri" w:eastAsia="Microsoft YaHei"/>
                <w:color w:val="0B2545"/>
                <w:sz w:val="14"/>
              </w:rPr>
              <w:t>DG2-009</w:t>
            </w:r>
          </w:p>
        </w:tc>
        <w:tc>
          <w:tcPr>
            <w:tcW w:type="dxa" w:w="900"/>
            <w:tcMar>
              <w:top w:w="45" w:type="dxa"/>
              <w:bottom w:w="45" w:type="dxa"/>
              <w:start w:w="100" w:type="dxa"/>
              <w:end w:w="100" w:type="dxa"/>
            </w:tcMar>
          </w:tcPr>
          <w:p>
            <w:pPr>
              <w:keepLines/>
              <w:spacing w:after="0" w:line="252" w:lineRule="auto"/>
            </w:pPr>
            <w:r>
              <w:rPr>
                <w:rFonts w:ascii="Calibri" w:hAnsi="Calibri" w:eastAsia="Microsoft YaHei"/>
                <w:color w:val="0B2545"/>
                <w:sz w:val="14"/>
              </w:rPr>
              <w:t>DG2</w:t>
            </w:r>
          </w:p>
        </w:tc>
        <w:tc>
          <w:tcPr>
            <w:tcW w:type="dxa" w:w="3760"/>
            <w:tcMar>
              <w:top w:w="45" w:type="dxa"/>
              <w:bottom w:w="45" w:type="dxa"/>
              <w:start w:w="100" w:type="dxa"/>
              <w:end w:w="100" w:type="dxa"/>
            </w:tcMar>
          </w:tcPr>
          <w:p>
            <w:pPr>
              <w:keepLines/>
              <w:spacing w:after="0" w:line="252" w:lineRule="auto"/>
            </w:pPr>
            <w:r>
              <w:rPr>
                <w:rFonts w:ascii="Calibri" w:hAnsi="Calibri" w:eastAsia="Microsoft YaHei"/>
                <w:color w:val="0B2545"/>
                <w:sz w:val="14"/>
              </w:rPr>
              <w:t>电子回旋辐射：ECE温度剖面与事件监测</w:t>
            </w:r>
          </w:p>
        </w:tc>
        <w:tc>
          <w:tcPr>
            <w:tcW w:type="dxa" w:w="800"/>
            <w:tcMar>
              <w:top w:w="45" w:type="dxa"/>
              <w:bottom w:w="45" w:type="dxa"/>
              <w:start w:w="100" w:type="dxa"/>
              <w:end w:w="100" w:type="dxa"/>
            </w:tcMar>
          </w:tcPr>
          <w:p>
            <w:pPr>
              <w:keepLines/>
              <w:spacing w:after="0" w:line="252" w:lineRule="auto"/>
            </w:pPr>
            <w:r>
              <w:rPr>
                <w:rFonts w:ascii="Calibri" w:hAnsi="Calibri" w:eastAsia="Microsoft YaHei"/>
                <w:color w:val="0B2545"/>
                <w:sz w:val="14"/>
              </w:rPr>
              <w:t>E1</w:t>
            </w:r>
          </w:p>
        </w:tc>
        <w:tc>
          <w:tcPr>
            <w:tcW w:type="dxa" w:w="2900"/>
            <w:tcMar>
              <w:top w:w="45" w:type="dxa"/>
              <w:bottom w:w="45" w:type="dxa"/>
              <w:start w:w="100" w:type="dxa"/>
              <w:end w:w="100" w:type="dxa"/>
            </w:tcMar>
          </w:tcPr>
          <w:p>
            <w:pPr>
              <w:keepLines/>
              <w:spacing w:after="0" w:line="252" w:lineRule="auto"/>
            </w:pPr>
            <w:r>
              <w:rPr>
                <w:rFonts w:ascii="Calibri" w:hAnsi="Calibri" w:eastAsia="Microsoft YaHei"/>
                <w:color w:val="0B2545"/>
                <w:sz w:val="14"/>
              </w:rPr>
              <w:t>ITER；DIII-D；EAST；KSTAR</w:t>
            </w:r>
          </w:p>
        </w:tc>
      </w:tr>
      <w:tr>
        <w:trPr>
          <w:cantSplit/>
        </w:trPr>
        <w:tc>
          <w:tcPr>
            <w:tcW w:type="dxa" w:w="1000"/>
            <w:tcMar>
              <w:top w:w="45" w:type="dxa"/>
              <w:bottom w:w="45" w:type="dxa"/>
              <w:start w:w="100" w:type="dxa"/>
              <w:end w:w="100" w:type="dxa"/>
            </w:tcMar>
          </w:tcPr>
          <w:p>
            <w:pPr>
              <w:keepLines/>
              <w:spacing w:after="0" w:line="252" w:lineRule="auto"/>
            </w:pPr>
            <w:r>
              <w:rPr>
                <w:rFonts w:ascii="Calibri" w:hAnsi="Calibri" w:eastAsia="Microsoft YaHei"/>
                <w:color w:val="0B2545"/>
                <w:sz w:val="14"/>
              </w:rPr>
              <w:t>DG2-010</w:t>
            </w:r>
          </w:p>
        </w:tc>
        <w:tc>
          <w:tcPr>
            <w:tcW w:type="dxa" w:w="900"/>
            <w:tcMar>
              <w:top w:w="45" w:type="dxa"/>
              <w:bottom w:w="45" w:type="dxa"/>
              <w:start w:w="100" w:type="dxa"/>
              <w:end w:w="100" w:type="dxa"/>
            </w:tcMar>
          </w:tcPr>
          <w:p>
            <w:pPr>
              <w:keepLines/>
              <w:spacing w:after="0" w:line="252" w:lineRule="auto"/>
            </w:pPr>
            <w:r>
              <w:rPr>
                <w:rFonts w:ascii="Calibri" w:hAnsi="Calibri" w:eastAsia="Microsoft YaHei"/>
                <w:color w:val="0B2545"/>
                <w:sz w:val="14"/>
              </w:rPr>
              <w:t>DG2</w:t>
            </w:r>
          </w:p>
        </w:tc>
        <w:tc>
          <w:tcPr>
            <w:tcW w:type="dxa" w:w="3760"/>
            <w:tcMar>
              <w:top w:w="45" w:type="dxa"/>
              <w:bottom w:w="45" w:type="dxa"/>
              <w:start w:w="100" w:type="dxa"/>
              <w:end w:w="100" w:type="dxa"/>
            </w:tcMar>
          </w:tcPr>
          <w:p>
            <w:pPr>
              <w:keepLines/>
              <w:spacing w:after="0" w:line="252" w:lineRule="auto"/>
            </w:pPr>
            <w:r>
              <w:rPr>
                <w:rFonts w:ascii="Calibri" w:hAnsi="Calibri" w:eastAsia="Microsoft YaHei"/>
                <w:color w:val="0B2545"/>
                <w:sz w:val="14"/>
              </w:rPr>
              <w:t>扫频/脉冲反射计：密度剖面和实时映射</w:t>
            </w:r>
          </w:p>
        </w:tc>
        <w:tc>
          <w:tcPr>
            <w:tcW w:type="dxa" w:w="800"/>
            <w:tcMar>
              <w:top w:w="45" w:type="dxa"/>
              <w:bottom w:w="45" w:type="dxa"/>
              <w:start w:w="100" w:type="dxa"/>
              <w:end w:w="100" w:type="dxa"/>
            </w:tcMar>
          </w:tcPr>
          <w:p>
            <w:pPr>
              <w:keepLines/>
              <w:spacing w:after="0" w:line="252" w:lineRule="auto"/>
            </w:pPr>
            <w:r>
              <w:rPr>
                <w:rFonts w:ascii="Calibri" w:hAnsi="Calibri" w:eastAsia="Microsoft YaHei"/>
                <w:color w:val="0B2545"/>
                <w:sz w:val="14"/>
              </w:rPr>
              <w:t>E3</w:t>
            </w:r>
          </w:p>
        </w:tc>
        <w:tc>
          <w:tcPr>
            <w:tcW w:type="dxa" w:w="2900"/>
            <w:tcMar>
              <w:top w:w="45" w:type="dxa"/>
              <w:bottom w:w="45" w:type="dxa"/>
              <w:start w:w="100" w:type="dxa"/>
              <w:end w:w="100" w:type="dxa"/>
            </w:tcMar>
          </w:tcPr>
          <w:p>
            <w:pPr>
              <w:keepLines/>
              <w:spacing w:after="0" w:line="252" w:lineRule="auto"/>
            </w:pPr>
            <w:r>
              <w:rPr>
                <w:rFonts w:ascii="Calibri" w:hAnsi="Calibri" w:eastAsia="Microsoft YaHei"/>
                <w:color w:val="0B2545"/>
                <w:sz w:val="14"/>
              </w:rPr>
              <w:t>SPARC；MAST Upgrade；WEST；EAST</w:t>
            </w:r>
          </w:p>
        </w:tc>
      </w:tr>
      <w:tr>
        <w:trPr>
          <w:cantSplit/>
        </w:trPr>
        <w:tc>
          <w:tcPr>
            <w:tcW w:type="dxa" w:w="1000"/>
            <w:tcMar>
              <w:top w:w="45" w:type="dxa"/>
              <w:bottom w:w="45" w:type="dxa"/>
              <w:start w:w="100" w:type="dxa"/>
              <w:end w:w="100" w:type="dxa"/>
            </w:tcMar>
          </w:tcPr>
          <w:p>
            <w:pPr>
              <w:keepLines/>
              <w:spacing w:after="0" w:line="252" w:lineRule="auto"/>
            </w:pPr>
            <w:r>
              <w:rPr>
                <w:rFonts w:ascii="Calibri" w:hAnsi="Calibri" w:eastAsia="Microsoft YaHei"/>
                <w:color w:val="0B2545"/>
                <w:sz w:val="14"/>
              </w:rPr>
              <w:t>DG4-017</w:t>
            </w:r>
          </w:p>
        </w:tc>
        <w:tc>
          <w:tcPr>
            <w:tcW w:type="dxa" w:w="900"/>
            <w:tcMar>
              <w:top w:w="45" w:type="dxa"/>
              <w:bottom w:w="45" w:type="dxa"/>
              <w:start w:w="100" w:type="dxa"/>
              <w:end w:w="100" w:type="dxa"/>
            </w:tcMar>
          </w:tcPr>
          <w:p>
            <w:pPr>
              <w:keepLines/>
              <w:spacing w:after="0" w:line="252" w:lineRule="auto"/>
            </w:pPr>
            <w:r>
              <w:rPr>
                <w:rFonts w:ascii="Calibri" w:hAnsi="Calibri" w:eastAsia="Microsoft YaHei"/>
                <w:color w:val="0B2545"/>
                <w:sz w:val="14"/>
              </w:rPr>
              <w:t>DG4</w:t>
            </w:r>
          </w:p>
        </w:tc>
        <w:tc>
          <w:tcPr>
            <w:tcW w:type="dxa" w:w="3760"/>
            <w:tcMar>
              <w:top w:w="45" w:type="dxa"/>
              <w:bottom w:w="45" w:type="dxa"/>
              <w:start w:w="100" w:type="dxa"/>
              <w:end w:w="100" w:type="dxa"/>
            </w:tcMar>
          </w:tcPr>
          <w:p>
            <w:pPr>
              <w:keepLines/>
              <w:spacing w:after="0" w:line="252" w:lineRule="auto"/>
            </w:pPr>
            <w:r>
              <w:rPr>
                <w:rFonts w:ascii="Calibri" w:hAnsi="Calibri" w:eastAsia="Microsoft YaHei"/>
                <w:color w:val="0B2545"/>
                <w:sz w:val="14"/>
              </w:rPr>
              <w:t>软X射线阵列与快速层析</w:t>
            </w:r>
          </w:p>
        </w:tc>
        <w:tc>
          <w:tcPr>
            <w:tcW w:type="dxa" w:w="800"/>
            <w:tcMar>
              <w:top w:w="45" w:type="dxa"/>
              <w:bottom w:w="45" w:type="dxa"/>
              <w:start w:w="100" w:type="dxa"/>
              <w:end w:w="100" w:type="dxa"/>
            </w:tcMar>
          </w:tcPr>
          <w:p>
            <w:pPr>
              <w:keepLines/>
              <w:spacing w:after="0" w:line="252" w:lineRule="auto"/>
            </w:pPr>
            <w:r>
              <w:rPr>
                <w:rFonts w:ascii="Calibri" w:hAnsi="Calibri" w:eastAsia="Microsoft YaHei"/>
                <w:color w:val="0B2545"/>
                <w:sz w:val="14"/>
              </w:rPr>
              <w:t>E4</w:t>
            </w:r>
          </w:p>
        </w:tc>
        <w:tc>
          <w:tcPr>
            <w:tcW w:type="dxa" w:w="2900"/>
            <w:tcMar>
              <w:top w:w="45" w:type="dxa"/>
              <w:bottom w:w="45" w:type="dxa"/>
              <w:start w:w="100" w:type="dxa"/>
              <w:end w:w="100" w:type="dxa"/>
            </w:tcMar>
          </w:tcPr>
          <w:p>
            <w:pPr>
              <w:keepLines/>
              <w:spacing w:after="0" w:line="252" w:lineRule="auto"/>
            </w:pPr>
            <w:r>
              <w:rPr>
                <w:rFonts w:ascii="Calibri" w:hAnsi="Calibri" w:eastAsia="Microsoft YaHei"/>
                <w:color w:val="0B2545"/>
                <w:sz w:val="14"/>
              </w:rPr>
              <w:t>DIII-D；ASDEX Upgrade；SPARC；EAST</w:t>
            </w:r>
          </w:p>
        </w:tc>
      </w:tr>
      <w:tr>
        <w:trPr>
          <w:cantSplit/>
        </w:trPr>
        <w:tc>
          <w:tcPr>
            <w:tcW w:type="dxa" w:w="1000"/>
            <w:tcMar>
              <w:top w:w="45" w:type="dxa"/>
              <w:bottom w:w="45" w:type="dxa"/>
              <w:start w:w="100" w:type="dxa"/>
              <w:end w:w="100" w:type="dxa"/>
            </w:tcMar>
          </w:tcPr>
          <w:p>
            <w:pPr>
              <w:keepLines/>
              <w:spacing w:after="0" w:line="252" w:lineRule="auto"/>
            </w:pPr>
            <w:r>
              <w:rPr>
                <w:rFonts w:ascii="Calibri" w:hAnsi="Calibri" w:eastAsia="Microsoft YaHei"/>
                <w:color w:val="0B2545"/>
                <w:sz w:val="14"/>
              </w:rPr>
              <w:t>DG4-020</w:t>
            </w:r>
          </w:p>
        </w:tc>
        <w:tc>
          <w:tcPr>
            <w:tcW w:type="dxa" w:w="900"/>
            <w:tcMar>
              <w:top w:w="45" w:type="dxa"/>
              <w:bottom w:w="45" w:type="dxa"/>
              <w:start w:w="100" w:type="dxa"/>
              <w:end w:w="100" w:type="dxa"/>
            </w:tcMar>
          </w:tcPr>
          <w:p>
            <w:pPr>
              <w:keepLines/>
              <w:spacing w:after="0" w:line="252" w:lineRule="auto"/>
            </w:pPr>
            <w:r>
              <w:rPr>
                <w:rFonts w:ascii="Calibri" w:hAnsi="Calibri" w:eastAsia="Microsoft YaHei"/>
                <w:color w:val="0B2545"/>
                <w:sz w:val="14"/>
              </w:rPr>
              <w:t>DG5</w:t>
            </w:r>
          </w:p>
        </w:tc>
        <w:tc>
          <w:tcPr>
            <w:tcW w:type="dxa" w:w="3760"/>
            <w:tcMar>
              <w:top w:w="45" w:type="dxa"/>
              <w:bottom w:w="45" w:type="dxa"/>
              <w:start w:w="100" w:type="dxa"/>
              <w:end w:w="100" w:type="dxa"/>
            </w:tcMar>
          </w:tcPr>
          <w:p>
            <w:pPr>
              <w:keepLines/>
              <w:spacing w:after="0" w:line="252" w:lineRule="auto"/>
            </w:pPr>
            <w:r>
              <w:rPr>
                <w:rFonts w:ascii="Calibri" w:hAnsi="Calibri" w:eastAsia="Microsoft YaHei"/>
                <w:color w:val="0B2545"/>
                <w:sz w:val="14"/>
              </w:rPr>
              <w:t>硬X射线：逃逸电子制动辐射监测</w:t>
            </w:r>
          </w:p>
        </w:tc>
        <w:tc>
          <w:tcPr>
            <w:tcW w:type="dxa" w:w="800"/>
            <w:tcMar>
              <w:top w:w="45" w:type="dxa"/>
              <w:bottom w:w="45" w:type="dxa"/>
              <w:start w:w="100" w:type="dxa"/>
              <w:end w:w="100" w:type="dxa"/>
            </w:tcMar>
          </w:tcPr>
          <w:p>
            <w:pPr>
              <w:keepLines/>
              <w:spacing w:after="0" w:line="252" w:lineRule="auto"/>
            </w:pPr>
            <w:r>
              <w:rPr>
                <w:rFonts w:ascii="Calibri" w:hAnsi="Calibri" w:eastAsia="Microsoft YaHei"/>
                <w:color w:val="0B2545"/>
                <w:sz w:val="14"/>
              </w:rPr>
              <w:t>E3</w:t>
            </w:r>
          </w:p>
        </w:tc>
        <w:tc>
          <w:tcPr>
            <w:tcW w:type="dxa" w:w="2900"/>
            <w:tcMar>
              <w:top w:w="45" w:type="dxa"/>
              <w:bottom w:w="45" w:type="dxa"/>
              <w:start w:w="100" w:type="dxa"/>
              <w:end w:w="100" w:type="dxa"/>
            </w:tcMar>
          </w:tcPr>
          <w:p>
            <w:pPr>
              <w:keepLines/>
              <w:spacing w:after="0" w:line="252" w:lineRule="auto"/>
            </w:pPr>
            <w:r>
              <w:rPr>
                <w:rFonts w:ascii="Calibri" w:hAnsi="Calibri" w:eastAsia="Microsoft YaHei"/>
                <w:color w:val="0B2545"/>
                <w:sz w:val="14"/>
              </w:rPr>
              <w:t>J-TEXT；HL-2M；SPARC；ITER</w:t>
            </w:r>
          </w:p>
        </w:tc>
      </w:tr>
      <w:tr>
        <w:trPr>
          <w:cantSplit/>
        </w:trPr>
        <w:tc>
          <w:tcPr>
            <w:tcW w:type="dxa" w:w="1000"/>
            <w:tcMar>
              <w:top w:w="45" w:type="dxa"/>
              <w:bottom w:w="45" w:type="dxa"/>
              <w:start w:w="100" w:type="dxa"/>
              <w:end w:w="100" w:type="dxa"/>
            </w:tcMar>
          </w:tcPr>
          <w:p>
            <w:pPr>
              <w:keepLines/>
              <w:spacing w:after="0" w:line="252" w:lineRule="auto"/>
            </w:pPr>
            <w:r>
              <w:rPr>
                <w:rFonts w:ascii="Calibri" w:hAnsi="Calibri" w:eastAsia="Microsoft YaHei"/>
                <w:color w:val="0B2545"/>
                <w:sz w:val="14"/>
              </w:rPr>
              <w:t>DG5-027</w:t>
            </w:r>
          </w:p>
        </w:tc>
        <w:tc>
          <w:tcPr>
            <w:tcW w:type="dxa" w:w="900"/>
            <w:tcMar>
              <w:top w:w="45" w:type="dxa"/>
              <w:bottom w:w="45" w:type="dxa"/>
              <w:start w:w="100" w:type="dxa"/>
              <w:end w:w="100" w:type="dxa"/>
            </w:tcMar>
          </w:tcPr>
          <w:p>
            <w:pPr>
              <w:keepLines/>
              <w:spacing w:after="0" w:line="252" w:lineRule="auto"/>
            </w:pPr>
            <w:r>
              <w:rPr>
                <w:rFonts w:ascii="Calibri" w:hAnsi="Calibri" w:eastAsia="Microsoft YaHei"/>
                <w:color w:val="0B2545"/>
                <w:sz w:val="14"/>
              </w:rPr>
              <w:t>DG5</w:t>
            </w:r>
          </w:p>
        </w:tc>
        <w:tc>
          <w:tcPr>
            <w:tcW w:type="dxa" w:w="3760"/>
            <w:tcMar>
              <w:top w:w="45" w:type="dxa"/>
              <w:bottom w:w="45" w:type="dxa"/>
              <w:start w:w="100" w:type="dxa"/>
              <w:end w:w="100" w:type="dxa"/>
            </w:tcMar>
          </w:tcPr>
          <w:p>
            <w:pPr>
              <w:keepLines/>
              <w:spacing w:after="0" w:line="252" w:lineRule="auto"/>
            </w:pPr>
            <w:r>
              <w:rPr>
                <w:rFonts w:ascii="Calibri" w:hAnsi="Calibri" w:eastAsia="Microsoft YaHei"/>
                <w:color w:val="0B2545"/>
                <w:sz w:val="14"/>
              </w:rPr>
              <w:t>集体汤姆逊散射：快离子与离子回旋特征</w:t>
            </w:r>
          </w:p>
        </w:tc>
        <w:tc>
          <w:tcPr>
            <w:tcW w:type="dxa" w:w="800"/>
            <w:tcMar>
              <w:top w:w="45" w:type="dxa"/>
              <w:bottom w:w="45" w:type="dxa"/>
              <w:start w:w="100" w:type="dxa"/>
              <w:end w:w="100" w:type="dxa"/>
            </w:tcMar>
          </w:tcPr>
          <w:p>
            <w:pPr>
              <w:keepLines/>
              <w:spacing w:after="0" w:line="252" w:lineRule="auto"/>
            </w:pPr>
            <w:r>
              <w:rPr>
                <w:rFonts w:ascii="Calibri" w:hAnsi="Calibri" w:eastAsia="Microsoft YaHei"/>
                <w:color w:val="0B2545"/>
                <w:sz w:val="14"/>
              </w:rPr>
              <w:t>E3</w:t>
            </w:r>
          </w:p>
        </w:tc>
        <w:tc>
          <w:tcPr>
            <w:tcW w:type="dxa" w:w="2900"/>
            <w:tcMar>
              <w:top w:w="45" w:type="dxa"/>
              <w:bottom w:w="45" w:type="dxa"/>
              <w:start w:w="100" w:type="dxa"/>
              <w:end w:w="100" w:type="dxa"/>
            </w:tcMar>
          </w:tcPr>
          <w:p>
            <w:pPr>
              <w:keepLines/>
              <w:spacing w:after="0" w:line="252" w:lineRule="auto"/>
            </w:pPr>
            <w:r>
              <w:rPr>
                <w:rFonts w:ascii="Calibri" w:hAnsi="Calibri" w:eastAsia="Microsoft YaHei"/>
                <w:color w:val="0B2545"/>
                <w:sz w:val="14"/>
              </w:rPr>
              <w:t>ASDEX Upgrade；ITER design；W7-X</w:t>
            </w:r>
          </w:p>
        </w:tc>
      </w:tr>
      <w:tr>
        <w:trPr>
          <w:cantSplit/>
        </w:trPr>
        <w:tc>
          <w:tcPr>
            <w:tcW w:type="dxa" w:w="1000"/>
            <w:tcMar>
              <w:top w:w="45" w:type="dxa"/>
              <w:bottom w:w="45" w:type="dxa"/>
              <w:start w:w="100" w:type="dxa"/>
              <w:end w:w="100" w:type="dxa"/>
            </w:tcMar>
          </w:tcPr>
          <w:p>
            <w:pPr>
              <w:keepLines/>
              <w:spacing w:after="0" w:line="252" w:lineRule="auto"/>
            </w:pPr>
            <w:r>
              <w:rPr>
                <w:rFonts w:ascii="Calibri" w:hAnsi="Calibri" w:eastAsia="Microsoft YaHei"/>
                <w:color w:val="0B2545"/>
                <w:sz w:val="14"/>
              </w:rPr>
              <w:t>DG5-028</w:t>
            </w:r>
          </w:p>
        </w:tc>
        <w:tc>
          <w:tcPr>
            <w:tcW w:type="dxa" w:w="900"/>
            <w:tcMar>
              <w:top w:w="45" w:type="dxa"/>
              <w:bottom w:w="45" w:type="dxa"/>
              <w:start w:w="100" w:type="dxa"/>
              <w:end w:w="100" w:type="dxa"/>
            </w:tcMar>
          </w:tcPr>
          <w:p>
            <w:pPr>
              <w:keepLines/>
              <w:spacing w:after="0" w:line="252" w:lineRule="auto"/>
            </w:pPr>
            <w:r>
              <w:rPr>
                <w:rFonts w:ascii="Calibri" w:hAnsi="Calibri" w:eastAsia="Microsoft YaHei"/>
                <w:color w:val="0B2545"/>
                <w:sz w:val="14"/>
              </w:rPr>
              <w:t>DG5</w:t>
            </w:r>
          </w:p>
        </w:tc>
        <w:tc>
          <w:tcPr>
            <w:tcW w:type="dxa" w:w="3760"/>
            <w:tcMar>
              <w:top w:w="45" w:type="dxa"/>
              <w:bottom w:w="45" w:type="dxa"/>
              <w:start w:w="100" w:type="dxa"/>
              <w:end w:w="100" w:type="dxa"/>
            </w:tcMar>
          </w:tcPr>
          <w:p>
            <w:pPr>
              <w:keepLines/>
              <w:spacing w:after="0" w:line="252" w:lineRule="auto"/>
            </w:pPr>
            <w:r>
              <w:rPr>
                <w:rFonts w:ascii="Calibri" w:hAnsi="Calibri" w:eastAsia="Microsoft YaHei"/>
                <w:color w:val="0B2545"/>
                <w:sz w:val="14"/>
              </w:rPr>
              <w:t>快离子损失探测器：轨道损失与MHD再分布</w:t>
            </w:r>
          </w:p>
        </w:tc>
        <w:tc>
          <w:tcPr>
            <w:tcW w:type="dxa" w:w="800"/>
            <w:tcMar>
              <w:top w:w="45" w:type="dxa"/>
              <w:bottom w:w="45" w:type="dxa"/>
              <w:start w:w="100" w:type="dxa"/>
              <w:end w:w="100" w:type="dxa"/>
            </w:tcMar>
          </w:tcPr>
          <w:p>
            <w:pPr>
              <w:keepLines/>
              <w:spacing w:after="0" w:line="252" w:lineRule="auto"/>
            </w:pPr>
            <w:r>
              <w:rPr>
                <w:rFonts w:ascii="Calibri" w:hAnsi="Calibri" w:eastAsia="Microsoft YaHei"/>
                <w:color w:val="0B2545"/>
                <w:sz w:val="14"/>
              </w:rPr>
              <w:t>E4</w:t>
            </w:r>
          </w:p>
        </w:tc>
        <w:tc>
          <w:tcPr>
            <w:tcW w:type="dxa" w:w="2900"/>
            <w:tcMar>
              <w:top w:w="45" w:type="dxa"/>
              <w:bottom w:w="45" w:type="dxa"/>
              <w:start w:w="100" w:type="dxa"/>
              <w:end w:w="100" w:type="dxa"/>
            </w:tcMar>
          </w:tcPr>
          <w:p>
            <w:pPr>
              <w:keepLines/>
              <w:spacing w:after="0" w:line="252" w:lineRule="auto"/>
            </w:pPr>
            <w:r>
              <w:rPr>
                <w:rFonts w:ascii="Calibri" w:hAnsi="Calibri" w:eastAsia="Microsoft YaHei"/>
                <w:color w:val="0B2545"/>
                <w:sz w:val="14"/>
              </w:rPr>
              <w:t>ASDEX Upgrade；DIII-D；MAST；KSTAR</w:t>
            </w:r>
          </w:p>
        </w:tc>
      </w:tr>
      <w:tr>
        <w:trPr>
          <w:cantSplit/>
        </w:trPr>
        <w:tc>
          <w:tcPr>
            <w:tcW w:type="dxa" w:w="1000"/>
            <w:tcMar>
              <w:top w:w="45" w:type="dxa"/>
              <w:bottom w:w="45" w:type="dxa"/>
              <w:start w:w="100" w:type="dxa"/>
              <w:end w:w="100" w:type="dxa"/>
            </w:tcMar>
          </w:tcPr>
          <w:p>
            <w:pPr>
              <w:keepLines/>
              <w:spacing w:after="0" w:line="252" w:lineRule="auto"/>
            </w:pPr>
            <w:r>
              <w:rPr>
                <w:rFonts w:ascii="Calibri" w:hAnsi="Calibri" w:eastAsia="Microsoft YaHei"/>
                <w:color w:val="0B2545"/>
                <w:sz w:val="14"/>
              </w:rPr>
              <w:t>DG7-036</w:t>
            </w:r>
          </w:p>
        </w:tc>
        <w:tc>
          <w:tcPr>
            <w:tcW w:type="dxa" w:w="900"/>
            <w:tcMar>
              <w:top w:w="45" w:type="dxa"/>
              <w:bottom w:w="45" w:type="dxa"/>
              <w:start w:w="100" w:type="dxa"/>
              <w:end w:w="100" w:type="dxa"/>
            </w:tcMar>
          </w:tcPr>
          <w:p>
            <w:pPr>
              <w:keepLines/>
              <w:spacing w:after="0" w:line="252" w:lineRule="auto"/>
            </w:pPr>
            <w:r>
              <w:rPr>
                <w:rFonts w:ascii="Calibri" w:hAnsi="Calibri" w:eastAsia="Microsoft YaHei"/>
                <w:color w:val="0B2545"/>
                <w:sz w:val="14"/>
              </w:rPr>
              <w:t>DG7</w:t>
            </w:r>
          </w:p>
        </w:tc>
        <w:tc>
          <w:tcPr>
            <w:tcW w:type="dxa" w:w="3760"/>
            <w:tcMar>
              <w:top w:w="45" w:type="dxa"/>
              <w:bottom w:w="45" w:type="dxa"/>
              <w:start w:w="100" w:type="dxa"/>
              <w:end w:w="100" w:type="dxa"/>
            </w:tcMar>
          </w:tcPr>
          <w:p>
            <w:pPr>
              <w:keepLines/>
              <w:spacing w:after="0" w:line="252" w:lineRule="auto"/>
            </w:pPr>
            <w:r>
              <w:rPr>
                <w:rFonts w:ascii="Calibri" w:hAnsi="Calibri" w:eastAsia="Microsoft YaHei"/>
                <w:color w:val="0B2545"/>
                <w:sz w:val="14"/>
              </w:rPr>
              <w:t>固定/往复式朗缪尔探针：SOL与偏滤器局部参数</w:t>
            </w:r>
          </w:p>
        </w:tc>
        <w:tc>
          <w:tcPr>
            <w:tcW w:type="dxa" w:w="800"/>
            <w:tcMar>
              <w:top w:w="45" w:type="dxa"/>
              <w:bottom w:w="45" w:type="dxa"/>
              <w:start w:w="100" w:type="dxa"/>
              <w:end w:w="100" w:type="dxa"/>
            </w:tcMar>
          </w:tcPr>
          <w:p>
            <w:pPr>
              <w:keepLines/>
              <w:spacing w:after="0" w:line="252" w:lineRule="auto"/>
            </w:pPr>
            <w:r>
              <w:rPr>
                <w:rFonts w:ascii="Calibri" w:hAnsi="Calibri" w:eastAsia="Microsoft YaHei"/>
                <w:color w:val="0B2545"/>
                <w:sz w:val="14"/>
              </w:rPr>
              <w:t>E4</w:t>
            </w:r>
          </w:p>
        </w:tc>
        <w:tc>
          <w:tcPr>
            <w:tcW w:type="dxa" w:w="2900"/>
            <w:tcMar>
              <w:top w:w="45" w:type="dxa"/>
              <w:bottom w:w="45" w:type="dxa"/>
              <w:start w:w="100" w:type="dxa"/>
              <w:end w:w="100" w:type="dxa"/>
            </w:tcMar>
          </w:tcPr>
          <w:p>
            <w:pPr>
              <w:keepLines/>
              <w:spacing w:after="0" w:line="252" w:lineRule="auto"/>
            </w:pPr>
            <w:r>
              <w:rPr>
                <w:rFonts w:ascii="Calibri" w:hAnsi="Calibri" w:eastAsia="Microsoft YaHei"/>
                <w:color w:val="0B2545"/>
                <w:sz w:val="14"/>
              </w:rPr>
              <w:t>EAST；DIII-D；ASDEX Upgrade；MAST-U</w:t>
            </w:r>
          </w:p>
        </w:tc>
      </w:tr>
      <w:tr>
        <w:trPr>
          <w:cantSplit/>
        </w:trPr>
        <w:tc>
          <w:tcPr>
            <w:tcW w:type="dxa" w:w="1000"/>
            <w:tcMar>
              <w:top w:w="45" w:type="dxa"/>
              <w:bottom w:w="45" w:type="dxa"/>
              <w:start w:w="100" w:type="dxa"/>
              <w:end w:w="100" w:type="dxa"/>
            </w:tcMar>
          </w:tcPr>
          <w:p>
            <w:pPr>
              <w:keepLines/>
              <w:spacing w:after="0" w:line="252" w:lineRule="auto"/>
            </w:pPr>
            <w:r>
              <w:rPr>
                <w:rFonts w:ascii="Calibri" w:hAnsi="Calibri" w:eastAsia="Microsoft YaHei"/>
                <w:color w:val="0B2545"/>
                <w:sz w:val="14"/>
              </w:rPr>
              <w:t>DG6-033</w:t>
            </w:r>
          </w:p>
        </w:tc>
        <w:tc>
          <w:tcPr>
            <w:tcW w:type="dxa" w:w="900"/>
            <w:tcMar>
              <w:top w:w="45" w:type="dxa"/>
              <w:bottom w:w="45" w:type="dxa"/>
              <w:start w:w="100" w:type="dxa"/>
              <w:end w:w="100" w:type="dxa"/>
            </w:tcMar>
          </w:tcPr>
          <w:p>
            <w:pPr>
              <w:keepLines/>
              <w:spacing w:after="0" w:line="252" w:lineRule="auto"/>
            </w:pPr>
            <w:r>
              <w:rPr>
                <w:rFonts w:ascii="Calibri" w:hAnsi="Calibri" w:eastAsia="Microsoft YaHei"/>
                <w:color w:val="0B2545"/>
                <w:sz w:val="14"/>
              </w:rPr>
              <w:t>DG9</w:t>
            </w:r>
          </w:p>
        </w:tc>
        <w:tc>
          <w:tcPr>
            <w:tcW w:type="dxa" w:w="3760"/>
            <w:tcMar>
              <w:top w:w="45" w:type="dxa"/>
              <w:bottom w:w="45" w:type="dxa"/>
              <w:start w:w="100" w:type="dxa"/>
              <w:end w:w="100" w:type="dxa"/>
            </w:tcMar>
          </w:tcPr>
          <w:p>
            <w:pPr>
              <w:keepLines/>
              <w:spacing w:after="0" w:line="252" w:lineRule="auto"/>
            </w:pPr>
            <w:r>
              <w:rPr>
                <w:rFonts w:ascii="Calibri" w:hAnsi="Calibri" w:eastAsia="Microsoft YaHei"/>
                <w:color w:val="0B2545"/>
                <w:sz w:val="14"/>
              </w:rPr>
              <w:t>W7-X 相位衬度成像合成诊断</w:t>
            </w:r>
          </w:p>
        </w:tc>
        <w:tc>
          <w:tcPr>
            <w:tcW w:type="dxa" w:w="800"/>
            <w:tcMar>
              <w:top w:w="45" w:type="dxa"/>
              <w:bottom w:w="45" w:type="dxa"/>
              <w:start w:w="100" w:type="dxa"/>
              <w:end w:w="100" w:type="dxa"/>
            </w:tcMar>
          </w:tcPr>
          <w:p>
            <w:pPr>
              <w:keepLines/>
              <w:spacing w:after="0" w:line="252" w:lineRule="auto"/>
            </w:pPr>
            <w:r>
              <w:rPr>
                <w:rFonts w:ascii="Calibri" w:hAnsi="Calibri" w:eastAsia="Microsoft YaHei"/>
                <w:color w:val="0B2545"/>
                <w:sz w:val="14"/>
              </w:rPr>
              <w:t>E1</w:t>
            </w:r>
          </w:p>
        </w:tc>
        <w:tc>
          <w:tcPr>
            <w:tcW w:type="dxa" w:w="2900"/>
            <w:tcMar>
              <w:top w:w="45" w:type="dxa"/>
              <w:bottom w:w="45" w:type="dxa"/>
              <w:start w:w="100" w:type="dxa"/>
              <w:end w:w="100" w:type="dxa"/>
            </w:tcMar>
          </w:tcPr>
          <w:p>
            <w:pPr>
              <w:keepLines/>
              <w:spacing w:after="0" w:line="252" w:lineRule="auto"/>
            </w:pPr>
            <w:r>
              <w:rPr>
                <w:rFonts w:ascii="Calibri" w:hAnsi="Calibri" w:eastAsia="Microsoft YaHei"/>
                <w:color w:val="0B2545"/>
                <w:sz w:val="14"/>
              </w:rPr>
              <w:t>DIII-D；Alcator C-Mod；TCV；W7-X</w:t>
            </w:r>
          </w:p>
        </w:tc>
      </w:tr>
      <w:tr>
        <w:trPr>
          <w:cantSplit/>
        </w:trPr>
        <w:tc>
          <w:tcPr>
            <w:tcW w:type="dxa" w:w="1000"/>
            <w:tcMar>
              <w:top w:w="45" w:type="dxa"/>
              <w:bottom w:w="45" w:type="dxa"/>
              <w:start w:w="100" w:type="dxa"/>
              <w:end w:w="100" w:type="dxa"/>
            </w:tcMar>
          </w:tcPr>
          <w:p>
            <w:pPr>
              <w:keepLines/>
              <w:spacing w:after="0" w:line="252" w:lineRule="auto"/>
            </w:pPr>
            <w:r>
              <w:rPr>
                <w:rFonts w:ascii="Calibri" w:hAnsi="Calibri" w:eastAsia="Microsoft YaHei"/>
                <w:color w:val="0B2545"/>
                <w:sz w:val="14"/>
              </w:rPr>
              <w:t>DSI-017</w:t>
            </w:r>
          </w:p>
        </w:tc>
        <w:tc>
          <w:tcPr>
            <w:tcW w:type="dxa" w:w="900"/>
            <w:tcMar>
              <w:top w:w="45" w:type="dxa"/>
              <w:bottom w:w="45" w:type="dxa"/>
              <w:start w:w="100" w:type="dxa"/>
              <w:end w:w="100" w:type="dxa"/>
            </w:tcMar>
          </w:tcPr>
          <w:p>
            <w:pPr>
              <w:keepLines/>
              <w:spacing w:after="0" w:line="252" w:lineRule="auto"/>
            </w:pPr>
            <w:r>
              <w:rPr>
                <w:rFonts w:ascii="Calibri" w:hAnsi="Calibri" w:eastAsia="Microsoft YaHei"/>
                <w:color w:val="0B2545"/>
                <w:sz w:val="14"/>
              </w:rPr>
              <w:t>DG9</w:t>
            </w:r>
          </w:p>
        </w:tc>
        <w:tc>
          <w:tcPr>
            <w:tcW w:type="dxa" w:w="3760"/>
            <w:tcMar>
              <w:top w:w="45" w:type="dxa"/>
              <w:bottom w:w="45" w:type="dxa"/>
              <w:start w:w="100" w:type="dxa"/>
              <w:end w:w="100" w:type="dxa"/>
            </w:tcMar>
          </w:tcPr>
          <w:p>
            <w:pPr>
              <w:keepLines/>
              <w:spacing w:after="0" w:line="252" w:lineRule="auto"/>
            </w:pPr>
            <w:r>
              <w:rPr>
                <w:rFonts w:ascii="Calibri" w:hAnsi="Calibri" w:eastAsia="Microsoft YaHei"/>
                <w:color w:val="0B2545"/>
                <w:sz w:val="14"/>
              </w:rPr>
              <w:t>REFMUL 系列反射计全波合成诊断</w:t>
            </w:r>
          </w:p>
        </w:tc>
        <w:tc>
          <w:tcPr>
            <w:tcW w:type="dxa" w:w="800"/>
            <w:tcMar>
              <w:top w:w="45" w:type="dxa"/>
              <w:bottom w:w="45" w:type="dxa"/>
              <w:start w:w="100" w:type="dxa"/>
              <w:end w:w="100" w:type="dxa"/>
            </w:tcMar>
          </w:tcPr>
          <w:p>
            <w:pPr>
              <w:keepLines/>
              <w:spacing w:after="0" w:line="252" w:lineRule="auto"/>
            </w:pPr>
            <w:r>
              <w:rPr>
                <w:rFonts w:ascii="Calibri" w:hAnsi="Calibri" w:eastAsia="Microsoft YaHei"/>
                <w:color w:val="0B2545"/>
                <w:sz w:val="14"/>
              </w:rPr>
              <w:t>E3</w:t>
            </w:r>
          </w:p>
        </w:tc>
        <w:tc>
          <w:tcPr>
            <w:tcW w:type="dxa" w:w="2900"/>
            <w:tcMar>
              <w:top w:w="45" w:type="dxa"/>
              <w:bottom w:w="45" w:type="dxa"/>
              <w:start w:w="100" w:type="dxa"/>
              <w:end w:w="100" w:type="dxa"/>
            </w:tcMar>
          </w:tcPr>
          <w:p>
            <w:pPr>
              <w:keepLines/>
              <w:spacing w:after="0" w:line="252" w:lineRule="auto"/>
            </w:pPr>
            <w:r>
              <w:rPr>
                <w:rFonts w:ascii="Calibri" w:hAnsi="Calibri" w:eastAsia="Microsoft YaHei"/>
                <w:color w:val="0B2545"/>
                <w:sz w:val="14"/>
              </w:rPr>
              <w:t>ASDEX Upgrade；JET；DIII-D/KSTAR imaging-reflectometry studies；DEMO design studies</w:t>
            </w:r>
          </w:p>
        </w:tc>
      </w:tr>
      <w:tr>
        <w:trPr>
          <w:cantSplit/>
        </w:trPr>
        <w:tc>
          <w:tcPr>
            <w:tcW w:type="dxa" w:w="1000"/>
            <w:tcMar>
              <w:top w:w="45" w:type="dxa"/>
              <w:bottom w:w="45" w:type="dxa"/>
              <w:start w:w="100" w:type="dxa"/>
              <w:end w:w="100" w:type="dxa"/>
            </w:tcMar>
          </w:tcPr>
          <w:p>
            <w:pPr>
              <w:keepLines/>
              <w:spacing w:after="0" w:line="252" w:lineRule="auto"/>
            </w:pPr>
            <w:r>
              <w:rPr>
                <w:rFonts w:ascii="Calibri" w:hAnsi="Calibri" w:eastAsia="Microsoft YaHei"/>
                <w:color w:val="0B2545"/>
                <w:sz w:val="14"/>
              </w:rPr>
              <w:t>DSI-018</w:t>
            </w:r>
          </w:p>
        </w:tc>
        <w:tc>
          <w:tcPr>
            <w:tcW w:type="dxa" w:w="900"/>
            <w:tcMar>
              <w:top w:w="45" w:type="dxa"/>
              <w:bottom w:w="45" w:type="dxa"/>
              <w:start w:w="100" w:type="dxa"/>
              <w:end w:w="100" w:type="dxa"/>
            </w:tcMar>
          </w:tcPr>
          <w:p>
            <w:pPr>
              <w:keepLines/>
              <w:spacing w:after="0" w:line="252" w:lineRule="auto"/>
            </w:pPr>
            <w:r>
              <w:rPr>
                <w:rFonts w:ascii="Calibri" w:hAnsi="Calibri" w:eastAsia="Microsoft YaHei"/>
                <w:color w:val="0B2545"/>
                <w:sz w:val="14"/>
              </w:rPr>
              <w:t>DG9</w:t>
            </w:r>
          </w:p>
        </w:tc>
        <w:tc>
          <w:tcPr>
            <w:tcW w:type="dxa" w:w="3760"/>
            <w:tcMar>
              <w:top w:w="45" w:type="dxa"/>
              <w:bottom w:w="45" w:type="dxa"/>
              <w:start w:w="100" w:type="dxa"/>
              <w:end w:w="100" w:type="dxa"/>
            </w:tcMar>
          </w:tcPr>
          <w:p>
            <w:pPr>
              <w:keepLines/>
              <w:spacing w:after="0" w:line="252" w:lineRule="auto"/>
            </w:pPr>
            <w:r>
              <w:rPr>
                <w:rFonts w:ascii="Calibri" w:hAnsi="Calibri" w:eastAsia="Microsoft YaHei"/>
                <w:color w:val="0B2545"/>
                <w:sz w:val="14"/>
              </w:rPr>
              <w:t>XGC1—BES 全光学合成诊断</w:t>
            </w:r>
          </w:p>
        </w:tc>
        <w:tc>
          <w:tcPr>
            <w:tcW w:type="dxa" w:w="800"/>
            <w:tcMar>
              <w:top w:w="45" w:type="dxa"/>
              <w:bottom w:w="45" w:type="dxa"/>
              <w:start w:w="100" w:type="dxa"/>
              <w:end w:w="100" w:type="dxa"/>
            </w:tcMar>
          </w:tcPr>
          <w:p>
            <w:pPr>
              <w:keepLines/>
              <w:spacing w:after="0" w:line="252" w:lineRule="auto"/>
            </w:pPr>
            <w:r>
              <w:rPr>
                <w:rFonts w:ascii="Calibri" w:hAnsi="Calibri" w:eastAsia="Microsoft YaHei"/>
                <w:color w:val="0B2545"/>
                <w:sz w:val="14"/>
              </w:rPr>
              <w:t>E2</w:t>
            </w:r>
          </w:p>
        </w:tc>
        <w:tc>
          <w:tcPr>
            <w:tcW w:type="dxa" w:w="2900"/>
            <w:tcMar>
              <w:top w:w="45" w:type="dxa"/>
              <w:bottom w:w="45" w:type="dxa"/>
              <w:start w:w="100" w:type="dxa"/>
              <w:end w:w="100" w:type="dxa"/>
            </w:tcMar>
          </w:tcPr>
          <w:p>
            <w:pPr>
              <w:keepLines/>
              <w:spacing w:after="0" w:line="252" w:lineRule="auto"/>
            </w:pPr>
            <w:r>
              <w:rPr>
                <w:rFonts w:ascii="Calibri" w:hAnsi="Calibri" w:eastAsia="Microsoft YaHei"/>
                <w:color w:val="0B2545"/>
                <w:sz w:val="14"/>
              </w:rPr>
              <w:t>DIII-D-like BES geometry with XGC1 edge simulations</w:t>
            </w:r>
          </w:p>
        </w:tc>
      </w:tr>
      <w:tr>
        <w:trPr>
          <w:cantSplit/>
        </w:trPr>
        <w:tc>
          <w:tcPr>
            <w:tcW w:type="dxa" w:w="1000"/>
            <w:tcMar>
              <w:top w:w="45" w:type="dxa"/>
              <w:bottom w:w="45" w:type="dxa"/>
              <w:start w:w="100" w:type="dxa"/>
              <w:end w:w="100" w:type="dxa"/>
            </w:tcMar>
          </w:tcPr>
          <w:p>
            <w:pPr>
              <w:keepLines/>
              <w:spacing w:after="0" w:line="252" w:lineRule="auto"/>
            </w:pPr>
            <w:r>
              <w:rPr>
                <w:rFonts w:ascii="Calibri" w:hAnsi="Calibri" w:eastAsia="Microsoft YaHei"/>
                <w:color w:val="0B2545"/>
                <w:sz w:val="14"/>
              </w:rPr>
              <w:t>DSI-022</w:t>
            </w:r>
          </w:p>
        </w:tc>
        <w:tc>
          <w:tcPr>
            <w:tcW w:type="dxa" w:w="900"/>
            <w:tcMar>
              <w:top w:w="45" w:type="dxa"/>
              <w:bottom w:w="45" w:type="dxa"/>
              <w:start w:w="100" w:type="dxa"/>
              <w:end w:w="100" w:type="dxa"/>
            </w:tcMar>
          </w:tcPr>
          <w:p>
            <w:pPr>
              <w:keepLines/>
              <w:spacing w:after="0" w:line="252" w:lineRule="auto"/>
            </w:pPr>
            <w:r>
              <w:rPr>
                <w:rFonts w:ascii="Calibri" w:hAnsi="Calibri" w:eastAsia="Microsoft YaHei"/>
                <w:color w:val="0B2545"/>
                <w:sz w:val="14"/>
              </w:rPr>
              <w:t>DG9</w:t>
            </w:r>
          </w:p>
        </w:tc>
        <w:tc>
          <w:tcPr>
            <w:tcW w:type="dxa" w:w="3760"/>
            <w:tcMar>
              <w:top w:w="45" w:type="dxa"/>
              <w:bottom w:w="45" w:type="dxa"/>
              <w:start w:w="100" w:type="dxa"/>
              <w:end w:w="100" w:type="dxa"/>
            </w:tcMar>
          </w:tcPr>
          <w:p>
            <w:pPr>
              <w:keepLines/>
              <w:spacing w:after="0" w:line="252" w:lineRule="auto"/>
            </w:pPr>
            <w:r>
              <w:rPr>
                <w:rFonts w:ascii="Calibri" w:hAnsi="Calibri" w:eastAsia="Microsoft YaHei"/>
                <w:color w:val="0B2545"/>
                <w:sz w:val="14"/>
              </w:rPr>
              <w:t>RENATE 三维束发射光谱合成诊断</w:t>
            </w:r>
          </w:p>
        </w:tc>
        <w:tc>
          <w:tcPr>
            <w:tcW w:type="dxa" w:w="800"/>
            <w:tcMar>
              <w:top w:w="45" w:type="dxa"/>
              <w:bottom w:w="45" w:type="dxa"/>
              <w:start w:w="100" w:type="dxa"/>
              <w:end w:w="100" w:type="dxa"/>
            </w:tcMar>
          </w:tcPr>
          <w:p>
            <w:pPr>
              <w:keepLines/>
              <w:spacing w:after="0" w:line="252" w:lineRule="auto"/>
            </w:pPr>
            <w:r>
              <w:rPr>
                <w:rFonts w:ascii="Calibri" w:hAnsi="Calibri" w:eastAsia="Microsoft YaHei"/>
                <w:color w:val="0B2545"/>
                <w:sz w:val="14"/>
              </w:rPr>
              <w:t>E3</w:t>
            </w:r>
          </w:p>
        </w:tc>
        <w:tc>
          <w:tcPr>
            <w:tcW w:type="dxa" w:w="2900"/>
            <w:tcMar>
              <w:top w:w="45" w:type="dxa"/>
              <w:bottom w:w="45" w:type="dxa"/>
              <w:start w:w="100" w:type="dxa"/>
              <w:end w:w="100" w:type="dxa"/>
            </w:tcMar>
          </w:tcPr>
          <w:p>
            <w:pPr>
              <w:keepLines/>
              <w:spacing w:after="0" w:line="252" w:lineRule="auto"/>
            </w:pPr>
            <w:r>
              <w:rPr>
                <w:rFonts w:ascii="Calibri" w:hAnsi="Calibri" w:eastAsia="Microsoft YaHei"/>
                <w:color w:val="0B2545"/>
                <w:sz w:val="14"/>
              </w:rPr>
              <w:t>KSTAR；EAST；HSX studies；ITER neutral beam test facilities</w:t>
            </w:r>
          </w:p>
        </w:tc>
      </w:tr>
      <w:tr>
        <w:trPr>
          <w:cantSplit/>
        </w:trPr>
        <w:tc>
          <w:tcPr>
            <w:tcW w:type="dxa" w:w="1000"/>
            <w:tcMar>
              <w:top w:w="45" w:type="dxa"/>
              <w:bottom w:w="45" w:type="dxa"/>
              <w:start w:w="100" w:type="dxa"/>
              <w:end w:w="100" w:type="dxa"/>
            </w:tcMar>
          </w:tcPr>
          <w:p>
            <w:pPr>
              <w:keepLines/>
              <w:spacing w:after="0" w:line="252" w:lineRule="auto"/>
            </w:pPr>
            <w:r>
              <w:rPr>
                <w:rFonts w:ascii="Calibri" w:hAnsi="Calibri" w:eastAsia="Microsoft YaHei"/>
                <w:color w:val="0B2545"/>
                <w:sz w:val="14"/>
              </w:rPr>
              <w:t>DSI-034</w:t>
            </w:r>
          </w:p>
        </w:tc>
        <w:tc>
          <w:tcPr>
            <w:tcW w:type="dxa" w:w="900"/>
            <w:tcMar>
              <w:top w:w="45" w:type="dxa"/>
              <w:bottom w:w="45" w:type="dxa"/>
              <w:start w:w="100" w:type="dxa"/>
              <w:end w:w="100" w:type="dxa"/>
            </w:tcMar>
          </w:tcPr>
          <w:p>
            <w:pPr>
              <w:keepLines/>
              <w:spacing w:after="0" w:line="252" w:lineRule="auto"/>
            </w:pPr>
            <w:r>
              <w:rPr>
                <w:rFonts w:ascii="Calibri" w:hAnsi="Calibri" w:eastAsia="Microsoft YaHei"/>
                <w:color w:val="0B2545"/>
                <w:sz w:val="14"/>
              </w:rPr>
              <w:t>DG10</w:t>
            </w:r>
          </w:p>
        </w:tc>
        <w:tc>
          <w:tcPr>
            <w:tcW w:type="dxa" w:w="3760"/>
            <w:tcMar>
              <w:top w:w="45" w:type="dxa"/>
              <w:bottom w:w="45" w:type="dxa"/>
              <w:start w:w="100" w:type="dxa"/>
              <w:end w:w="100" w:type="dxa"/>
            </w:tcMar>
          </w:tcPr>
          <w:p>
            <w:pPr>
              <w:keepLines/>
              <w:spacing w:after="0" w:line="252" w:lineRule="auto"/>
            </w:pPr>
            <w:r>
              <w:rPr>
                <w:rFonts w:ascii="Calibri" w:hAnsi="Calibri" w:eastAsia="Microsoft YaHei"/>
                <w:color w:val="0B2545"/>
                <w:sz w:val="14"/>
              </w:rPr>
              <w:t>Diag2Diag 多模态诊断超分辨与代理观测</w:t>
            </w:r>
          </w:p>
        </w:tc>
        <w:tc>
          <w:tcPr>
            <w:tcW w:type="dxa" w:w="800"/>
            <w:tcMar>
              <w:top w:w="45" w:type="dxa"/>
              <w:bottom w:w="45" w:type="dxa"/>
              <w:start w:w="100" w:type="dxa"/>
              <w:end w:w="100" w:type="dxa"/>
            </w:tcMar>
          </w:tcPr>
          <w:p>
            <w:pPr>
              <w:keepLines/>
              <w:spacing w:after="0" w:line="252" w:lineRule="auto"/>
            </w:pPr>
            <w:r>
              <w:rPr>
                <w:rFonts w:ascii="Calibri" w:hAnsi="Calibri" w:eastAsia="Microsoft YaHei"/>
                <w:color w:val="0B2545"/>
                <w:sz w:val="14"/>
              </w:rPr>
              <w:t>E3</w:t>
            </w:r>
          </w:p>
        </w:tc>
        <w:tc>
          <w:tcPr>
            <w:tcW w:type="dxa" w:w="2900"/>
            <w:tcMar>
              <w:top w:w="45" w:type="dxa"/>
              <w:bottom w:w="45" w:type="dxa"/>
              <w:start w:w="100" w:type="dxa"/>
              <w:end w:w="100" w:type="dxa"/>
            </w:tcMar>
          </w:tcPr>
          <w:p>
            <w:pPr>
              <w:keepLines/>
              <w:spacing w:after="0" w:line="252" w:lineRule="auto"/>
            </w:pPr>
            <w:r>
              <w:rPr>
                <w:rFonts w:ascii="Calibri" w:hAnsi="Calibri" w:eastAsia="Microsoft YaHei"/>
                <w:color w:val="0B2545"/>
                <w:sz w:val="14"/>
              </w:rPr>
              <w:t>DIII-D</w:t>
            </w:r>
          </w:p>
        </w:tc>
      </w:tr>
      <w:tr>
        <w:trPr>
          <w:cantSplit/>
        </w:trPr>
        <w:tc>
          <w:tcPr>
            <w:tcW w:type="dxa" w:w="1000"/>
            <w:tcMar>
              <w:top w:w="45" w:type="dxa"/>
              <w:bottom w:w="45" w:type="dxa"/>
              <w:start w:w="100" w:type="dxa"/>
              <w:end w:w="100" w:type="dxa"/>
            </w:tcMar>
          </w:tcPr>
          <w:p>
            <w:pPr>
              <w:keepLines/>
              <w:spacing w:after="0" w:line="252" w:lineRule="auto"/>
            </w:pPr>
            <w:r>
              <w:rPr>
                <w:rFonts w:ascii="Calibri" w:hAnsi="Calibri" w:eastAsia="Microsoft YaHei"/>
                <w:color w:val="0B2545"/>
                <w:sz w:val="14"/>
              </w:rPr>
              <w:t>DSI-032</w:t>
            </w:r>
          </w:p>
        </w:tc>
        <w:tc>
          <w:tcPr>
            <w:tcW w:type="dxa" w:w="900"/>
            <w:tcMar>
              <w:top w:w="45" w:type="dxa"/>
              <w:bottom w:w="45" w:type="dxa"/>
              <w:start w:w="100" w:type="dxa"/>
              <w:end w:w="100" w:type="dxa"/>
            </w:tcMar>
          </w:tcPr>
          <w:p>
            <w:pPr>
              <w:keepLines/>
              <w:spacing w:after="0" w:line="252" w:lineRule="auto"/>
            </w:pPr>
            <w:r>
              <w:rPr>
                <w:rFonts w:ascii="Calibri" w:hAnsi="Calibri" w:eastAsia="Microsoft YaHei"/>
                <w:color w:val="0B2545"/>
                <w:sz w:val="14"/>
              </w:rPr>
              <w:t>DG11</w:t>
            </w:r>
          </w:p>
        </w:tc>
        <w:tc>
          <w:tcPr>
            <w:tcW w:type="dxa" w:w="3760"/>
            <w:tcMar>
              <w:top w:w="45" w:type="dxa"/>
              <w:bottom w:w="45" w:type="dxa"/>
              <w:start w:w="100" w:type="dxa"/>
              <w:end w:w="100" w:type="dxa"/>
            </w:tcMar>
          </w:tcPr>
          <w:p>
            <w:pPr>
              <w:keepLines/>
              <w:spacing w:after="0" w:line="252" w:lineRule="auto"/>
            </w:pPr>
            <w:r>
              <w:rPr>
                <w:rFonts w:ascii="Calibri" w:hAnsi="Calibri" w:eastAsia="Microsoft YaHei"/>
                <w:color w:val="0B2545"/>
                <w:sz w:val="14"/>
              </w:rPr>
              <w:t>FRNN 跨装置破裂风险预测</w:t>
            </w:r>
          </w:p>
        </w:tc>
        <w:tc>
          <w:tcPr>
            <w:tcW w:type="dxa" w:w="800"/>
            <w:tcMar>
              <w:top w:w="45" w:type="dxa"/>
              <w:bottom w:w="45" w:type="dxa"/>
              <w:start w:w="100" w:type="dxa"/>
              <w:end w:w="100" w:type="dxa"/>
            </w:tcMar>
          </w:tcPr>
          <w:p>
            <w:pPr>
              <w:keepLines/>
              <w:spacing w:after="0" w:line="252" w:lineRule="auto"/>
            </w:pPr>
            <w:r>
              <w:rPr>
                <w:rFonts w:ascii="Calibri" w:hAnsi="Calibri" w:eastAsia="Microsoft YaHei"/>
                <w:color w:val="0B2545"/>
                <w:sz w:val="14"/>
              </w:rPr>
              <w:t>E3</w:t>
            </w:r>
          </w:p>
        </w:tc>
        <w:tc>
          <w:tcPr>
            <w:tcW w:type="dxa" w:w="2900"/>
            <w:tcMar>
              <w:top w:w="45" w:type="dxa"/>
              <w:bottom w:w="45" w:type="dxa"/>
              <w:start w:w="100" w:type="dxa"/>
              <w:end w:w="100" w:type="dxa"/>
            </w:tcMar>
          </w:tcPr>
          <w:p>
            <w:pPr>
              <w:keepLines/>
              <w:spacing w:after="0" w:line="252" w:lineRule="auto"/>
            </w:pPr>
            <w:r>
              <w:rPr>
                <w:rFonts w:ascii="Calibri" w:hAnsi="Calibri" w:eastAsia="Microsoft YaHei"/>
                <w:color w:val="0B2545"/>
                <w:sz w:val="14"/>
              </w:rPr>
              <w:t>DIII-D；JET</w:t>
            </w:r>
          </w:p>
        </w:tc>
      </w:tr>
      <w:tr>
        <w:trPr>
          <w:cantSplit/>
        </w:trPr>
        <w:tc>
          <w:tcPr>
            <w:tcW w:type="dxa" w:w="1000"/>
            <w:tcMar>
              <w:top w:w="45" w:type="dxa"/>
              <w:bottom w:w="45" w:type="dxa"/>
              <w:start w:w="100" w:type="dxa"/>
              <w:end w:w="100" w:type="dxa"/>
            </w:tcMar>
          </w:tcPr>
          <w:p>
            <w:pPr>
              <w:keepLines/>
              <w:spacing w:after="0" w:line="252" w:lineRule="auto"/>
            </w:pPr>
            <w:r>
              <w:rPr>
                <w:rFonts w:ascii="Calibri" w:hAnsi="Calibri" w:eastAsia="Microsoft YaHei"/>
                <w:color w:val="0B2545"/>
                <w:sz w:val="14"/>
              </w:rPr>
              <w:t>DSI-033</w:t>
            </w:r>
          </w:p>
        </w:tc>
        <w:tc>
          <w:tcPr>
            <w:tcW w:type="dxa" w:w="900"/>
            <w:tcMar>
              <w:top w:w="45" w:type="dxa"/>
              <w:bottom w:w="45" w:type="dxa"/>
              <w:start w:w="100" w:type="dxa"/>
              <w:end w:w="100" w:type="dxa"/>
            </w:tcMar>
          </w:tcPr>
          <w:p>
            <w:pPr>
              <w:keepLines/>
              <w:spacing w:after="0" w:line="252" w:lineRule="auto"/>
            </w:pPr>
            <w:r>
              <w:rPr>
                <w:rFonts w:ascii="Calibri" w:hAnsi="Calibri" w:eastAsia="Microsoft YaHei"/>
                <w:color w:val="0B2545"/>
                <w:sz w:val="14"/>
              </w:rPr>
              <w:t>DG11</w:t>
            </w:r>
          </w:p>
        </w:tc>
        <w:tc>
          <w:tcPr>
            <w:tcW w:type="dxa" w:w="3760"/>
            <w:tcMar>
              <w:top w:w="45" w:type="dxa"/>
              <w:bottom w:w="45" w:type="dxa"/>
              <w:start w:w="100" w:type="dxa"/>
              <w:end w:w="100" w:type="dxa"/>
            </w:tcMar>
          </w:tcPr>
          <w:p>
            <w:pPr>
              <w:keepLines/>
              <w:spacing w:after="0" w:line="252" w:lineRule="auto"/>
            </w:pPr>
            <w:r>
              <w:rPr>
                <w:rFonts w:ascii="Calibri" w:hAnsi="Calibri" w:eastAsia="Microsoft YaHei"/>
                <w:color w:val="0B2545"/>
                <w:sz w:val="14"/>
              </w:rPr>
              <w:t>DisruptionPy 多装置破裂特征提取与基准数据流水线</w:t>
            </w:r>
          </w:p>
        </w:tc>
        <w:tc>
          <w:tcPr>
            <w:tcW w:type="dxa" w:w="800"/>
            <w:tcMar>
              <w:top w:w="45" w:type="dxa"/>
              <w:bottom w:w="45" w:type="dxa"/>
              <w:start w:w="100" w:type="dxa"/>
              <w:end w:w="100" w:type="dxa"/>
            </w:tcMar>
          </w:tcPr>
          <w:p>
            <w:pPr>
              <w:keepLines/>
              <w:spacing w:after="0" w:line="252" w:lineRule="auto"/>
            </w:pPr>
            <w:r>
              <w:rPr>
                <w:rFonts w:ascii="Calibri" w:hAnsi="Calibri" w:eastAsia="Microsoft YaHei"/>
                <w:color w:val="0B2545"/>
                <w:sz w:val="14"/>
              </w:rPr>
              <w:t>E3</w:t>
            </w:r>
          </w:p>
        </w:tc>
        <w:tc>
          <w:tcPr>
            <w:tcW w:type="dxa" w:w="2900"/>
            <w:tcMar>
              <w:top w:w="45" w:type="dxa"/>
              <w:bottom w:w="45" w:type="dxa"/>
              <w:start w:w="100" w:type="dxa"/>
              <w:end w:w="100" w:type="dxa"/>
            </w:tcMar>
          </w:tcPr>
          <w:p>
            <w:pPr>
              <w:keepLines/>
              <w:spacing w:after="0" w:line="252" w:lineRule="auto"/>
            </w:pPr>
            <w:r>
              <w:rPr>
                <w:rFonts w:ascii="Calibri" w:hAnsi="Calibri" w:eastAsia="Microsoft YaHei"/>
                <w:color w:val="0B2545"/>
                <w:sz w:val="14"/>
              </w:rPr>
              <w:t>Alcator C-Mod；DIII-D；EAST；HBT-EP；MAST</w:t>
            </w:r>
          </w:p>
        </w:tc>
      </w:tr>
    </w:tbl>
    <w:p>
      <w:pPr>
        <w:keepNext/>
        <w:pageBreakBefore/>
        <w:spacing w:before="0" w:after="100"/>
      </w:pPr>
      <w:r>
        <w:rPr>
          <w:rFonts w:ascii="Calibri" w:hAnsi="Calibri" w:eastAsia="Microsoft YaHei"/>
          <w:b/>
          <w:caps/>
          <w:color w:val="008C95"/>
          <w:sz w:val="17"/>
        </w:rPr>
        <w:t>12 / DG7 / EDGE, SOL, DIVERTOR &amp; PLASMA-FACING COMPONENTS</w:t>
      </w:r>
    </w:p>
    <w:p>
      <w:pPr>
        <w:pStyle w:val="Heading1"/>
      </w:pPr>
      <w:r>
        <w:t>边界、SOL、偏滤器与等离子体面对部件</w:t>
      </w:r>
    </w:p>
    <w:tbl>
      <w:tblPr>
        <w:tblStyle w:val="TableGrid"/>
        <w:tblW w:type="dxa" w:w="9360"/>
        <w:jc w:val="left"/>
        <w:tblLayout w:type="fixed"/>
        <w:tblLook w:firstColumn="1" w:firstRow="1" w:lastColumn="0" w:lastRow="0" w:noHBand="0" w:noVBand="1" w:val="04A0"/>
        <w:tblInd w:w="120" w:type="dxa"/>
      </w:tblPr>
      <w:tblGrid>
        <w:gridCol w:w="9360"/>
      </w:tblGrid>
      <w:tr>
        <w:trPr>
          <w:cantSplit/>
        </w:trPr>
        <w:tc>
          <w:tcPr>
            <w:tcW w:type="dxa" w:w="9360"/>
            <w:tcMar>
              <w:top w:w="80" w:type="dxa"/>
              <w:bottom w:w="80" w:type="dxa"/>
              <w:start w:w="120" w:type="dxa"/>
              <w:end w:w="120" w:type="dxa"/>
            </w:tcMar>
            <w:vAlign w:val="center"/>
            <w:shd w:fill="F2F4F7"/>
          </w:tcPr>
          <w:p>
            <w:pPr>
              <w:keepNext/>
              <w:keepLines/>
              <w:spacing w:after="40"/>
            </w:pPr>
            <w:r>
              <w:rPr>
                <w:rFonts w:ascii="Calibri" w:hAnsi="Calibri" w:eastAsia="Microsoft YaHei"/>
                <w:b/>
                <w:color w:val="008C95"/>
                <w:sz w:val="17"/>
              </w:rPr>
              <w:t>CHAPTER SCOPE</w:t>
            </w:r>
          </w:p>
          <w:p>
            <w:pPr>
              <w:spacing w:after="0"/>
            </w:pPr>
            <w:r>
              <w:rPr>
                <w:rFonts w:ascii="Calibri" w:hAnsi="Calibri" w:eastAsia="Microsoft YaHei"/>
                <w:color w:val="0B2545"/>
                <w:sz w:val="20"/>
              </w:rPr>
              <w:t>本章全文展开 7 项主工作，并列出 21 项跨域关联工作。关联工作只在其主任务章节全文展开，避免重复计数。</w:t>
            </w:r>
          </w:p>
        </w:tc>
      </w:tr>
    </w:tbl>
    <w:p>
      <w:pPr>
        <w:spacing w:after="40"/>
      </w:pPr>
    </w:p>
    <w:p>
      <w:pPr>
        <w:pStyle w:val="Heading3"/>
        <w:keepNext/>
      </w:pPr>
      <w:r>
        <w:t>DG7.01  固定/往复式朗缪尔探针：SOL与偏滤器局部参数</w:t>
      </w:r>
    </w:p>
    <w:p>
      <w:pPr>
        <w:keepNext/>
        <w:spacing w:after="80"/>
      </w:pPr>
      <w:r>
        <w:rPr>
          <w:rFonts w:ascii="Calibri" w:hAnsi="Calibri" w:eastAsia="Microsoft YaHei"/>
          <w:i/>
          <w:color w:val="566573"/>
          <w:sz w:val="18"/>
        </w:rPr>
        <w:t>Fixed and reciprocating Langmuir probes for SOL and divertor parameters</w:t>
      </w:r>
    </w:p>
    <w:tbl>
      <w:tblPr>
        <w:tblStyle w:val="TableGrid"/>
        <w:tblW w:type="dxa" w:w="9360"/>
        <w:jc w:val="left"/>
        <w:tblLayout w:type="fixed"/>
        <w:tblLook w:firstColumn="1" w:firstRow="1" w:lastColumn="0" w:lastRow="0" w:noHBand="0" w:noVBand="1" w:val="04A0"/>
        <w:tblInd w:w="120" w:type="dxa"/>
      </w:tblPr>
      <w:tblGrid>
        <w:gridCol w:w="1200"/>
        <w:gridCol w:w="750"/>
        <w:gridCol w:w="750"/>
        <w:gridCol w:w="2100"/>
        <w:gridCol w:w="4560"/>
      </w:tblGrid>
      <w:tr>
        <w:trPr>
          <w:tblHeader w:val="true"/>
        </w:trPr>
        <w:tc>
          <w:tcPr>
            <w:tcW w:type="dxa" w:w="12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工作 ID</w:t>
            </w:r>
          </w:p>
        </w:tc>
        <w:tc>
          <w:tcPr>
            <w:tcW w:type="dxa" w:w="7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证据</w:t>
            </w:r>
          </w:p>
        </w:tc>
        <w:tc>
          <w:tcPr>
            <w:tcW w:type="dxa" w:w="7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部署</w:t>
            </w:r>
          </w:p>
        </w:tc>
        <w:tc>
          <w:tcPr>
            <w:tcW w:type="dxa" w:w="21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技术族</w:t>
            </w:r>
          </w:p>
        </w:tc>
        <w:tc>
          <w:tcPr>
            <w:tcW w:type="dxa" w:w="456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装置</w:t>
            </w:r>
          </w:p>
        </w:tc>
      </w:tr>
      <w:tr>
        <w:trPr>
          <w:cantSplit/>
        </w:trPr>
        <w:tc>
          <w:tcPr>
            <w:tcW w:type="dxa" w:w="1200"/>
          </w:tcPr>
          <w:p>
            <w:pPr>
              <w:keepLines/>
              <w:spacing w:after="0" w:line="276" w:lineRule="auto"/>
            </w:pPr>
            <w:r>
              <w:rPr>
                <w:rFonts w:ascii="Calibri" w:hAnsi="Calibri" w:eastAsia="Microsoft YaHei"/>
                <w:color w:val="0B2545"/>
                <w:sz w:val="15"/>
              </w:rPr>
              <w:t>DG7-036</w:t>
            </w:r>
          </w:p>
        </w:tc>
        <w:tc>
          <w:tcPr>
            <w:tcW w:type="dxa" w:w="750"/>
          </w:tcPr>
          <w:p>
            <w:pPr>
              <w:keepLines/>
              <w:spacing w:after="0" w:line="276" w:lineRule="auto"/>
            </w:pPr>
            <w:r>
              <w:rPr>
                <w:rFonts w:ascii="Calibri" w:hAnsi="Calibri" w:eastAsia="Microsoft YaHei"/>
                <w:color w:val="0B2545"/>
                <w:sz w:val="15"/>
              </w:rPr>
              <w:t>E4</w:t>
            </w:r>
          </w:p>
        </w:tc>
        <w:tc>
          <w:tcPr>
            <w:tcW w:type="dxa" w:w="750"/>
          </w:tcPr>
          <w:p>
            <w:pPr>
              <w:keepLines/>
              <w:spacing w:after="0" w:line="276" w:lineRule="auto"/>
            </w:pPr>
            <w:r>
              <w:rPr>
                <w:rFonts w:ascii="Calibri" w:hAnsi="Calibri" w:eastAsia="Microsoft YaHei"/>
                <w:color w:val="0B2545"/>
                <w:sz w:val="15"/>
              </w:rPr>
              <w:t>D4</w:t>
            </w:r>
          </w:p>
        </w:tc>
        <w:tc>
          <w:tcPr>
            <w:tcW w:type="dxa" w:w="2100"/>
          </w:tcPr>
          <w:p>
            <w:pPr>
              <w:keepLines/>
              <w:spacing w:after="0" w:line="276" w:lineRule="auto"/>
            </w:pPr>
            <w:r>
              <w:rPr>
                <w:rFonts w:ascii="Calibri" w:hAnsi="Calibri" w:eastAsia="Microsoft YaHei"/>
                <w:color w:val="0B2545"/>
                <w:sz w:val="15"/>
              </w:rPr>
              <w:t>PROBE_SAMPLING</w:t>
            </w:r>
          </w:p>
        </w:tc>
        <w:tc>
          <w:tcPr>
            <w:tcW w:type="dxa" w:w="4560"/>
          </w:tcPr>
          <w:p>
            <w:pPr>
              <w:keepLines/>
              <w:spacing w:after="0" w:line="276" w:lineRule="auto"/>
            </w:pPr>
            <w:r>
              <w:rPr>
                <w:rFonts w:ascii="Calibri" w:hAnsi="Calibri" w:eastAsia="Microsoft YaHei"/>
                <w:color w:val="0B2545"/>
                <w:sz w:val="15"/>
              </w:rPr>
              <w:t>EAST；DIII-D；ASDEX Upgrade；MAST-U</w:t>
            </w:r>
          </w:p>
        </w:tc>
      </w:tr>
    </w:tbl>
    <w:p>
      <w:pPr>
        <w:spacing w:before="0" w:after="60"/>
      </w:pPr>
    </w:p>
    <w:p>
      <w:pPr>
        <w:widowControl/>
      </w:pPr>
      <w:r>
        <w:rPr>
          <w:rFonts w:ascii="Calibri" w:hAnsi="Calibri" w:eastAsia="Microsoft YaHei"/>
          <w:b/>
          <w:color w:val="1F4D78"/>
        </w:rPr>
        <w:t>解决问题：</w:t>
      </w:r>
      <w:r>
        <w:rPr>
          <w:rFonts w:ascii="Calibri" w:hAnsi="Calibri" w:eastAsia="Microsoft YaHei"/>
        </w:rPr>
        <w:t>局部测量边界等离子体密度、电子温度、浮动电势、粒子通量和涨落。</w:t>
      </w:r>
    </w:p>
    <w:p>
      <w:pPr>
        <w:widowControl/>
      </w:pPr>
      <w:r>
        <w:rPr>
          <w:rFonts w:ascii="Calibri" w:hAnsi="Calibri" w:eastAsia="Microsoft YaHei"/>
          <w:b/>
          <w:color w:val="1F4D78"/>
        </w:rPr>
        <w:t>测量原理：</w:t>
      </w:r>
      <w:r>
        <w:rPr>
          <w:rFonts w:ascii="Calibri" w:hAnsi="Calibri" w:eastAsia="Microsoft YaHei"/>
        </w:rPr>
        <w:t>I–V扫描或三探针模型由电子/离子收集电流推断Te、ne、Vf和离子饱和电流。</w:t>
      </w:r>
    </w:p>
    <w:p>
      <w:pPr>
        <w:widowControl/>
      </w:pPr>
      <w:r>
        <w:rPr>
          <w:rFonts w:ascii="Calibri" w:hAnsi="Calibri" w:eastAsia="Microsoft YaHei"/>
          <w:b/>
          <w:color w:val="1F4D78"/>
        </w:rPr>
        <w:t>测量产品：</w:t>
      </w:r>
      <w:r>
        <w:rPr>
          <w:rFonts w:ascii="Calibri" w:hAnsi="Calibri" w:eastAsia="Microsoft YaHei"/>
        </w:rPr>
        <w:t>Te；ne；floating/plasma potential；ion saturation current；particle flux</w:t>
      </w:r>
    </w:p>
    <w:p>
      <w:pPr>
        <w:widowControl/>
      </w:pPr>
      <w:r>
        <w:rPr>
          <w:rFonts w:ascii="Calibri" w:hAnsi="Calibri" w:eastAsia="Microsoft YaHei"/>
          <w:b/>
          <w:color w:val="1F4D78"/>
        </w:rPr>
        <w:t>时空分辨与覆盖：</w:t>
      </w:r>
      <w:r>
        <w:rPr>
          <w:rFonts w:ascii="Calibri" w:hAnsi="Calibri" w:eastAsia="Microsoft YaHei"/>
        </w:rPr>
        <w:t>时间：因装置、采集和分析链而异；原始来源未给出统一数值。；空间：由视线、几何和反演设定；原始来源未给出统一数值。</w:t>
      </w:r>
    </w:p>
    <w:p>
      <w:pPr>
        <w:widowControl/>
      </w:pPr>
      <w:r>
        <w:rPr>
          <w:rFonts w:ascii="Calibri" w:hAnsi="Calibri" w:eastAsia="Microsoft YaHei"/>
          <w:b/>
          <w:color w:val="1F4D78"/>
        </w:rPr>
        <w:t>仪器与传感器：</w:t>
      </w:r>
      <w:r>
        <w:rPr>
          <w:rFonts w:ascii="Calibri" w:hAnsi="Calibri" w:eastAsia="Microsoft YaHei"/>
        </w:rPr>
        <w:t>flush-mounted probes；reciprocating probe head；bias supplies；fast current-voltage electronics</w:t>
      </w:r>
    </w:p>
    <w:p>
      <w:pPr>
        <w:widowControl/>
      </w:pPr>
      <w:r>
        <w:rPr>
          <w:rFonts w:ascii="Calibri" w:hAnsi="Calibri" w:eastAsia="Microsoft YaHei"/>
          <w:b/>
          <w:color w:val="1F4D78"/>
        </w:rPr>
        <w:t>标定与质量：</w:t>
      </w:r>
      <w:r>
        <w:rPr>
          <w:rFonts w:ascii="Calibri" w:hAnsi="Calibri" w:eastAsia="Microsoft YaHei"/>
        </w:rPr>
        <w:t>标定电阻/电压/面积与电子学频响；用鞘层模型、探针温度和磁入射角修正。</w:t>
      </w:r>
    </w:p>
    <w:p>
      <w:pPr>
        <w:widowControl/>
      </w:pPr>
      <w:r>
        <w:rPr>
          <w:rFonts w:ascii="Calibri" w:hAnsi="Calibri" w:eastAsia="Microsoft YaHei"/>
          <w:b/>
          <w:color w:val="1F4D78"/>
        </w:rPr>
        <w:t>反演与分析：</w:t>
      </w:r>
      <w:r>
        <w:rPr>
          <w:rFonts w:ascii="Calibri" w:hAnsi="Calibri" w:eastAsia="Microsoft YaHei"/>
        </w:rPr>
        <w:t>I–V拟合或快速三探针解算，坏扫/电弧门控；阵列给靶板剖面和涨落统计。</w:t>
      </w:r>
    </w:p>
    <w:p>
      <w:pPr>
        <w:widowControl/>
      </w:pPr>
      <w:r>
        <w:rPr>
          <w:rFonts w:ascii="Calibri" w:hAnsi="Calibri" w:eastAsia="Microsoft YaHei"/>
          <w:b/>
          <w:color w:val="1F4D78"/>
        </w:rPr>
        <w:t>验证与应用：</w:t>
      </w:r>
      <w:r>
        <w:rPr>
          <w:rFonts w:ascii="Calibri" w:hAnsi="Calibri" w:eastAsia="Microsoft YaHei"/>
        </w:rPr>
        <w:t>以重复扫描、探针阵列一致性及与偏滤器TS/光谱/热流比对；EAST钨偏滤器有装置验证。</w:t>
      </w:r>
    </w:p>
    <w:p>
      <w:pPr>
        <w:widowControl/>
      </w:pPr>
      <w:r>
        <w:rPr>
          <w:rFonts w:ascii="Calibri" w:hAnsi="Calibri" w:eastAsia="Microsoft YaHei"/>
          <w:b/>
          <w:color w:val="1F4D78"/>
        </w:rPr>
        <w:t>局限与边界：</w:t>
      </w:r>
      <w:r>
        <w:rPr>
          <w:rFonts w:ascii="Calibri" w:hAnsi="Calibri" w:eastAsia="Microsoft YaHei"/>
        </w:rPr>
        <w:t>侵入、易烧蚀；鞘模型、二次电子、强磁倾角和非Maxwell分布造成偏差。</w:t>
      </w:r>
    </w:p>
    <w:tbl>
      <w:tblPr>
        <w:tblStyle w:val="TableGrid"/>
        <w:tblW w:type="dxa" w:w="9360"/>
        <w:jc w:val="left"/>
        <w:tblLayout w:type="fixed"/>
        <w:tblLook w:firstColumn="1" w:firstRow="1" w:lastColumn="0" w:lastRow="0" w:noHBand="0" w:noVBand="1" w:val="04A0"/>
        <w:tblInd w:w="120" w:type="dxa"/>
      </w:tblPr>
      <w:tblGrid>
        <w:gridCol w:w="9360"/>
      </w:tblGrid>
      <w:tr>
        <w:trPr>
          <w:cantSplit/>
        </w:trPr>
        <w:tc>
          <w:tcPr>
            <w:tcW w:type="dxa" w:w="9360"/>
            <w:tcMar>
              <w:top w:w="80" w:type="dxa"/>
              <w:bottom w:w="80" w:type="dxa"/>
              <w:start w:w="120" w:type="dxa"/>
              <w:end w:w="120" w:type="dxa"/>
            </w:tcMar>
            <w:vAlign w:val="center"/>
            <w:shd w:fill="EEF7F7"/>
          </w:tcPr>
          <w:p>
            <w:pPr>
              <w:keepNext/>
              <w:keepLines/>
              <w:spacing w:after="40"/>
            </w:pPr>
            <w:r>
              <w:rPr>
                <w:rFonts w:ascii="Calibri" w:hAnsi="Calibri" w:eastAsia="Microsoft YaHei"/>
                <w:b/>
                <w:color w:val="008C95"/>
                <w:sz w:val="17"/>
              </w:rPr>
              <w:t>DIGITAL-TWIN RELEVANCE</w:t>
            </w:r>
          </w:p>
          <w:p>
            <w:pPr>
              <w:spacing w:after="0"/>
            </w:pPr>
            <w:r>
              <w:rPr>
                <w:rFonts w:ascii="Calibri" w:hAnsi="Calibri" w:eastAsia="Microsoft YaHei"/>
                <w:color w:val="0B2545"/>
                <w:sz w:val="20"/>
              </w:rPr>
              <w:t>边界孪生局部锚点；需同时记录表面状态、偏压波形和鞘模型版本。</w:t>
            </w:r>
          </w:p>
        </w:tc>
      </w:tr>
    </w:tbl>
    <w:p>
      <w:pPr>
        <w:spacing w:after="40"/>
      </w:pPr>
    </w:p>
    <w:tbl>
      <w:tblPr>
        <w:tblStyle w:val="TableGrid"/>
        <w:tblW w:type="dxa" w:w="9360"/>
        <w:jc w:val="left"/>
        <w:tblLayout w:type="fixed"/>
        <w:tblLook w:firstColumn="1" w:firstRow="1" w:lastColumn="0" w:lastRow="0" w:noHBand="0" w:noVBand="1" w:val="04A0"/>
        <w:tblInd w:w="120" w:type="dxa"/>
      </w:tblPr>
      <w:tblGrid>
        <w:gridCol w:w="850"/>
        <w:gridCol w:w="2500"/>
        <w:gridCol w:w="1600"/>
        <w:gridCol w:w="2300"/>
        <w:gridCol w:w="2110"/>
      </w:tblGrid>
      <w:tr>
        <w:trPr>
          <w:tblHeader w:val="true"/>
        </w:trPr>
        <w:tc>
          <w:tcPr>
            <w:tcW w:type="dxa" w:w="8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年份/类型</w:t>
            </w:r>
          </w:p>
        </w:tc>
        <w:tc>
          <w:tcPr>
            <w:tcW w:type="dxa" w:w="25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论文或软件</w:t>
            </w:r>
          </w:p>
        </w:tc>
        <w:tc>
          <w:tcPr>
            <w:tcW w:type="dxa" w:w="16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期刊/开放性</w:t>
            </w:r>
          </w:p>
        </w:tc>
        <w:tc>
          <w:tcPr>
            <w:tcW w:type="dxa" w:w="23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来源类型/关系</w:t>
            </w:r>
          </w:p>
        </w:tc>
        <w:tc>
          <w:tcPr>
            <w:tcW w:type="dxa" w:w="211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链接</w:t>
            </w:r>
          </w:p>
        </w:tc>
      </w:tr>
      <w:tr>
        <w:trPr>
          <w:cantSplit/>
        </w:trPr>
        <w:tc>
          <w:tcPr>
            <w:tcW w:type="dxa" w:w="850"/>
          </w:tcPr>
          <w:p>
            <w:pPr>
              <w:keepLines/>
              <w:spacing w:after="0" w:line="276" w:lineRule="auto"/>
            </w:pPr>
            <w:r>
              <w:rPr>
                <w:rFonts w:ascii="Calibri" w:hAnsi="Calibri" w:eastAsia="Microsoft YaHei"/>
                <w:color w:val="0B2545"/>
                <w:sz w:val="14"/>
              </w:rPr>
              <w:t>2022</w:t>
            </w:r>
          </w:p>
        </w:tc>
        <w:tc>
          <w:tcPr>
            <w:tcW w:type="dxa" w:w="2500"/>
          </w:tcPr>
          <w:p>
            <w:pPr>
              <w:keepLines/>
              <w:spacing w:after="0" w:line="276" w:lineRule="auto"/>
            </w:pPr>
            <w:r>
              <w:rPr>
                <w:rFonts w:ascii="Calibri" w:hAnsi="Calibri" w:eastAsia="Microsoft YaHei"/>
                <w:color w:val="0B2545"/>
                <w:sz w:val="14"/>
              </w:rPr>
              <w:t>Development of Langmuir probe array for the new lower tungsten divertor in EAST</w:t>
            </w:r>
          </w:p>
        </w:tc>
        <w:tc>
          <w:tcPr>
            <w:tcW w:type="dxa" w:w="1600"/>
          </w:tcPr>
          <w:p>
            <w:pPr>
              <w:keepLines/>
              <w:spacing w:after="0" w:line="276" w:lineRule="auto"/>
            </w:pPr>
            <w:r>
              <w:rPr>
                <w:rFonts w:ascii="Calibri" w:hAnsi="Calibri" w:eastAsia="Microsoft YaHei"/>
                <w:color w:val="0B2545"/>
                <w:sz w:val="14"/>
              </w:rPr>
              <w:t>Fusion Engineering and Design</w:t>
            </w:r>
          </w:p>
        </w:tc>
        <w:tc>
          <w:tcPr>
            <w:tcW w:type="dxa" w:w="2300"/>
          </w:tcPr>
          <w:p>
            <w:pPr>
              <w:keepLines/>
              <w:spacing w:after="0" w:line="276" w:lineRule="auto"/>
            </w:pPr>
            <w:r>
              <w:rPr>
                <w:rFonts w:ascii="Calibri" w:hAnsi="Calibri" w:eastAsia="Microsoft YaHei"/>
                <w:color w:val="0B2545"/>
                <w:sz w:val="14"/>
              </w:rPr>
              <w:t>peer-reviewed-journal</w:t>
            </w:r>
          </w:p>
        </w:tc>
        <w:tc>
          <w:tcPr>
            <w:tcW w:type="dxa" w:w="2110"/>
          </w:tcPr>
          <w:p>
            <w:pPr>
              <w:keepLines/>
              <w:spacing w:after="0" w:line="276" w:lineRule="auto"/>
            </w:pPr>
            <w:hyperlink r:id="rId113">
              <w:r>
                <w:rPr>
                  <w:rFonts w:ascii="Calibri" w:hAnsi="Calibri" w:eastAsia="Microsoft YaHei"/>
                  <w:color w:val="008C95"/>
                  <w:u w:val="single"/>
                </w:rPr>
                <w:t>打开原始来源 ↗</w:t>
              </w:r>
            </w:hyperlink>
          </w:p>
        </w:tc>
      </w:tr>
      <w:tr>
        <w:trPr>
          <w:cantSplit/>
        </w:trPr>
        <w:tc>
          <w:tcPr>
            <w:tcW w:type="dxa" w:w="850"/>
          </w:tcPr>
          <w:p>
            <w:pPr>
              <w:keepLines/>
              <w:spacing w:after="0" w:line="276" w:lineRule="auto"/>
            </w:pPr>
            <w:r>
              <w:rPr>
                <w:rFonts w:ascii="Calibri" w:hAnsi="Calibri" w:eastAsia="Microsoft YaHei"/>
                <w:color w:val="0B2545"/>
                <w:sz w:val="14"/>
              </w:rPr>
              <w:t>软件</w:t>
            </w:r>
          </w:p>
        </w:tc>
        <w:tc>
          <w:tcPr>
            <w:tcW w:type="dxa" w:w="2500"/>
          </w:tcPr>
          <w:p>
            <w:pPr>
              <w:keepLines/>
              <w:spacing w:after="0" w:line="276" w:lineRule="auto"/>
            </w:pPr>
            <w:r>
              <w:rPr>
                <w:rFonts w:ascii="Calibri" w:hAnsi="Calibri" w:eastAsia="Microsoft YaHei"/>
                <w:color w:val="0B2545"/>
                <w:sz w:val="14"/>
              </w:rPr>
              <w:t>装置专有分析/标定软件</w:t>
            </w:r>
          </w:p>
        </w:tc>
        <w:tc>
          <w:tcPr>
            <w:tcW w:type="dxa" w:w="1600"/>
          </w:tcPr>
          <w:p>
            <w:pPr>
              <w:keepLines/>
              <w:spacing w:after="0" w:line="276" w:lineRule="auto"/>
            </w:pPr>
            <w:r>
              <w:rPr>
                <w:rFonts w:ascii="Calibri" w:hAnsi="Calibri" w:eastAsia="Microsoft YaHei"/>
                <w:color w:val="0B2545"/>
                <w:sz w:val="14"/>
              </w:rPr>
              <w:t>not-public</w:t>
            </w:r>
          </w:p>
        </w:tc>
        <w:tc>
          <w:tcPr>
            <w:tcW w:type="dxa" w:w="2300"/>
          </w:tcPr>
          <w:p>
            <w:pPr>
              <w:keepLines/>
              <w:spacing w:after="0" w:line="276" w:lineRule="auto"/>
            </w:pPr>
            <w:r>
              <w:rPr>
                <w:rFonts w:ascii="Calibri" w:hAnsi="Calibri" w:eastAsia="Microsoft YaHei"/>
                <w:color w:val="0B2545"/>
                <w:sz w:val="14"/>
              </w:rPr>
              <w:t>探针快速拟合、清洗和机器保护门控代码未公开。</w:t>
            </w:r>
          </w:p>
        </w:tc>
        <w:tc>
          <w:tcPr>
            <w:tcW w:type="dxa" w:w="2110"/>
          </w:tcPr>
          <w:p>
            <w:pPr>
              <w:keepLines/>
              <w:spacing w:after="0" w:line="276" w:lineRule="auto"/>
            </w:pPr>
            <w:r>
              <w:rPr>
                <w:rFonts w:ascii="Calibri" w:hAnsi="Calibri" w:eastAsia="Microsoft YaHei"/>
                <w:color w:val="0B2545"/>
                <w:sz w:val="14"/>
              </w:rPr>
              <w:t>未公开</w:t>
            </w:r>
          </w:p>
        </w:tc>
      </w:tr>
    </w:tbl>
    <w:p>
      <w:pPr>
        <w:spacing w:before="0" w:after="60"/>
      </w:pPr>
    </w:p>
    <w:p>
      <w:pPr>
        <w:pStyle w:val="Heading3"/>
        <w:keepNext/>
      </w:pPr>
      <w:r>
        <w:t>DG7.02  红外热成像：PFC表面温度与热流</w:t>
      </w:r>
    </w:p>
    <w:p>
      <w:pPr>
        <w:keepNext/>
        <w:spacing w:after="80"/>
      </w:pPr>
      <w:r>
        <w:rPr>
          <w:rFonts w:ascii="Calibri" w:hAnsi="Calibri" w:eastAsia="Microsoft YaHei"/>
          <w:i/>
          <w:color w:val="566573"/>
          <w:sz w:val="18"/>
        </w:rPr>
        <w:t>Infrared thermography for PFC temperature and heat flux</w:t>
      </w:r>
    </w:p>
    <w:tbl>
      <w:tblPr>
        <w:tblStyle w:val="TableGrid"/>
        <w:tblW w:type="dxa" w:w="9360"/>
        <w:jc w:val="left"/>
        <w:tblLayout w:type="fixed"/>
        <w:tblLook w:firstColumn="1" w:firstRow="1" w:lastColumn="0" w:lastRow="0" w:noHBand="0" w:noVBand="1" w:val="04A0"/>
        <w:tblInd w:w="120" w:type="dxa"/>
      </w:tblPr>
      <w:tblGrid>
        <w:gridCol w:w="1200"/>
        <w:gridCol w:w="750"/>
        <w:gridCol w:w="750"/>
        <w:gridCol w:w="2100"/>
        <w:gridCol w:w="4560"/>
      </w:tblGrid>
      <w:tr>
        <w:trPr>
          <w:tblHeader w:val="true"/>
        </w:trPr>
        <w:tc>
          <w:tcPr>
            <w:tcW w:type="dxa" w:w="12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工作 ID</w:t>
            </w:r>
          </w:p>
        </w:tc>
        <w:tc>
          <w:tcPr>
            <w:tcW w:type="dxa" w:w="7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证据</w:t>
            </w:r>
          </w:p>
        </w:tc>
        <w:tc>
          <w:tcPr>
            <w:tcW w:type="dxa" w:w="7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部署</w:t>
            </w:r>
          </w:p>
        </w:tc>
        <w:tc>
          <w:tcPr>
            <w:tcW w:type="dxa" w:w="21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技术族</w:t>
            </w:r>
          </w:p>
        </w:tc>
        <w:tc>
          <w:tcPr>
            <w:tcW w:type="dxa" w:w="456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装置</w:t>
            </w:r>
          </w:p>
        </w:tc>
      </w:tr>
      <w:tr>
        <w:trPr>
          <w:cantSplit/>
        </w:trPr>
        <w:tc>
          <w:tcPr>
            <w:tcW w:type="dxa" w:w="1200"/>
          </w:tcPr>
          <w:p>
            <w:pPr>
              <w:keepLines/>
              <w:spacing w:after="0" w:line="276" w:lineRule="auto"/>
            </w:pPr>
            <w:r>
              <w:rPr>
                <w:rFonts w:ascii="Calibri" w:hAnsi="Calibri" w:eastAsia="Microsoft YaHei"/>
                <w:color w:val="0B2545"/>
                <w:sz w:val="15"/>
              </w:rPr>
              <w:t>DG7-037</w:t>
            </w:r>
          </w:p>
        </w:tc>
        <w:tc>
          <w:tcPr>
            <w:tcW w:type="dxa" w:w="750"/>
          </w:tcPr>
          <w:p>
            <w:pPr>
              <w:keepLines/>
              <w:spacing w:after="0" w:line="276" w:lineRule="auto"/>
            </w:pPr>
            <w:r>
              <w:rPr>
                <w:rFonts w:ascii="Calibri" w:hAnsi="Calibri" w:eastAsia="Microsoft YaHei"/>
                <w:color w:val="0B2545"/>
                <w:sz w:val="15"/>
              </w:rPr>
              <w:t>E2</w:t>
            </w:r>
          </w:p>
        </w:tc>
        <w:tc>
          <w:tcPr>
            <w:tcW w:type="dxa" w:w="750"/>
          </w:tcPr>
          <w:p>
            <w:pPr>
              <w:keepLines/>
              <w:spacing w:after="0" w:line="276" w:lineRule="auto"/>
            </w:pPr>
            <w:r>
              <w:rPr>
                <w:rFonts w:ascii="Calibri" w:hAnsi="Calibri" w:eastAsia="Microsoft YaHei"/>
                <w:color w:val="0B2545"/>
                <w:sz w:val="15"/>
              </w:rPr>
              <w:t>D2</w:t>
            </w:r>
          </w:p>
        </w:tc>
        <w:tc>
          <w:tcPr>
            <w:tcW w:type="dxa" w:w="2100"/>
          </w:tcPr>
          <w:p>
            <w:pPr>
              <w:keepLines/>
              <w:spacing w:after="0" w:line="276" w:lineRule="auto"/>
            </w:pPr>
            <w:r>
              <w:rPr>
                <w:rFonts w:ascii="Calibri" w:hAnsi="Calibri" w:eastAsia="Microsoft YaHei"/>
                <w:color w:val="0B2545"/>
                <w:sz w:val="15"/>
              </w:rPr>
              <w:t>ENGINEERING_SENSOR</w:t>
            </w:r>
          </w:p>
        </w:tc>
        <w:tc>
          <w:tcPr>
            <w:tcW w:type="dxa" w:w="4560"/>
          </w:tcPr>
          <w:p>
            <w:pPr>
              <w:keepLines/>
              <w:spacing w:after="0" w:line="276" w:lineRule="auto"/>
            </w:pPr>
            <w:r>
              <w:rPr>
                <w:rFonts w:ascii="Calibri" w:hAnsi="Calibri" w:eastAsia="Microsoft YaHei"/>
                <w:color w:val="0B2545"/>
                <w:sz w:val="15"/>
              </w:rPr>
              <w:t>ITER；ASDEX Upgrade；JET；WEST；EAST</w:t>
            </w:r>
          </w:p>
        </w:tc>
      </w:tr>
    </w:tbl>
    <w:p>
      <w:pPr>
        <w:spacing w:before="0" w:after="60"/>
      </w:pPr>
    </w:p>
    <w:p>
      <w:pPr>
        <w:widowControl/>
      </w:pPr>
      <w:r>
        <w:rPr>
          <w:rFonts w:ascii="Calibri" w:hAnsi="Calibri" w:eastAsia="Microsoft YaHei"/>
          <w:b/>
          <w:color w:val="1F4D78"/>
        </w:rPr>
        <w:t>解决问题：</w:t>
      </w:r>
      <w:r>
        <w:rPr>
          <w:rFonts w:ascii="Calibri" w:hAnsi="Calibri" w:eastAsia="Microsoft YaHei"/>
        </w:rPr>
        <w:t>监测第一壁/偏滤器温度、热斑和热流，保护PFC并验证热负荷模型。</w:t>
      </w:r>
    </w:p>
    <w:p>
      <w:pPr>
        <w:widowControl/>
      </w:pPr>
      <w:r>
        <w:rPr>
          <w:rFonts w:ascii="Calibri" w:hAnsi="Calibri" w:eastAsia="Microsoft YaHei"/>
          <w:b/>
          <w:color w:val="1F4D78"/>
        </w:rPr>
        <w:t>测量原理：</w:t>
      </w:r>
      <w:r>
        <w:rPr>
          <w:rFonts w:ascii="Calibri" w:hAnsi="Calibri" w:eastAsia="Microsoft YaHei"/>
        </w:rPr>
        <w:t>红外辐亮度经发射率/反射修正得到表面温度；热传导反问题由温度电影求表面热流。</w:t>
      </w:r>
    </w:p>
    <w:p>
      <w:pPr>
        <w:widowControl/>
      </w:pPr>
      <w:r>
        <w:rPr>
          <w:rFonts w:ascii="Calibri" w:hAnsi="Calibri" w:eastAsia="Microsoft YaHei"/>
          <w:b/>
          <w:color w:val="1F4D78"/>
        </w:rPr>
        <w:t>测量产品：</w:t>
      </w:r>
      <w:r>
        <w:rPr>
          <w:rFonts w:ascii="Calibri" w:hAnsi="Calibri" w:eastAsia="Microsoft YaHei"/>
        </w:rPr>
        <w:t>surface temperature；heat-flux density；hot-spot location；deposited energy</w:t>
      </w:r>
    </w:p>
    <w:p>
      <w:pPr>
        <w:widowControl/>
      </w:pPr>
      <w:r>
        <w:rPr>
          <w:rFonts w:ascii="Calibri" w:hAnsi="Calibri" w:eastAsia="Microsoft YaHei"/>
          <w:b/>
          <w:color w:val="1F4D78"/>
        </w:rPr>
        <w:t>时空分辨与覆盖：</w:t>
      </w:r>
      <w:r>
        <w:rPr>
          <w:rFonts w:ascii="Calibri" w:hAnsi="Calibri" w:eastAsia="Microsoft YaHei"/>
        </w:rPr>
        <w:t>时间：因装置、采集和分析链而异；原始来源未给出统一数值。；空间：由视线、几何和反演设定；原始来源未给出统一数值。</w:t>
      </w:r>
    </w:p>
    <w:p>
      <w:pPr>
        <w:widowControl/>
      </w:pPr>
      <w:r>
        <w:rPr>
          <w:rFonts w:ascii="Calibri" w:hAnsi="Calibri" w:eastAsia="Microsoft YaHei"/>
          <w:b/>
          <w:color w:val="1F4D78"/>
        </w:rPr>
        <w:t>仪器与传感器：</w:t>
      </w:r>
      <w:r>
        <w:rPr>
          <w:rFonts w:ascii="Calibri" w:hAnsi="Calibri" w:eastAsia="Microsoft YaHei"/>
        </w:rPr>
        <w:t>IR cameras；endoscopes；mirrors；blackbody reference；timing system</w:t>
      </w:r>
    </w:p>
    <w:p>
      <w:pPr>
        <w:widowControl/>
      </w:pPr>
      <w:r>
        <w:rPr>
          <w:rFonts w:ascii="Calibri" w:hAnsi="Calibri" w:eastAsia="Microsoft YaHei"/>
          <w:b/>
          <w:color w:val="1F4D78"/>
        </w:rPr>
        <w:t>标定与质量：</w:t>
      </w:r>
      <w:r>
        <w:rPr>
          <w:rFonts w:ascii="Calibri" w:hAnsi="Calibri" w:eastAsia="Microsoft YaHei"/>
        </w:rPr>
        <w:t>黑体多温点标定相机；现场用已知温度/热源估计发射率、反射和光学透过率。</w:t>
      </w:r>
    </w:p>
    <w:p>
      <w:pPr>
        <w:widowControl/>
      </w:pPr>
      <w:r>
        <w:rPr>
          <w:rFonts w:ascii="Calibri" w:hAnsi="Calibri" w:eastAsia="Microsoft YaHei"/>
          <w:b/>
          <w:color w:val="1F4D78"/>
        </w:rPr>
        <w:t>反演与分析：</w:t>
      </w:r>
      <w:r>
        <w:rPr>
          <w:rFonts w:ascii="Calibri" w:hAnsi="Calibri" w:eastAsia="Microsoft YaHei"/>
        </w:rPr>
        <w:t>坏像素/非均匀修正后，结合材料多层热模型反演热流；实时算法识别热斑。</w:t>
      </w:r>
    </w:p>
    <w:p>
      <w:pPr>
        <w:widowControl/>
      </w:pPr>
      <w:r>
        <w:rPr>
          <w:rFonts w:ascii="Calibri" w:hAnsi="Calibri" w:eastAsia="Microsoft YaHei"/>
          <w:b/>
          <w:color w:val="1F4D78"/>
        </w:rPr>
        <w:t>验证与应用：</w:t>
      </w:r>
      <w:r>
        <w:rPr>
          <w:rFonts w:ascii="Calibri" w:hAnsi="Calibri" w:eastAsia="Microsoft YaHei"/>
        </w:rPr>
        <w:t>直接来源覆盖 ITER 偏滤器红外热成像的开发与成像诊断性能预测，属于设计/原型与测量性能评估，不是 ITER 例行运行。</w:t>
      </w:r>
    </w:p>
    <w:p>
      <w:pPr>
        <w:widowControl/>
      </w:pPr>
      <w:r>
        <w:rPr>
          <w:rFonts w:ascii="Calibri" w:hAnsi="Calibri" w:eastAsia="Microsoft YaHei"/>
          <w:b/>
          <w:color w:val="1F4D78"/>
        </w:rPr>
        <w:t>局限与边界：</w:t>
      </w:r>
      <w:r>
        <w:rPr>
          <w:rFonts w:ascii="Calibri" w:hAnsi="Calibri" w:eastAsia="Microsoft YaHei"/>
        </w:rPr>
        <w:t>发射率随表面/沉积改变，反射等离子体辐射；热反演病态且材料参数不确定。</w:t>
      </w:r>
    </w:p>
    <w:tbl>
      <w:tblPr>
        <w:tblStyle w:val="TableGrid"/>
        <w:tblW w:type="dxa" w:w="9360"/>
        <w:jc w:val="left"/>
        <w:tblLayout w:type="fixed"/>
        <w:tblLook w:firstColumn="1" w:firstRow="1" w:lastColumn="0" w:lastRow="0" w:noHBand="0" w:noVBand="1" w:val="04A0"/>
        <w:tblInd w:w="120" w:type="dxa"/>
      </w:tblPr>
      <w:tblGrid>
        <w:gridCol w:w="9360"/>
      </w:tblGrid>
      <w:tr>
        <w:trPr>
          <w:cantSplit/>
        </w:trPr>
        <w:tc>
          <w:tcPr>
            <w:tcW w:type="dxa" w:w="9360"/>
            <w:tcMar>
              <w:top w:w="80" w:type="dxa"/>
              <w:bottom w:w="80" w:type="dxa"/>
              <w:start w:w="120" w:type="dxa"/>
              <w:end w:w="120" w:type="dxa"/>
            </w:tcMar>
            <w:vAlign w:val="center"/>
            <w:shd w:fill="EEF7F7"/>
          </w:tcPr>
          <w:p>
            <w:pPr>
              <w:keepNext/>
              <w:keepLines/>
              <w:spacing w:after="40"/>
            </w:pPr>
            <w:r>
              <w:rPr>
                <w:rFonts w:ascii="Calibri" w:hAnsi="Calibri" w:eastAsia="Microsoft YaHei"/>
                <w:b/>
                <w:color w:val="008C95"/>
                <w:sz w:val="17"/>
              </w:rPr>
              <w:t>DIGITAL-TWIN RELEVANCE</w:t>
            </w:r>
          </w:p>
          <w:p>
            <w:pPr>
              <w:spacing w:after="0"/>
            </w:pPr>
            <w:r>
              <w:rPr>
                <w:rFonts w:ascii="Calibri" w:hAnsi="Calibri" w:eastAsia="Microsoft YaHei"/>
                <w:color w:val="0B2545"/>
                <w:sz w:val="20"/>
              </w:rPr>
              <w:t>是PFC热数字孪生核心；必须把发射率、表面状态、相机标定和热模型协方差联动。</w:t>
            </w:r>
          </w:p>
        </w:tc>
      </w:tr>
    </w:tbl>
    <w:p>
      <w:pPr>
        <w:spacing w:after="40"/>
      </w:pPr>
    </w:p>
    <w:tbl>
      <w:tblPr>
        <w:tblStyle w:val="TableGrid"/>
        <w:tblW w:type="dxa" w:w="9360"/>
        <w:jc w:val="left"/>
        <w:tblLayout w:type="fixed"/>
        <w:tblLook w:firstColumn="1" w:firstRow="1" w:lastColumn="0" w:lastRow="0" w:noHBand="0" w:noVBand="1" w:val="04A0"/>
        <w:tblInd w:w="120" w:type="dxa"/>
      </w:tblPr>
      <w:tblGrid>
        <w:gridCol w:w="850"/>
        <w:gridCol w:w="2500"/>
        <w:gridCol w:w="1600"/>
        <w:gridCol w:w="2300"/>
        <w:gridCol w:w="2110"/>
      </w:tblGrid>
      <w:tr>
        <w:trPr>
          <w:tblHeader w:val="true"/>
        </w:trPr>
        <w:tc>
          <w:tcPr>
            <w:tcW w:type="dxa" w:w="8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年份/类型</w:t>
            </w:r>
          </w:p>
        </w:tc>
        <w:tc>
          <w:tcPr>
            <w:tcW w:type="dxa" w:w="25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论文或软件</w:t>
            </w:r>
          </w:p>
        </w:tc>
        <w:tc>
          <w:tcPr>
            <w:tcW w:type="dxa" w:w="16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期刊/开放性</w:t>
            </w:r>
          </w:p>
        </w:tc>
        <w:tc>
          <w:tcPr>
            <w:tcW w:type="dxa" w:w="23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来源类型/关系</w:t>
            </w:r>
          </w:p>
        </w:tc>
        <w:tc>
          <w:tcPr>
            <w:tcW w:type="dxa" w:w="211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链接</w:t>
            </w:r>
          </w:p>
        </w:tc>
      </w:tr>
      <w:tr>
        <w:trPr>
          <w:cantSplit/>
        </w:trPr>
        <w:tc>
          <w:tcPr>
            <w:tcW w:type="dxa" w:w="850"/>
          </w:tcPr>
          <w:p>
            <w:pPr>
              <w:keepLines/>
              <w:spacing w:after="0" w:line="276" w:lineRule="auto"/>
            </w:pPr>
            <w:r>
              <w:rPr>
                <w:rFonts w:ascii="Calibri" w:hAnsi="Calibri" w:eastAsia="Microsoft YaHei"/>
                <w:color w:val="0B2545"/>
                <w:sz w:val="14"/>
              </w:rPr>
              <w:t>2013</w:t>
            </w:r>
          </w:p>
        </w:tc>
        <w:tc>
          <w:tcPr>
            <w:tcW w:type="dxa" w:w="2500"/>
          </w:tcPr>
          <w:p>
            <w:pPr>
              <w:keepLines/>
              <w:spacing w:after="0" w:line="276" w:lineRule="auto"/>
            </w:pPr>
            <w:r>
              <w:rPr>
                <w:rFonts w:ascii="Calibri" w:hAnsi="Calibri" w:eastAsia="Microsoft YaHei"/>
                <w:color w:val="0B2545"/>
                <w:sz w:val="14"/>
              </w:rPr>
              <w:t>Development of Divertor IR Thermography for ITER</w:t>
            </w:r>
          </w:p>
        </w:tc>
        <w:tc>
          <w:tcPr>
            <w:tcW w:type="dxa" w:w="1600"/>
          </w:tcPr>
          <w:p>
            <w:pPr>
              <w:keepLines/>
              <w:spacing w:after="0" w:line="276" w:lineRule="auto"/>
            </w:pPr>
            <w:r>
              <w:rPr>
                <w:rFonts w:ascii="Calibri" w:hAnsi="Calibri" w:eastAsia="Microsoft YaHei"/>
                <w:color w:val="0B2545"/>
                <w:sz w:val="14"/>
              </w:rPr>
              <w:t>Plasma and Fusion Research</w:t>
            </w:r>
          </w:p>
        </w:tc>
        <w:tc>
          <w:tcPr>
            <w:tcW w:type="dxa" w:w="2300"/>
          </w:tcPr>
          <w:p>
            <w:pPr>
              <w:keepLines/>
              <w:spacing w:after="0" w:line="276" w:lineRule="auto"/>
            </w:pPr>
            <w:r>
              <w:rPr>
                <w:rFonts w:ascii="Calibri" w:hAnsi="Calibri" w:eastAsia="Microsoft YaHei"/>
                <w:color w:val="0B2545"/>
                <w:sz w:val="14"/>
              </w:rPr>
              <w:t>peer-reviewed-journal</w:t>
            </w:r>
          </w:p>
        </w:tc>
        <w:tc>
          <w:tcPr>
            <w:tcW w:type="dxa" w:w="2110"/>
          </w:tcPr>
          <w:p>
            <w:pPr>
              <w:keepLines/>
              <w:spacing w:after="0" w:line="276" w:lineRule="auto"/>
            </w:pPr>
            <w:hyperlink r:id="rId114">
              <w:r>
                <w:rPr>
                  <w:rFonts w:ascii="Calibri" w:hAnsi="Calibri" w:eastAsia="Microsoft YaHei"/>
                  <w:color w:val="008C95"/>
                  <w:u w:val="single"/>
                </w:rPr>
                <w:t>打开原始来源 ↗</w:t>
              </w:r>
            </w:hyperlink>
          </w:p>
        </w:tc>
      </w:tr>
      <w:tr>
        <w:trPr>
          <w:cantSplit/>
        </w:trPr>
        <w:tc>
          <w:tcPr>
            <w:tcW w:type="dxa" w:w="850"/>
          </w:tcPr>
          <w:p>
            <w:pPr>
              <w:keepLines/>
              <w:spacing w:after="0" w:line="276" w:lineRule="auto"/>
            </w:pPr>
            <w:r>
              <w:rPr>
                <w:rFonts w:ascii="Calibri" w:hAnsi="Calibri" w:eastAsia="Microsoft YaHei"/>
                <w:color w:val="0B2545"/>
                <w:sz w:val="14"/>
              </w:rPr>
              <w:t>2025</w:t>
            </w:r>
          </w:p>
        </w:tc>
        <w:tc>
          <w:tcPr>
            <w:tcW w:type="dxa" w:w="2500"/>
          </w:tcPr>
          <w:p>
            <w:pPr>
              <w:keepLines/>
              <w:spacing w:after="0" w:line="276" w:lineRule="auto"/>
            </w:pPr>
            <w:r>
              <w:rPr>
                <w:rFonts w:ascii="Calibri" w:hAnsi="Calibri" w:eastAsia="Microsoft YaHei"/>
                <w:color w:val="0B2545"/>
                <w:sz w:val="14"/>
              </w:rPr>
              <w:t>Prediction and evaluation of measurement performances of imaging diagnostics for ITER wall protection</w:t>
            </w:r>
          </w:p>
        </w:tc>
        <w:tc>
          <w:tcPr>
            <w:tcW w:type="dxa" w:w="1600"/>
          </w:tcPr>
          <w:p>
            <w:pPr>
              <w:keepLines/>
              <w:spacing w:after="0" w:line="276" w:lineRule="auto"/>
            </w:pPr>
            <w:r>
              <w:rPr>
                <w:rFonts w:ascii="Calibri" w:hAnsi="Calibri" w:eastAsia="Microsoft YaHei"/>
                <w:color w:val="0B2545"/>
                <w:sz w:val="14"/>
              </w:rPr>
              <w:t>Fusion Engineering and Design</w:t>
            </w:r>
          </w:p>
        </w:tc>
        <w:tc>
          <w:tcPr>
            <w:tcW w:type="dxa" w:w="2300"/>
          </w:tcPr>
          <w:p>
            <w:pPr>
              <w:keepLines/>
              <w:spacing w:after="0" w:line="276" w:lineRule="auto"/>
            </w:pPr>
            <w:r>
              <w:rPr>
                <w:rFonts w:ascii="Calibri" w:hAnsi="Calibri" w:eastAsia="Microsoft YaHei"/>
                <w:color w:val="0B2545"/>
                <w:sz w:val="14"/>
              </w:rPr>
              <w:t>peer-reviewed-journal</w:t>
            </w:r>
          </w:p>
        </w:tc>
        <w:tc>
          <w:tcPr>
            <w:tcW w:type="dxa" w:w="2110"/>
          </w:tcPr>
          <w:p>
            <w:pPr>
              <w:keepLines/>
              <w:spacing w:after="0" w:line="276" w:lineRule="auto"/>
            </w:pPr>
            <w:hyperlink r:id="rId115">
              <w:r>
                <w:rPr>
                  <w:rFonts w:ascii="Calibri" w:hAnsi="Calibri" w:eastAsia="Microsoft YaHei"/>
                  <w:color w:val="008C95"/>
                  <w:u w:val="single"/>
                </w:rPr>
                <w:t>打开原始来源 ↗</w:t>
              </w:r>
            </w:hyperlink>
          </w:p>
        </w:tc>
      </w:tr>
      <w:tr>
        <w:trPr>
          <w:cantSplit/>
        </w:trPr>
        <w:tc>
          <w:tcPr>
            <w:tcW w:type="dxa" w:w="850"/>
          </w:tcPr>
          <w:p>
            <w:pPr>
              <w:keepLines/>
              <w:spacing w:after="0" w:line="276" w:lineRule="auto"/>
            </w:pPr>
            <w:r>
              <w:rPr>
                <w:rFonts w:ascii="Calibri" w:hAnsi="Calibri" w:eastAsia="Microsoft YaHei"/>
                <w:color w:val="0B2545"/>
                <w:sz w:val="14"/>
              </w:rPr>
              <w:t>软件</w:t>
            </w:r>
          </w:p>
        </w:tc>
        <w:tc>
          <w:tcPr>
            <w:tcW w:type="dxa" w:w="2500"/>
          </w:tcPr>
          <w:p>
            <w:pPr>
              <w:keepLines/>
              <w:spacing w:after="0" w:line="276" w:lineRule="auto"/>
            </w:pPr>
            <w:r>
              <w:rPr>
                <w:rFonts w:ascii="Calibri" w:hAnsi="Calibri" w:eastAsia="Microsoft YaHei"/>
                <w:color w:val="0B2545"/>
                <w:sz w:val="14"/>
              </w:rPr>
              <w:t>装置专有分析/标定软件</w:t>
            </w:r>
          </w:p>
        </w:tc>
        <w:tc>
          <w:tcPr>
            <w:tcW w:type="dxa" w:w="1600"/>
          </w:tcPr>
          <w:p>
            <w:pPr>
              <w:keepLines/>
              <w:spacing w:after="0" w:line="276" w:lineRule="auto"/>
            </w:pPr>
            <w:r>
              <w:rPr>
                <w:rFonts w:ascii="Calibri" w:hAnsi="Calibri" w:eastAsia="Microsoft YaHei"/>
                <w:color w:val="0B2545"/>
                <w:sz w:val="14"/>
              </w:rPr>
              <w:t>not-public</w:t>
            </w:r>
          </w:p>
        </w:tc>
        <w:tc>
          <w:tcPr>
            <w:tcW w:type="dxa" w:w="2300"/>
          </w:tcPr>
          <w:p>
            <w:pPr>
              <w:keepLines/>
              <w:spacing w:after="0" w:line="276" w:lineRule="auto"/>
            </w:pPr>
            <w:r>
              <w:rPr>
                <w:rFonts w:ascii="Calibri" w:hAnsi="Calibri" w:eastAsia="Microsoft YaHei"/>
                <w:color w:val="0B2545"/>
                <w:sz w:val="14"/>
              </w:rPr>
              <w:t>实时热流反演、ROI和保护阈值配置未公开。</w:t>
            </w:r>
          </w:p>
        </w:tc>
        <w:tc>
          <w:tcPr>
            <w:tcW w:type="dxa" w:w="2110"/>
          </w:tcPr>
          <w:p>
            <w:pPr>
              <w:keepLines/>
              <w:spacing w:after="0" w:line="276" w:lineRule="auto"/>
            </w:pPr>
            <w:r>
              <w:rPr>
                <w:rFonts w:ascii="Calibri" w:hAnsi="Calibri" w:eastAsia="Microsoft YaHei"/>
                <w:color w:val="0B2545"/>
                <w:sz w:val="14"/>
              </w:rPr>
              <w:t>未公开</w:t>
            </w:r>
          </w:p>
        </w:tc>
      </w:tr>
    </w:tbl>
    <w:p>
      <w:pPr>
        <w:spacing w:before="0" w:after="60"/>
      </w:pPr>
    </w:p>
    <w:p>
      <w:pPr>
        <w:pStyle w:val="Heading3"/>
        <w:keepNext/>
      </w:pPr>
      <w:r>
        <w:t>DG7.03  偏滤器汤姆逊散射：脱靶区电子参数</w:t>
      </w:r>
    </w:p>
    <w:p>
      <w:pPr>
        <w:keepNext/>
        <w:spacing w:after="80"/>
      </w:pPr>
      <w:r>
        <w:rPr>
          <w:rFonts w:ascii="Calibri" w:hAnsi="Calibri" w:eastAsia="Microsoft YaHei"/>
          <w:i/>
          <w:color w:val="566573"/>
          <w:sz w:val="18"/>
        </w:rPr>
        <w:t>Divertor Thomson scattering for detached-plasma electron parameters</w:t>
      </w:r>
    </w:p>
    <w:tbl>
      <w:tblPr>
        <w:tblStyle w:val="TableGrid"/>
        <w:tblW w:type="dxa" w:w="9360"/>
        <w:jc w:val="left"/>
        <w:tblLayout w:type="fixed"/>
        <w:tblLook w:firstColumn="1" w:firstRow="1" w:lastColumn="0" w:lastRow="0" w:noHBand="0" w:noVBand="1" w:val="04A0"/>
        <w:tblInd w:w="120" w:type="dxa"/>
      </w:tblPr>
      <w:tblGrid>
        <w:gridCol w:w="1200"/>
        <w:gridCol w:w="750"/>
        <w:gridCol w:w="750"/>
        <w:gridCol w:w="2100"/>
        <w:gridCol w:w="4560"/>
      </w:tblGrid>
      <w:tr>
        <w:trPr>
          <w:tblHeader w:val="true"/>
        </w:trPr>
        <w:tc>
          <w:tcPr>
            <w:tcW w:type="dxa" w:w="12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工作 ID</w:t>
            </w:r>
          </w:p>
        </w:tc>
        <w:tc>
          <w:tcPr>
            <w:tcW w:type="dxa" w:w="7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证据</w:t>
            </w:r>
          </w:p>
        </w:tc>
        <w:tc>
          <w:tcPr>
            <w:tcW w:type="dxa" w:w="7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部署</w:t>
            </w:r>
          </w:p>
        </w:tc>
        <w:tc>
          <w:tcPr>
            <w:tcW w:type="dxa" w:w="21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技术族</w:t>
            </w:r>
          </w:p>
        </w:tc>
        <w:tc>
          <w:tcPr>
            <w:tcW w:type="dxa" w:w="456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装置</w:t>
            </w:r>
          </w:p>
        </w:tc>
      </w:tr>
      <w:tr>
        <w:trPr>
          <w:cantSplit/>
        </w:trPr>
        <w:tc>
          <w:tcPr>
            <w:tcW w:type="dxa" w:w="1200"/>
          </w:tcPr>
          <w:p>
            <w:pPr>
              <w:keepLines/>
              <w:spacing w:after="0" w:line="276" w:lineRule="auto"/>
            </w:pPr>
            <w:r>
              <w:rPr>
                <w:rFonts w:ascii="Calibri" w:hAnsi="Calibri" w:eastAsia="Microsoft YaHei"/>
                <w:color w:val="0B2545"/>
                <w:sz w:val="15"/>
              </w:rPr>
              <w:t>DG7-038</w:t>
            </w:r>
          </w:p>
        </w:tc>
        <w:tc>
          <w:tcPr>
            <w:tcW w:type="dxa" w:w="750"/>
          </w:tcPr>
          <w:p>
            <w:pPr>
              <w:keepLines/>
              <w:spacing w:after="0" w:line="276" w:lineRule="auto"/>
            </w:pPr>
            <w:r>
              <w:rPr>
                <w:rFonts w:ascii="Calibri" w:hAnsi="Calibri" w:eastAsia="Microsoft YaHei"/>
                <w:color w:val="0B2545"/>
                <w:sz w:val="15"/>
              </w:rPr>
              <w:t>E3</w:t>
            </w:r>
          </w:p>
        </w:tc>
        <w:tc>
          <w:tcPr>
            <w:tcW w:type="dxa" w:w="750"/>
          </w:tcPr>
          <w:p>
            <w:pPr>
              <w:keepLines/>
              <w:spacing w:after="0" w:line="276" w:lineRule="auto"/>
            </w:pPr>
            <w:r>
              <w:rPr>
                <w:rFonts w:ascii="Calibri" w:hAnsi="Calibri" w:eastAsia="Microsoft YaHei"/>
                <w:color w:val="0B2545"/>
                <w:sz w:val="15"/>
              </w:rPr>
              <w:t>D3</w:t>
            </w:r>
          </w:p>
        </w:tc>
        <w:tc>
          <w:tcPr>
            <w:tcW w:type="dxa" w:w="2100"/>
          </w:tcPr>
          <w:p>
            <w:pPr>
              <w:keepLines/>
              <w:spacing w:after="0" w:line="276" w:lineRule="auto"/>
            </w:pPr>
            <w:r>
              <w:rPr>
                <w:rFonts w:ascii="Calibri" w:hAnsi="Calibri" w:eastAsia="Microsoft YaHei"/>
                <w:color w:val="0B2545"/>
                <w:sz w:val="15"/>
              </w:rPr>
              <w:t>LASER</w:t>
            </w:r>
          </w:p>
        </w:tc>
        <w:tc>
          <w:tcPr>
            <w:tcW w:type="dxa" w:w="4560"/>
          </w:tcPr>
          <w:p>
            <w:pPr>
              <w:keepLines/>
              <w:spacing w:after="0" w:line="276" w:lineRule="auto"/>
            </w:pPr>
            <w:r>
              <w:rPr>
                <w:rFonts w:ascii="Calibri" w:hAnsi="Calibri" w:eastAsia="Microsoft YaHei"/>
                <w:color w:val="0B2545"/>
                <w:sz w:val="15"/>
              </w:rPr>
              <w:t>DIII-D；KSTAR；ITER design</w:t>
            </w:r>
          </w:p>
        </w:tc>
      </w:tr>
    </w:tbl>
    <w:p>
      <w:pPr>
        <w:spacing w:before="0" w:after="60"/>
      </w:pPr>
    </w:p>
    <w:p>
      <w:pPr>
        <w:widowControl/>
      </w:pPr>
      <w:r>
        <w:rPr>
          <w:rFonts w:ascii="Calibri" w:hAnsi="Calibri" w:eastAsia="Microsoft YaHei"/>
          <w:b/>
          <w:color w:val="1F4D78"/>
        </w:rPr>
        <w:t>解决问题：</w:t>
      </w:r>
      <w:r>
        <w:rPr>
          <w:rFonts w:ascii="Calibri" w:hAnsi="Calibri" w:eastAsia="Microsoft YaHei"/>
        </w:rPr>
        <w:t>在偏滤器和脱靶前沿测局部Te/ne，约束再结合、动量损失与功率耗散。</w:t>
      </w:r>
    </w:p>
    <w:p>
      <w:pPr>
        <w:widowControl/>
      </w:pPr>
      <w:r>
        <w:rPr>
          <w:rFonts w:ascii="Calibri" w:hAnsi="Calibri" w:eastAsia="Microsoft YaHei"/>
          <w:b/>
          <w:color w:val="1F4D78"/>
        </w:rPr>
        <w:t>测量原理：</w:t>
      </w:r>
      <w:r>
        <w:rPr>
          <w:rFonts w:ascii="Calibri" w:hAnsi="Calibri" w:eastAsia="Microsoft YaHei"/>
        </w:rPr>
        <w:t>与常规TS相同，但在低Te、高ne、强杂散光和复杂几何下优化谱通道与收集。</w:t>
      </w:r>
    </w:p>
    <w:p>
      <w:pPr>
        <w:widowControl/>
      </w:pPr>
      <w:r>
        <w:rPr>
          <w:rFonts w:ascii="Calibri" w:hAnsi="Calibri" w:eastAsia="Microsoft YaHei"/>
          <w:b/>
          <w:color w:val="1F4D78"/>
        </w:rPr>
        <w:t>测量产品：</w:t>
      </w:r>
      <w:r>
        <w:rPr>
          <w:rFonts w:ascii="Calibri" w:hAnsi="Calibri" w:eastAsia="Microsoft YaHei"/>
        </w:rPr>
        <w:t>divertor Te；divertor ne；detachment-front profiles</w:t>
      </w:r>
    </w:p>
    <w:p>
      <w:pPr>
        <w:widowControl/>
      </w:pPr>
      <w:r>
        <w:rPr>
          <w:rFonts w:ascii="Calibri" w:hAnsi="Calibri" w:eastAsia="Microsoft YaHei"/>
          <w:b/>
          <w:color w:val="1F4D78"/>
        </w:rPr>
        <w:t>时空分辨与覆盖：</w:t>
      </w:r>
      <w:r>
        <w:rPr>
          <w:rFonts w:ascii="Calibri" w:hAnsi="Calibri" w:eastAsia="Microsoft YaHei"/>
        </w:rPr>
        <w:t>时间：因装置、采集和分析链而异；原始来源未给出统一数值。；空间：由视线、几何和反演设定；原始来源未给出统一数值。</w:t>
      </w:r>
    </w:p>
    <w:p>
      <w:pPr>
        <w:widowControl/>
      </w:pPr>
      <w:r>
        <w:rPr>
          <w:rFonts w:ascii="Calibri" w:hAnsi="Calibri" w:eastAsia="Microsoft YaHei"/>
          <w:b/>
          <w:color w:val="1F4D78"/>
        </w:rPr>
        <w:t>仪器与传感器：</w:t>
      </w:r>
      <w:r>
        <w:rPr>
          <w:rFonts w:ascii="Calibri" w:hAnsi="Calibri" w:eastAsia="Microsoft YaHei"/>
        </w:rPr>
        <w:t>pulsed laser；divertor collection optics；polychromators；radiation-hard fibers</w:t>
      </w:r>
    </w:p>
    <w:p>
      <w:pPr>
        <w:widowControl/>
      </w:pPr>
      <w:r>
        <w:rPr>
          <w:rFonts w:ascii="Calibri" w:hAnsi="Calibri" w:eastAsia="Microsoft YaHei"/>
          <w:b/>
          <w:color w:val="1F4D78"/>
        </w:rPr>
        <w:t>标定与质量：</w:t>
      </w:r>
      <w:r>
        <w:rPr>
          <w:rFonts w:ascii="Calibri" w:hAnsi="Calibri" w:eastAsia="Microsoft YaHei"/>
        </w:rPr>
        <w:t>拉曼/瑞利和光谱响应标定；精确测视线/激光交叉，密度与干涉/探针比较。</w:t>
      </w:r>
    </w:p>
    <w:p>
      <w:pPr>
        <w:widowControl/>
      </w:pPr>
      <w:r>
        <w:rPr>
          <w:rFonts w:ascii="Calibri" w:hAnsi="Calibri" w:eastAsia="Microsoft YaHei"/>
          <w:b/>
          <w:color w:val="1F4D78"/>
        </w:rPr>
        <w:t>反演与分析：</w:t>
      </w:r>
      <w:r>
        <w:rPr>
          <w:rFonts w:ascii="Calibri" w:hAnsi="Calibri" w:eastAsia="Microsoft YaHei"/>
        </w:rPr>
        <w:t>低温汤姆逊谱拟合、杂散光扣除并映射到磁通坐标。</w:t>
      </w:r>
    </w:p>
    <w:p>
      <w:pPr>
        <w:widowControl/>
      </w:pPr>
      <w:r>
        <w:rPr>
          <w:rFonts w:ascii="Calibri" w:hAnsi="Calibri" w:eastAsia="Microsoft YaHei"/>
          <w:b/>
          <w:color w:val="1F4D78"/>
        </w:rPr>
        <w:t>验证与应用：</w:t>
      </w:r>
      <w:r>
        <w:rPr>
          <w:rFonts w:ascii="Calibri" w:hAnsi="Calibri" w:eastAsia="Microsoft YaHei"/>
        </w:rPr>
        <w:t>DIII-D 论文给出装置偏滤器 TS 测量，KSTAR 论文给出优化收集光学设计；本记录支持装置数据/安装层级，不主张跨实验期例行在线服务。</w:t>
      </w:r>
    </w:p>
    <w:p>
      <w:pPr>
        <w:widowControl/>
      </w:pPr>
      <w:r>
        <w:rPr>
          <w:rFonts w:ascii="Calibri" w:hAnsi="Calibri" w:eastAsia="Microsoft YaHei"/>
          <w:b/>
          <w:color w:val="1F4D78"/>
        </w:rPr>
        <w:t>局限与边界：</w:t>
      </w:r>
      <w:r>
        <w:rPr>
          <w:rFonts w:ascii="Calibri" w:hAnsi="Calibri" w:eastAsia="Microsoft YaHei"/>
        </w:rPr>
        <w:t>低Te谱窄且杂散光强；视线/激光偏移、辐照和偏滤器振动影响标定。</w:t>
      </w:r>
    </w:p>
    <w:tbl>
      <w:tblPr>
        <w:tblStyle w:val="TableGrid"/>
        <w:tblW w:type="dxa" w:w="9360"/>
        <w:jc w:val="left"/>
        <w:tblLayout w:type="fixed"/>
        <w:tblLook w:firstColumn="1" w:firstRow="1" w:lastColumn="0" w:lastRow="0" w:noHBand="0" w:noVBand="1" w:val="04A0"/>
        <w:tblInd w:w="120" w:type="dxa"/>
      </w:tblPr>
      <w:tblGrid>
        <w:gridCol w:w="9360"/>
      </w:tblGrid>
      <w:tr>
        <w:trPr>
          <w:cantSplit/>
        </w:trPr>
        <w:tc>
          <w:tcPr>
            <w:tcW w:type="dxa" w:w="9360"/>
            <w:tcMar>
              <w:top w:w="80" w:type="dxa"/>
              <w:bottom w:w="80" w:type="dxa"/>
              <w:start w:w="120" w:type="dxa"/>
              <w:end w:w="120" w:type="dxa"/>
            </w:tcMar>
            <w:vAlign w:val="center"/>
            <w:shd w:fill="EEF7F7"/>
          </w:tcPr>
          <w:p>
            <w:pPr>
              <w:keepNext/>
              <w:keepLines/>
              <w:spacing w:after="40"/>
            </w:pPr>
            <w:r>
              <w:rPr>
                <w:rFonts w:ascii="Calibri" w:hAnsi="Calibri" w:eastAsia="Microsoft YaHei"/>
                <w:b/>
                <w:color w:val="008C95"/>
                <w:sz w:val="17"/>
              </w:rPr>
              <w:t>DIGITAL-TWIN RELEVANCE</w:t>
            </w:r>
          </w:p>
          <w:p>
            <w:pPr>
              <w:spacing w:after="0"/>
            </w:pPr>
            <w:r>
              <w:rPr>
                <w:rFonts w:ascii="Calibri" w:hAnsi="Calibri" w:eastAsia="Microsoft YaHei"/>
                <w:color w:val="0B2545"/>
                <w:sz w:val="20"/>
              </w:rPr>
              <w:t>为脱靶孪生提供局部锚点；需和Balmer谱、探针与IR做联合反演。</w:t>
            </w:r>
          </w:p>
        </w:tc>
      </w:tr>
    </w:tbl>
    <w:p>
      <w:pPr>
        <w:spacing w:after="40"/>
      </w:pPr>
    </w:p>
    <w:tbl>
      <w:tblPr>
        <w:tblStyle w:val="TableGrid"/>
        <w:tblW w:type="dxa" w:w="9360"/>
        <w:jc w:val="left"/>
        <w:tblLayout w:type="fixed"/>
        <w:tblLook w:firstColumn="1" w:firstRow="1" w:lastColumn="0" w:lastRow="0" w:noHBand="0" w:noVBand="1" w:val="04A0"/>
        <w:tblInd w:w="120" w:type="dxa"/>
      </w:tblPr>
      <w:tblGrid>
        <w:gridCol w:w="850"/>
        <w:gridCol w:w="2500"/>
        <w:gridCol w:w="1600"/>
        <w:gridCol w:w="2300"/>
        <w:gridCol w:w="2110"/>
      </w:tblGrid>
      <w:tr>
        <w:trPr>
          <w:tblHeader w:val="true"/>
        </w:trPr>
        <w:tc>
          <w:tcPr>
            <w:tcW w:type="dxa" w:w="8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年份/类型</w:t>
            </w:r>
          </w:p>
        </w:tc>
        <w:tc>
          <w:tcPr>
            <w:tcW w:type="dxa" w:w="25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论文或软件</w:t>
            </w:r>
          </w:p>
        </w:tc>
        <w:tc>
          <w:tcPr>
            <w:tcW w:type="dxa" w:w="16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期刊/开放性</w:t>
            </w:r>
          </w:p>
        </w:tc>
        <w:tc>
          <w:tcPr>
            <w:tcW w:type="dxa" w:w="23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来源类型/关系</w:t>
            </w:r>
          </w:p>
        </w:tc>
        <w:tc>
          <w:tcPr>
            <w:tcW w:type="dxa" w:w="211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链接</w:t>
            </w:r>
          </w:p>
        </w:tc>
      </w:tr>
      <w:tr>
        <w:trPr>
          <w:cantSplit/>
        </w:trPr>
        <w:tc>
          <w:tcPr>
            <w:tcW w:type="dxa" w:w="850"/>
          </w:tcPr>
          <w:p>
            <w:pPr>
              <w:keepLines/>
              <w:spacing w:after="0" w:line="276" w:lineRule="auto"/>
            </w:pPr>
            <w:r>
              <w:rPr>
                <w:rFonts w:ascii="Calibri" w:hAnsi="Calibri" w:eastAsia="Microsoft YaHei"/>
                <w:color w:val="0B2545"/>
                <w:sz w:val="14"/>
              </w:rPr>
              <w:t>1997</w:t>
            </w:r>
          </w:p>
        </w:tc>
        <w:tc>
          <w:tcPr>
            <w:tcW w:type="dxa" w:w="2500"/>
          </w:tcPr>
          <w:p>
            <w:pPr>
              <w:keepLines/>
              <w:spacing w:after="0" w:line="276" w:lineRule="auto"/>
            </w:pPr>
            <w:r>
              <w:rPr>
                <w:rFonts w:ascii="Calibri" w:hAnsi="Calibri" w:eastAsia="Microsoft YaHei"/>
                <w:color w:val="0B2545"/>
                <w:sz w:val="14"/>
              </w:rPr>
              <w:t>Divertor Thomson scattering on DIII-D</w:t>
            </w:r>
          </w:p>
        </w:tc>
        <w:tc>
          <w:tcPr>
            <w:tcW w:type="dxa" w:w="1600"/>
          </w:tcPr>
          <w:p>
            <w:pPr>
              <w:keepLines/>
              <w:spacing w:after="0" w:line="276" w:lineRule="auto"/>
            </w:pPr>
            <w:r>
              <w:rPr>
                <w:rFonts w:ascii="Calibri" w:hAnsi="Calibri" w:eastAsia="Microsoft YaHei"/>
                <w:color w:val="0B2545"/>
                <w:sz w:val="14"/>
              </w:rPr>
              <w:t>Fusion Engineering and Design</w:t>
            </w:r>
          </w:p>
        </w:tc>
        <w:tc>
          <w:tcPr>
            <w:tcW w:type="dxa" w:w="2300"/>
          </w:tcPr>
          <w:p>
            <w:pPr>
              <w:keepLines/>
              <w:spacing w:after="0" w:line="276" w:lineRule="auto"/>
            </w:pPr>
            <w:r>
              <w:rPr>
                <w:rFonts w:ascii="Calibri" w:hAnsi="Calibri" w:eastAsia="Microsoft YaHei"/>
                <w:color w:val="0B2545"/>
                <w:sz w:val="14"/>
              </w:rPr>
              <w:t>peer-reviewed-journal</w:t>
            </w:r>
          </w:p>
        </w:tc>
        <w:tc>
          <w:tcPr>
            <w:tcW w:type="dxa" w:w="2110"/>
          </w:tcPr>
          <w:p>
            <w:pPr>
              <w:keepLines/>
              <w:spacing w:after="0" w:line="276" w:lineRule="auto"/>
            </w:pPr>
            <w:hyperlink r:id="rId116">
              <w:r>
                <w:rPr>
                  <w:rFonts w:ascii="Calibri" w:hAnsi="Calibri" w:eastAsia="Microsoft YaHei"/>
                  <w:color w:val="008C95"/>
                  <w:u w:val="single"/>
                </w:rPr>
                <w:t>打开原始来源 ↗</w:t>
              </w:r>
            </w:hyperlink>
          </w:p>
        </w:tc>
      </w:tr>
      <w:tr>
        <w:trPr>
          <w:cantSplit/>
        </w:trPr>
        <w:tc>
          <w:tcPr>
            <w:tcW w:type="dxa" w:w="850"/>
          </w:tcPr>
          <w:p>
            <w:pPr>
              <w:keepLines/>
              <w:spacing w:after="0" w:line="276" w:lineRule="auto"/>
            </w:pPr>
            <w:r>
              <w:rPr>
                <w:rFonts w:ascii="Calibri" w:hAnsi="Calibri" w:eastAsia="Microsoft YaHei"/>
                <w:color w:val="0B2545"/>
                <w:sz w:val="14"/>
              </w:rPr>
              <w:t>2014</w:t>
            </w:r>
          </w:p>
        </w:tc>
        <w:tc>
          <w:tcPr>
            <w:tcW w:type="dxa" w:w="2500"/>
          </w:tcPr>
          <w:p>
            <w:pPr>
              <w:keepLines/>
              <w:spacing w:after="0" w:line="276" w:lineRule="auto"/>
            </w:pPr>
            <w:r>
              <w:rPr>
                <w:rFonts w:ascii="Calibri" w:hAnsi="Calibri" w:eastAsia="Microsoft YaHei"/>
                <w:color w:val="0B2545"/>
                <w:sz w:val="14"/>
              </w:rPr>
              <w:t>Physical aspects of divertor Thomson scattering implementation on ITER</w:t>
            </w:r>
          </w:p>
        </w:tc>
        <w:tc>
          <w:tcPr>
            <w:tcW w:type="dxa" w:w="1600"/>
          </w:tcPr>
          <w:p>
            <w:pPr>
              <w:keepLines/>
              <w:spacing w:after="0" w:line="276" w:lineRule="auto"/>
            </w:pPr>
            <w:r>
              <w:rPr>
                <w:rFonts w:ascii="Calibri" w:hAnsi="Calibri" w:eastAsia="Microsoft YaHei"/>
                <w:color w:val="0B2545"/>
                <w:sz w:val="14"/>
              </w:rPr>
              <w:t>Nuclear Fusion</w:t>
            </w:r>
          </w:p>
        </w:tc>
        <w:tc>
          <w:tcPr>
            <w:tcW w:type="dxa" w:w="2300"/>
          </w:tcPr>
          <w:p>
            <w:pPr>
              <w:keepLines/>
              <w:spacing w:after="0" w:line="276" w:lineRule="auto"/>
            </w:pPr>
            <w:r>
              <w:rPr>
                <w:rFonts w:ascii="Calibri" w:hAnsi="Calibri" w:eastAsia="Microsoft YaHei"/>
                <w:color w:val="0B2545"/>
                <w:sz w:val="14"/>
              </w:rPr>
              <w:t>peer-reviewed-journal</w:t>
            </w:r>
          </w:p>
        </w:tc>
        <w:tc>
          <w:tcPr>
            <w:tcW w:type="dxa" w:w="2110"/>
          </w:tcPr>
          <w:p>
            <w:pPr>
              <w:keepLines/>
              <w:spacing w:after="0" w:line="276" w:lineRule="auto"/>
            </w:pPr>
            <w:hyperlink r:id="rId117">
              <w:r>
                <w:rPr>
                  <w:rFonts w:ascii="Calibri" w:hAnsi="Calibri" w:eastAsia="Microsoft YaHei"/>
                  <w:color w:val="008C95"/>
                  <w:u w:val="single"/>
                </w:rPr>
                <w:t>打开原始来源 ↗</w:t>
              </w:r>
            </w:hyperlink>
          </w:p>
        </w:tc>
      </w:tr>
      <w:tr>
        <w:trPr>
          <w:cantSplit/>
        </w:trPr>
        <w:tc>
          <w:tcPr>
            <w:tcW w:type="dxa" w:w="850"/>
          </w:tcPr>
          <w:p>
            <w:pPr>
              <w:keepLines/>
              <w:spacing w:after="0" w:line="276" w:lineRule="auto"/>
            </w:pPr>
            <w:r>
              <w:rPr>
                <w:rFonts w:ascii="Calibri" w:hAnsi="Calibri" w:eastAsia="Microsoft YaHei"/>
                <w:color w:val="0B2545"/>
                <w:sz w:val="14"/>
              </w:rPr>
              <w:t>2024</w:t>
            </w:r>
          </w:p>
        </w:tc>
        <w:tc>
          <w:tcPr>
            <w:tcW w:type="dxa" w:w="2500"/>
          </w:tcPr>
          <w:p>
            <w:pPr>
              <w:keepLines/>
              <w:spacing w:after="0" w:line="276" w:lineRule="auto"/>
            </w:pPr>
            <w:r>
              <w:rPr>
                <w:rFonts w:ascii="Calibri" w:hAnsi="Calibri" w:eastAsia="Microsoft YaHei"/>
                <w:color w:val="0B2545"/>
                <w:sz w:val="14"/>
              </w:rPr>
              <w:t>Optimized collection optic design for divertor Thomson scattering diagnostics in KSTAR</w:t>
            </w:r>
          </w:p>
        </w:tc>
        <w:tc>
          <w:tcPr>
            <w:tcW w:type="dxa" w:w="1600"/>
          </w:tcPr>
          <w:p>
            <w:pPr>
              <w:keepLines/>
              <w:spacing w:after="0" w:line="276" w:lineRule="auto"/>
            </w:pPr>
            <w:r>
              <w:rPr>
                <w:rFonts w:ascii="Calibri" w:hAnsi="Calibri" w:eastAsia="Microsoft YaHei"/>
                <w:color w:val="0B2545"/>
                <w:sz w:val="14"/>
              </w:rPr>
              <w:t>Review of Scientific Instruments</w:t>
            </w:r>
          </w:p>
        </w:tc>
        <w:tc>
          <w:tcPr>
            <w:tcW w:type="dxa" w:w="2300"/>
          </w:tcPr>
          <w:p>
            <w:pPr>
              <w:keepLines/>
              <w:spacing w:after="0" w:line="276" w:lineRule="auto"/>
            </w:pPr>
            <w:r>
              <w:rPr>
                <w:rFonts w:ascii="Calibri" w:hAnsi="Calibri" w:eastAsia="Microsoft YaHei"/>
                <w:color w:val="0B2545"/>
                <w:sz w:val="14"/>
              </w:rPr>
              <w:t>peer-reviewed-journal</w:t>
            </w:r>
          </w:p>
        </w:tc>
        <w:tc>
          <w:tcPr>
            <w:tcW w:type="dxa" w:w="2110"/>
          </w:tcPr>
          <w:p>
            <w:pPr>
              <w:keepLines/>
              <w:spacing w:after="0" w:line="276" w:lineRule="auto"/>
            </w:pPr>
            <w:hyperlink r:id="rId118">
              <w:r>
                <w:rPr>
                  <w:rFonts w:ascii="Calibri" w:hAnsi="Calibri" w:eastAsia="Microsoft YaHei"/>
                  <w:color w:val="008C95"/>
                  <w:u w:val="single"/>
                </w:rPr>
                <w:t>打开原始来源 ↗</w:t>
              </w:r>
            </w:hyperlink>
          </w:p>
        </w:tc>
      </w:tr>
      <w:tr>
        <w:trPr>
          <w:cantSplit/>
        </w:trPr>
        <w:tc>
          <w:tcPr>
            <w:tcW w:type="dxa" w:w="850"/>
          </w:tcPr>
          <w:p>
            <w:pPr>
              <w:keepLines/>
              <w:spacing w:after="0" w:line="276" w:lineRule="auto"/>
            </w:pPr>
            <w:r>
              <w:rPr>
                <w:rFonts w:ascii="Calibri" w:hAnsi="Calibri" w:eastAsia="Microsoft YaHei"/>
                <w:color w:val="0B2545"/>
                <w:sz w:val="14"/>
              </w:rPr>
              <w:t>软件</w:t>
            </w:r>
          </w:p>
        </w:tc>
        <w:tc>
          <w:tcPr>
            <w:tcW w:type="dxa" w:w="2500"/>
          </w:tcPr>
          <w:p>
            <w:pPr>
              <w:keepLines/>
              <w:spacing w:after="0" w:line="276" w:lineRule="auto"/>
            </w:pPr>
            <w:r>
              <w:rPr>
                <w:rFonts w:ascii="Calibri" w:hAnsi="Calibri" w:eastAsia="Microsoft YaHei"/>
                <w:color w:val="0B2545"/>
                <w:sz w:val="14"/>
              </w:rPr>
              <w:t>装置专有分析/标定软件</w:t>
            </w:r>
          </w:p>
        </w:tc>
        <w:tc>
          <w:tcPr>
            <w:tcW w:type="dxa" w:w="1600"/>
          </w:tcPr>
          <w:p>
            <w:pPr>
              <w:keepLines/>
              <w:spacing w:after="0" w:line="276" w:lineRule="auto"/>
            </w:pPr>
            <w:r>
              <w:rPr>
                <w:rFonts w:ascii="Calibri" w:hAnsi="Calibri" w:eastAsia="Microsoft YaHei"/>
                <w:color w:val="0B2545"/>
                <w:sz w:val="14"/>
              </w:rPr>
              <w:t>not-public</w:t>
            </w:r>
          </w:p>
        </w:tc>
        <w:tc>
          <w:tcPr>
            <w:tcW w:type="dxa" w:w="2300"/>
          </w:tcPr>
          <w:p>
            <w:pPr>
              <w:keepLines/>
              <w:spacing w:after="0" w:line="276" w:lineRule="auto"/>
            </w:pPr>
            <w:r>
              <w:rPr>
                <w:rFonts w:ascii="Calibri" w:hAnsi="Calibri" w:eastAsia="Microsoft YaHei"/>
                <w:color w:val="0B2545"/>
                <w:sz w:val="14"/>
              </w:rPr>
              <w:t>DTS低温谱拟合和实时脱靶前沿代码未公开。</w:t>
            </w:r>
          </w:p>
        </w:tc>
        <w:tc>
          <w:tcPr>
            <w:tcW w:type="dxa" w:w="2110"/>
          </w:tcPr>
          <w:p>
            <w:pPr>
              <w:keepLines/>
              <w:spacing w:after="0" w:line="276" w:lineRule="auto"/>
            </w:pPr>
            <w:r>
              <w:rPr>
                <w:rFonts w:ascii="Calibri" w:hAnsi="Calibri" w:eastAsia="Microsoft YaHei"/>
                <w:color w:val="0B2545"/>
                <w:sz w:val="14"/>
              </w:rPr>
              <w:t>未公开</w:t>
            </w:r>
          </w:p>
        </w:tc>
      </w:tr>
    </w:tbl>
    <w:p>
      <w:pPr>
        <w:spacing w:before="0" w:after="60"/>
      </w:pPr>
    </w:p>
    <w:p>
      <w:pPr>
        <w:pStyle w:val="Heading3"/>
        <w:keepNext/>
      </w:pPr>
      <w:r>
        <w:t>DG7.04  Balmer/Stark偏滤器谱：脱靶、再结合与中性压力</w:t>
      </w:r>
    </w:p>
    <w:p>
      <w:pPr>
        <w:keepNext/>
        <w:spacing w:after="80"/>
      </w:pPr>
      <w:r>
        <w:rPr>
          <w:rFonts w:ascii="Calibri" w:hAnsi="Calibri" w:eastAsia="Microsoft YaHei"/>
          <w:i/>
          <w:color w:val="566573"/>
          <w:sz w:val="18"/>
        </w:rPr>
        <w:t>Balmer/Stark divertor spectroscopy for detachment and recombination</w:t>
      </w:r>
    </w:p>
    <w:tbl>
      <w:tblPr>
        <w:tblStyle w:val="TableGrid"/>
        <w:tblW w:type="dxa" w:w="9360"/>
        <w:jc w:val="left"/>
        <w:tblLayout w:type="fixed"/>
        <w:tblLook w:firstColumn="1" w:firstRow="1" w:lastColumn="0" w:lastRow="0" w:noHBand="0" w:noVBand="1" w:val="04A0"/>
        <w:tblInd w:w="120" w:type="dxa"/>
      </w:tblPr>
      <w:tblGrid>
        <w:gridCol w:w="1200"/>
        <w:gridCol w:w="750"/>
        <w:gridCol w:w="750"/>
        <w:gridCol w:w="2100"/>
        <w:gridCol w:w="4560"/>
      </w:tblGrid>
      <w:tr>
        <w:trPr>
          <w:tblHeader w:val="true"/>
        </w:trPr>
        <w:tc>
          <w:tcPr>
            <w:tcW w:type="dxa" w:w="12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工作 ID</w:t>
            </w:r>
          </w:p>
        </w:tc>
        <w:tc>
          <w:tcPr>
            <w:tcW w:type="dxa" w:w="7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证据</w:t>
            </w:r>
          </w:p>
        </w:tc>
        <w:tc>
          <w:tcPr>
            <w:tcW w:type="dxa" w:w="7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部署</w:t>
            </w:r>
          </w:p>
        </w:tc>
        <w:tc>
          <w:tcPr>
            <w:tcW w:type="dxa" w:w="21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技术族</w:t>
            </w:r>
          </w:p>
        </w:tc>
        <w:tc>
          <w:tcPr>
            <w:tcW w:type="dxa" w:w="456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装置</w:t>
            </w:r>
          </w:p>
        </w:tc>
      </w:tr>
      <w:tr>
        <w:trPr>
          <w:cantSplit/>
        </w:trPr>
        <w:tc>
          <w:tcPr>
            <w:tcW w:type="dxa" w:w="1200"/>
          </w:tcPr>
          <w:p>
            <w:pPr>
              <w:keepLines/>
              <w:spacing w:after="0" w:line="276" w:lineRule="auto"/>
            </w:pPr>
            <w:r>
              <w:rPr>
                <w:rFonts w:ascii="Calibri" w:hAnsi="Calibri" w:eastAsia="Microsoft YaHei"/>
                <w:color w:val="0B2545"/>
                <w:sz w:val="15"/>
              </w:rPr>
              <w:t>DG7-039</w:t>
            </w:r>
          </w:p>
        </w:tc>
        <w:tc>
          <w:tcPr>
            <w:tcW w:type="dxa" w:w="750"/>
          </w:tcPr>
          <w:p>
            <w:pPr>
              <w:keepLines/>
              <w:spacing w:after="0" w:line="276" w:lineRule="auto"/>
            </w:pPr>
            <w:r>
              <w:rPr>
                <w:rFonts w:ascii="Calibri" w:hAnsi="Calibri" w:eastAsia="Microsoft YaHei"/>
                <w:color w:val="0B2545"/>
                <w:sz w:val="15"/>
              </w:rPr>
              <w:t>E4</w:t>
            </w:r>
          </w:p>
        </w:tc>
        <w:tc>
          <w:tcPr>
            <w:tcW w:type="dxa" w:w="750"/>
          </w:tcPr>
          <w:p>
            <w:pPr>
              <w:keepLines/>
              <w:spacing w:after="0" w:line="276" w:lineRule="auto"/>
            </w:pPr>
            <w:r>
              <w:rPr>
                <w:rFonts w:ascii="Calibri" w:hAnsi="Calibri" w:eastAsia="Microsoft YaHei"/>
                <w:color w:val="0B2545"/>
                <w:sz w:val="15"/>
              </w:rPr>
              <w:t>D4</w:t>
            </w:r>
          </w:p>
        </w:tc>
        <w:tc>
          <w:tcPr>
            <w:tcW w:type="dxa" w:w="2100"/>
          </w:tcPr>
          <w:p>
            <w:pPr>
              <w:keepLines/>
              <w:spacing w:after="0" w:line="276" w:lineRule="auto"/>
            </w:pPr>
            <w:r>
              <w:rPr>
                <w:rFonts w:ascii="Calibri" w:hAnsi="Calibri" w:eastAsia="Microsoft YaHei"/>
                <w:color w:val="0B2545"/>
                <w:sz w:val="15"/>
              </w:rPr>
              <w:t>OPTICAL</w:t>
            </w:r>
          </w:p>
        </w:tc>
        <w:tc>
          <w:tcPr>
            <w:tcW w:type="dxa" w:w="4560"/>
          </w:tcPr>
          <w:p>
            <w:pPr>
              <w:keepLines/>
              <w:spacing w:after="0" w:line="276" w:lineRule="auto"/>
            </w:pPr>
            <w:r>
              <w:rPr>
                <w:rFonts w:ascii="Calibri" w:hAnsi="Calibri" w:eastAsia="Microsoft YaHei"/>
                <w:color w:val="0B2545"/>
                <w:sz w:val="15"/>
              </w:rPr>
              <w:t>TCV；MAST Upgrade；DIII-D；JET</w:t>
            </w:r>
          </w:p>
        </w:tc>
      </w:tr>
    </w:tbl>
    <w:p>
      <w:pPr>
        <w:spacing w:before="0" w:after="60"/>
      </w:pPr>
    </w:p>
    <w:p>
      <w:pPr>
        <w:widowControl/>
      </w:pPr>
      <w:r>
        <w:rPr>
          <w:rFonts w:ascii="Calibri" w:hAnsi="Calibri" w:eastAsia="Microsoft YaHei"/>
          <w:b/>
          <w:color w:val="1F4D78"/>
        </w:rPr>
        <w:t>解决问题：</w:t>
      </w:r>
      <w:r>
        <w:rPr>
          <w:rFonts w:ascii="Calibri" w:hAnsi="Calibri" w:eastAsia="Microsoft YaHei"/>
        </w:rPr>
        <w:t>量化偏滤器电离、再结合、辐射和脱靶前沿演化。</w:t>
      </w:r>
    </w:p>
    <w:p>
      <w:pPr>
        <w:widowControl/>
      </w:pPr>
      <w:r>
        <w:rPr>
          <w:rFonts w:ascii="Calibri" w:hAnsi="Calibri" w:eastAsia="Microsoft YaHei"/>
          <w:b/>
          <w:color w:val="1F4D78"/>
        </w:rPr>
        <w:t>测量原理：</w:t>
      </w:r>
      <w:r>
        <w:rPr>
          <w:rFonts w:ascii="Calibri" w:hAnsi="Calibri" w:eastAsia="Microsoft YaHei"/>
        </w:rPr>
        <w:t>Balmer线强/线比区分激发与再结合；高n线Stark展宽给ne，分子贡献需碰撞辐射模型。</w:t>
      </w:r>
    </w:p>
    <w:p>
      <w:pPr>
        <w:widowControl/>
      </w:pPr>
      <w:r>
        <w:rPr>
          <w:rFonts w:ascii="Calibri" w:hAnsi="Calibri" w:eastAsia="Microsoft YaHei"/>
          <w:b/>
          <w:color w:val="1F4D78"/>
        </w:rPr>
        <w:t>测量产品：</w:t>
      </w:r>
      <w:r>
        <w:rPr>
          <w:rFonts w:ascii="Calibri" w:hAnsi="Calibri" w:eastAsia="Microsoft YaHei"/>
        </w:rPr>
        <w:t>ionization rate；recombination rate；electron density；neutral/molecular contribution</w:t>
      </w:r>
    </w:p>
    <w:p>
      <w:pPr>
        <w:widowControl/>
      </w:pPr>
      <w:r>
        <w:rPr>
          <w:rFonts w:ascii="Calibri" w:hAnsi="Calibri" w:eastAsia="Microsoft YaHei"/>
          <w:b/>
          <w:color w:val="1F4D78"/>
        </w:rPr>
        <w:t>时空分辨与覆盖：</w:t>
      </w:r>
      <w:r>
        <w:rPr>
          <w:rFonts w:ascii="Calibri" w:hAnsi="Calibri" w:eastAsia="Microsoft YaHei"/>
        </w:rPr>
        <w:t>时间：因装置、采集和分析链而异；原始来源未给出统一数值。；空间：由视线、几何和反演设定；原始来源未给出统一数值。</w:t>
      </w:r>
    </w:p>
    <w:p>
      <w:pPr>
        <w:widowControl/>
      </w:pPr>
      <w:r>
        <w:rPr>
          <w:rFonts w:ascii="Calibri" w:hAnsi="Calibri" w:eastAsia="Microsoft YaHei"/>
          <w:b/>
          <w:color w:val="1F4D78"/>
        </w:rPr>
        <w:t>仪器与传感器：</w:t>
      </w:r>
      <w:r>
        <w:rPr>
          <w:rFonts w:ascii="Calibri" w:hAnsi="Calibri" w:eastAsia="Microsoft YaHei"/>
        </w:rPr>
        <w:t>absolutely calibrated spectrometers；fiber views；filtered cameras；wavelength standards</w:t>
      </w:r>
    </w:p>
    <w:p>
      <w:pPr>
        <w:widowControl/>
      </w:pPr>
      <w:r>
        <w:rPr>
          <w:rFonts w:ascii="Calibri" w:hAnsi="Calibri" w:eastAsia="Microsoft YaHei"/>
          <w:b/>
          <w:color w:val="1F4D78"/>
        </w:rPr>
        <w:t>标定与质量：</w:t>
      </w:r>
      <w:r>
        <w:rPr>
          <w:rFonts w:ascii="Calibri" w:hAnsi="Calibri" w:eastAsia="Microsoft YaHei"/>
        </w:rPr>
        <w:t>绝对辐亮度、波长、仪器函数和视线几何标定；用灯源/积分球和TS ne交叉。</w:t>
      </w:r>
    </w:p>
    <w:p>
      <w:pPr>
        <w:widowControl/>
      </w:pPr>
      <w:r>
        <w:rPr>
          <w:rFonts w:ascii="Calibri" w:hAnsi="Calibri" w:eastAsia="Microsoft YaHei"/>
          <w:b/>
          <w:color w:val="1F4D78"/>
        </w:rPr>
        <w:t>反演与分析：</w:t>
      </w:r>
      <w:r>
        <w:rPr>
          <w:rFonts w:ascii="Calibri" w:hAnsi="Calibri" w:eastAsia="Microsoft YaHei"/>
        </w:rPr>
        <w:t>多线拟合与ADAS碰撞辐射模型分解激发/再结合；层析或磁通管映射定位前沿。</w:t>
      </w:r>
    </w:p>
    <w:p>
      <w:pPr>
        <w:widowControl/>
      </w:pPr>
      <w:r>
        <w:rPr>
          <w:rFonts w:ascii="Calibri" w:hAnsi="Calibri" w:eastAsia="Microsoft YaHei"/>
          <w:b/>
          <w:color w:val="1F4D78"/>
        </w:rPr>
        <w:t>验证与应用：</w:t>
      </w:r>
      <w:r>
        <w:rPr>
          <w:rFonts w:ascii="Calibri" w:hAnsi="Calibri" w:eastAsia="Microsoft YaHei"/>
        </w:rPr>
        <w:t>TCV 装置脱靶实验中的在线光谱与探针、TS、IR和功率平衡交叉；合成谱检查反演偏差。</w:t>
      </w:r>
    </w:p>
    <w:p>
      <w:pPr>
        <w:widowControl/>
      </w:pPr>
      <w:r>
        <w:rPr>
          <w:rFonts w:ascii="Calibri" w:hAnsi="Calibri" w:eastAsia="Microsoft YaHei"/>
          <w:b/>
          <w:color w:val="1F4D78"/>
        </w:rPr>
        <w:t>局限与边界：</w:t>
      </w:r>
      <w:r>
        <w:rPr>
          <w:rFonts w:ascii="Calibri" w:hAnsi="Calibri" w:eastAsia="Microsoft YaHei"/>
        </w:rPr>
        <w:t>视线积分、分子过程、光学厚度和非平衡效应导致强模型依赖。</w:t>
      </w:r>
    </w:p>
    <w:tbl>
      <w:tblPr>
        <w:tblStyle w:val="TableGrid"/>
        <w:tblW w:type="dxa" w:w="9360"/>
        <w:jc w:val="left"/>
        <w:tblLayout w:type="fixed"/>
        <w:tblLook w:firstColumn="1" w:firstRow="1" w:lastColumn="0" w:lastRow="0" w:noHBand="0" w:noVBand="1" w:val="04A0"/>
        <w:tblInd w:w="120" w:type="dxa"/>
      </w:tblPr>
      <w:tblGrid>
        <w:gridCol w:w="9360"/>
      </w:tblGrid>
      <w:tr>
        <w:trPr>
          <w:cantSplit/>
        </w:trPr>
        <w:tc>
          <w:tcPr>
            <w:tcW w:type="dxa" w:w="9360"/>
            <w:tcMar>
              <w:top w:w="80" w:type="dxa"/>
              <w:bottom w:w="80" w:type="dxa"/>
              <w:start w:w="120" w:type="dxa"/>
              <w:end w:w="120" w:type="dxa"/>
            </w:tcMar>
            <w:vAlign w:val="center"/>
            <w:shd w:fill="EEF7F7"/>
          </w:tcPr>
          <w:p>
            <w:pPr>
              <w:keepNext/>
              <w:keepLines/>
              <w:spacing w:after="40"/>
            </w:pPr>
            <w:r>
              <w:rPr>
                <w:rFonts w:ascii="Calibri" w:hAnsi="Calibri" w:eastAsia="Microsoft YaHei"/>
                <w:b/>
                <w:color w:val="008C95"/>
                <w:sz w:val="17"/>
              </w:rPr>
              <w:t>DIGITAL-TWIN RELEVANCE</w:t>
            </w:r>
          </w:p>
          <w:p>
            <w:pPr>
              <w:spacing w:after="0"/>
            </w:pPr>
            <w:r>
              <w:rPr>
                <w:rFonts w:ascii="Calibri" w:hAnsi="Calibri" w:eastAsia="Microsoft YaHei"/>
                <w:color w:val="0B2545"/>
                <w:sz w:val="20"/>
              </w:rPr>
              <w:t>为脱靶/粒子循环孪生提供过程分解；应存原始谱与原子/分子模型版本。</w:t>
            </w:r>
          </w:p>
        </w:tc>
      </w:tr>
    </w:tbl>
    <w:p>
      <w:pPr>
        <w:spacing w:after="40"/>
      </w:pPr>
    </w:p>
    <w:tbl>
      <w:tblPr>
        <w:tblStyle w:val="TableGrid"/>
        <w:tblW w:type="dxa" w:w="9360"/>
        <w:jc w:val="left"/>
        <w:tblLayout w:type="fixed"/>
        <w:tblLook w:firstColumn="1" w:firstRow="1" w:lastColumn="0" w:lastRow="0" w:noHBand="0" w:noVBand="1" w:val="04A0"/>
        <w:tblInd w:w="120" w:type="dxa"/>
      </w:tblPr>
      <w:tblGrid>
        <w:gridCol w:w="850"/>
        <w:gridCol w:w="2500"/>
        <w:gridCol w:w="1600"/>
        <w:gridCol w:w="2300"/>
        <w:gridCol w:w="2110"/>
      </w:tblGrid>
      <w:tr>
        <w:trPr>
          <w:tblHeader w:val="true"/>
        </w:trPr>
        <w:tc>
          <w:tcPr>
            <w:tcW w:type="dxa" w:w="8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年份/类型</w:t>
            </w:r>
          </w:p>
        </w:tc>
        <w:tc>
          <w:tcPr>
            <w:tcW w:type="dxa" w:w="25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论文或软件</w:t>
            </w:r>
          </w:p>
        </w:tc>
        <w:tc>
          <w:tcPr>
            <w:tcW w:type="dxa" w:w="16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期刊/开放性</w:t>
            </w:r>
          </w:p>
        </w:tc>
        <w:tc>
          <w:tcPr>
            <w:tcW w:type="dxa" w:w="23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来源类型/关系</w:t>
            </w:r>
          </w:p>
        </w:tc>
        <w:tc>
          <w:tcPr>
            <w:tcW w:type="dxa" w:w="211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链接</w:t>
            </w:r>
          </w:p>
        </w:tc>
      </w:tr>
      <w:tr>
        <w:trPr>
          <w:cantSplit/>
        </w:trPr>
        <w:tc>
          <w:tcPr>
            <w:tcW w:type="dxa" w:w="850"/>
          </w:tcPr>
          <w:p>
            <w:pPr>
              <w:keepLines/>
              <w:spacing w:after="0" w:line="276" w:lineRule="auto"/>
            </w:pPr>
            <w:r>
              <w:rPr>
                <w:rFonts w:ascii="Calibri" w:hAnsi="Calibri" w:eastAsia="Microsoft YaHei"/>
                <w:color w:val="0B2545"/>
                <w:sz w:val="14"/>
              </w:rPr>
              <w:t>2017</w:t>
            </w:r>
          </w:p>
        </w:tc>
        <w:tc>
          <w:tcPr>
            <w:tcW w:type="dxa" w:w="2500"/>
          </w:tcPr>
          <w:p>
            <w:pPr>
              <w:keepLines/>
              <w:spacing w:after="0" w:line="276" w:lineRule="auto"/>
            </w:pPr>
            <w:r>
              <w:rPr>
                <w:rFonts w:ascii="Calibri" w:hAnsi="Calibri" w:eastAsia="Microsoft YaHei"/>
                <w:color w:val="0B2545"/>
                <w:sz w:val="14"/>
              </w:rPr>
              <w:t>Spectroscopic investigations of divertor detachment in TCV</w:t>
            </w:r>
          </w:p>
        </w:tc>
        <w:tc>
          <w:tcPr>
            <w:tcW w:type="dxa" w:w="1600"/>
          </w:tcPr>
          <w:p>
            <w:pPr>
              <w:keepLines/>
              <w:spacing w:after="0" w:line="276" w:lineRule="auto"/>
            </w:pPr>
            <w:r>
              <w:rPr>
                <w:rFonts w:ascii="Calibri" w:hAnsi="Calibri" w:eastAsia="Microsoft YaHei"/>
                <w:color w:val="0B2545"/>
                <w:sz w:val="14"/>
              </w:rPr>
              <w:t>Nuclear Materials and Energy</w:t>
            </w:r>
          </w:p>
        </w:tc>
        <w:tc>
          <w:tcPr>
            <w:tcW w:type="dxa" w:w="2300"/>
          </w:tcPr>
          <w:p>
            <w:pPr>
              <w:keepLines/>
              <w:spacing w:after="0" w:line="276" w:lineRule="auto"/>
            </w:pPr>
            <w:r>
              <w:rPr>
                <w:rFonts w:ascii="Calibri" w:hAnsi="Calibri" w:eastAsia="Microsoft YaHei"/>
                <w:color w:val="0B2545"/>
                <w:sz w:val="14"/>
              </w:rPr>
              <w:t>peer-reviewed-journal</w:t>
            </w:r>
          </w:p>
        </w:tc>
        <w:tc>
          <w:tcPr>
            <w:tcW w:type="dxa" w:w="2110"/>
          </w:tcPr>
          <w:p>
            <w:pPr>
              <w:keepLines/>
              <w:spacing w:after="0" w:line="276" w:lineRule="auto"/>
            </w:pPr>
            <w:hyperlink r:id="rId119">
              <w:r>
                <w:rPr>
                  <w:rFonts w:ascii="Calibri" w:hAnsi="Calibri" w:eastAsia="Microsoft YaHei"/>
                  <w:color w:val="008C95"/>
                  <w:u w:val="single"/>
                </w:rPr>
                <w:t>打开原始来源 ↗</w:t>
              </w:r>
            </w:hyperlink>
          </w:p>
        </w:tc>
      </w:tr>
      <w:tr>
        <w:trPr>
          <w:cantSplit/>
        </w:trPr>
        <w:tc>
          <w:tcPr>
            <w:tcW w:type="dxa" w:w="850"/>
          </w:tcPr>
          <w:p>
            <w:pPr>
              <w:keepLines/>
              <w:spacing w:after="0" w:line="276" w:lineRule="auto"/>
            </w:pPr>
            <w:r>
              <w:rPr>
                <w:rFonts w:ascii="Calibri" w:hAnsi="Calibri" w:eastAsia="Microsoft YaHei"/>
                <w:color w:val="0B2545"/>
                <w:sz w:val="14"/>
              </w:rPr>
              <w:t>2019</w:t>
            </w:r>
          </w:p>
        </w:tc>
        <w:tc>
          <w:tcPr>
            <w:tcW w:type="dxa" w:w="2500"/>
          </w:tcPr>
          <w:p>
            <w:pPr>
              <w:keepLines/>
              <w:spacing w:after="0" w:line="276" w:lineRule="auto"/>
            </w:pPr>
            <w:r>
              <w:rPr>
                <w:rFonts w:ascii="Calibri" w:hAnsi="Calibri" w:eastAsia="Microsoft YaHei"/>
                <w:color w:val="0B2545"/>
                <w:sz w:val="14"/>
              </w:rPr>
              <w:t>Inference of divertor ionisation and recombination from Balmer spectroscopy</w:t>
            </w:r>
          </w:p>
        </w:tc>
        <w:tc>
          <w:tcPr>
            <w:tcW w:type="dxa" w:w="1600"/>
          </w:tcPr>
          <w:p>
            <w:pPr>
              <w:keepLines/>
              <w:spacing w:after="0" w:line="276" w:lineRule="auto"/>
            </w:pPr>
            <w:r>
              <w:rPr>
                <w:rFonts w:ascii="Calibri" w:hAnsi="Calibri" w:eastAsia="Microsoft YaHei"/>
                <w:color w:val="0B2545"/>
                <w:sz w:val="14"/>
              </w:rPr>
              <w:t>arXiv</w:t>
            </w:r>
          </w:p>
        </w:tc>
        <w:tc>
          <w:tcPr>
            <w:tcW w:type="dxa" w:w="2300"/>
          </w:tcPr>
          <w:p>
            <w:pPr>
              <w:keepLines/>
              <w:spacing w:after="0" w:line="276" w:lineRule="auto"/>
            </w:pPr>
            <w:r>
              <w:rPr>
                <w:rFonts w:ascii="Calibri" w:hAnsi="Calibri" w:eastAsia="Microsoft YaHei"/>
                <w:color w:val="0B2545"/>
                <w:sz w:val="14"/>
              </w:rPr>
              <w:t>preprint</w:t>
            </w:r>
          </w:p>
        </w:tc>
        <w:tc>
          <w:tcPr>
            <w:tcW w:type="dxa" w:w="2110"/>
          </w:tcPr>
          <w:p>
            <w:pPr>
              <w:keepLines/>
              <w:spacing w:after="0" w:line="276" w:lineRule="auto"/>
            </w:pPr>
            <w:hyperlink r:id="rId120">
              <w:r>
                <w:rPr>
                  <w:rFonts w:ascii="Calibri" w:hAnsi="Calibri" w:eastAsia="Microsoft YaHei"/>
                  <w:color w:val="008C95"/>
                  <w:u w:val="single"/>
                </w:rPr>
                <w:t>打开原始来源 ↗</w:t>
              </w:r>
            </w:hyperlink>
          </w:p>
        </w:tc>
      </w:tr>
      <w:tr>
        <w:trPr>
          <w:cantSplit/>
        </w:trPr>
        <w:tc>
          <w:tcPr>
            <w:tcW w:type="dxa" w:w="850"/>
          </w:tcPr>
          <w:p>
            <w:pPr>
              <w:keepLines/>
              <w:spacing w:after="0" w:line="276" w:lineRule="auto"/>
            </w:pPr>
            <w:r>
              <w:rPr>
                <w:rFonts w:ascii="Calibri" w:hAnsi="Calibri" w:eastAsia="Microsoft YaHei"/>
                <w:color w:val="0B2545"/>
                <w:sz w:val="14"/>
              </w:rPr>
              <w:t>软件</w:t>
            </w:r>
          </w:p>
        </w:tc>
        <w:tc>
          <w:tcPr>
            <w:tcW w:type="dxa" w:w="2500"/>
          </w:tcPr>
          <w:p>
            <w:pPr>
              <w:keepLines/>
              <w:spacing w:after="0" w:line="276" w:lineRule="auto"/>
            </w:pPr>
            <w:r>
              <w:rPr>
                <w:rFonts w:ascii="Calibri" w:hAnsi="Calibri" w:eastAsia="Microsoft YaHei"/>
                <w:color w:val="0B2545"/>
                <w:sz w:val="14"/>
              </w:rPr>
              <w:t>OpenADAS</w:t>
            </w:r>
          </w:p>
        </w:tc>
        <w:tc>
          <w:tcPr>
            <w:tcW w:type="dxa" w:w="1600"/>
          </w:tcPr>
          <w:p>
            <w:pPr>
              <w:keepLines/>
              <w:spacing w:after="0" w:line="276" w:lineRule="auto"/>
            </w:pPr>
            <w:r>
              <w:rPr>
                <w:rFonts w:ascii="Calibri" w:hAnsi="Calibri" w:eastAsia="Microsoft YaHei"/>
                <w:color w:val="0B2545"/>
                <w:sz w:val="14"/>
              </w:rPr>
              <w:t>official-enabling</w:t>
            </w:r>
          </w:p>
        </w:tc>
        <w:tc>
          <w:tcPr>
            <w:tcW w:type="dxa" w:w="2300"/>
          </w:tcPr>
          <w:p>
            <w:pPr>
              <w:keepLines/>
              <w:spacing w:after="0" w:line="276" w:lineRule="auto"/>
            </w:pPr>
            <w:r>
              <w:rPr>
                <w:rFonts w:ascii="Calibri" w:hAnsi="Calibri" w:eastAsia="Microsoft YaHei"/>
                <w:color w:val="0B2545"/>
                <w:sz w:val="14"/>
              </w:rPr>
              <w:t>Balmer PEC/SXB与再结合系数。</w:t>
            </w:r>
          </w:p>
        </w:tc>
        <w:tc>
          <w:tcPr>
            <w:tcW w:type="dxa" w:w="2110"/>
          </w:tcPr>
          <w:p>
            <w:pPr>
              <w:keepLines/>
              <w:spacing w:after="0" w:line="276" w:lineRule="auto"/>
            </w:pPr>
            <w:hyperlink r:id="rId60">
              <w:r>
                <w:rPr>
                  <w:rFonts w:ascii="Calibri" w:hAnsi="Calibri" w:eastAsia="Microsoft YaHei"/>
                  <w:color w:val="008C95"/>
                  <w:u w:val="single"/>
                </w:rPr>
                <w:t>打开原始来源 ↗</w:t>
              </w:r>
            </w:hyperlink>
          </w:p>
        </w:tc>
      </w:tr>
      <w:tr>
        <w:trPr>
          <w:cantSplit/>
        </w:trPr>
        <w:tc>
          <w:tcPr>
            <w:tcW w:type="dxa" w:w="850"/>
          </w:tcPr>
          <w:p>
            <w:pPr>
              <w:keepLines/>
              <w:spacing w:after="0" w:line="276" w:lineRule="auto"/>
            </w:pPr>
            <w:r>
              <w:rPr>
                <w:rFonts w:ascii="Calibri" w:hAnsi="Calibri" w:eastAsia="Microsoft YaHei"/>
                <w:color w:val="0B2545"/>
                <w:sz w:val="14"/>
              </w:rPr>
              <w:t>软件</w:t>
            </w:r>
          </w:p>
        </w:tc>
        <w:tc>
          <w:tcPr>
            <w:tcW w:type="dxa" w:w="2500"/>
          </w:tcPr>
          <w:p>
            <w:pPr>
              <w:keepLines/>
              <w:spacing w:after="0" w:line="276" w:lineRule="auto"/>
            </w:pPr>
            <w:r>
              <w:rPr>
                <w:rFonts w:ascii="Calibri" w:hAnsi="Calibri" w:eastAsia="Microsoft YaHei"/>
                <w:color w:val="0B2545"/>
                <w:sz w:val="14"/>
              </w:rPr>
              <w:t>Cherab</w:t>
            </w:r>
          </w:p>
        </w:tc>
        <w:tc>
          <w:tcPr>
            <w:tcW w:type="dxa" w:w="1600"/>
          </w:tcPr>
          <w:p>
            <w:pPr>
              <w:keepLines/>
              <w:spacing w:after="0" w:line="276" w:lineRule="auto"/>
            </w:pPr>
            <w:r>
              <w:rPr>
                <w:rFonts w:ascii="Calibri" w:hAnsi="Calibri" w:eastAsia="Microsoft YaHei"/>
                <w:color w:val="0B2545"/>
                <w:sz w:val="14"/>
              </w:rPr>
              <w:t>official-enabling</w:t>
            </w:r>
          </w:p>
        </w:tc>
        <w:tc>
          <w:tcPr>
            <w:tcW w:type="dxa" w:w="2300"/>
          </w:tcPr>
          <w:p>
            <w:pPr>
              <w:keepLines/>
              <w:spacing w:after="0" w:line="276" w:lineRule="auto"/>
            </w:pPr>
            <w:r>
              <w:rPr>
                <w:rFonts w:ascii="Calibri" w:hAnsi="Calibri" w:eastAsia="Microsoft YaHei"/>
                <w:color w:val="0B2545"/>
                <w:sz w:val="14"/>
              </w:rPr>
              <w:t>视线和合成谱。</w:t>
            </w:r>
          </w:p>
        </w:tc>
        <w:tc>
          <w:tcPr>
            <w:tcW w:type="dxa" w:w="2110"/>
          </w:tcPr>
          <w:p>
            <w:pPr>
              <w:keepLines/>
              <w:spacing w:after="0" w:line="276" w:lineRule="auto"/>
            </w:pPr>
            <w:hyperlink r:id="rId75">
              <w:r>
                <w:rPr>
                  <w:rFonts w:ascii="Calibri" w:hAnsi="Calibri" w:eastAsia="Microsoft YaHei"/>
                  <w:color w:val="008C95"/>
                  <w:u w:val="single"/>
                </w:rPr>
                <w:t>打开原始来源 ↗</w:t>
              </w:r>
            </w:hyperlink>
          </w:p>
        </w:tc>
      </w:tr>
      <w:tr>
        <w:trPr>
          <w:cantSplit/>
        </w:trPr>
        <w:tc>
          <w:tcPr>
            <w:tcW w:type="dxa" w:w="850"/>
          </w:tcPr>
          <w:p>
            <w:pPr>
              <w:keepLines/>
              <w:spacing w:after="0" w:line="276" w:lineRule="auto"/>
            </w:pPr>
            <w:r>
              <w:rPr>
                <w:rFonts w:ascii="Calibri" w:hAnsi="Calibri" w:eastAsia="Microsoft YaHei"/>
                <w:color w:val="0B2545"/>
                <w:sz w:val="14"/>
              </w:rPr>
              <w:t>软件</w:t>
            </w:r>
          </w:p>
        </w:tc>
        <w:tc>
          <w:tcPr>
            <w:tcW w:type="dxa" w:w="2500"/>
          </w:tcPr>
          <w:p>
            <w:pPr>
              <w:keepLines/>
              <w:spacing w:after="0" w:line="276" w:lineRule="auto"/>
            </w:pPr>
            <w:r>
              <w:rPr>
                <w:rFonts w:ascii="Calibri" w:hAnsi="Calibri" w:eastAsia="Microsoft YaHei"/>
                <w:color w:val="0B2545"/>
                <w:sz w:val="14"/>
              </w:rPr>
              <w:t>装置专有分析/标定软件</w:t>
            </w:r>
          </w:p>
        </w:tc>
        <w:tc>
          <w:tcPr>
            <w:tcW w:type="dxa" w:w="1600"/>
          </w:tcPr>
          <w:p>
            <w:pPr>
              <w:keepLines/>
              <w:spacing w:after="0" w:line="276" w:lineRule="auto"/>
            </w:pPr>
            <w:r>
              <w:rPr>
                <w:rFonts w:ascii="Calibri" w:hAnsi="Calibri" w:eastAsia="Microsoft YaHei"/>
                <w:color w:val="0B2545"/>
                <w:sz w:val="14"/>
              </w:rPr>
              <w:t>not-public</w:t>
            </w:r>
          </w:p>
        </w:tc>
        <w:tc>
          <w:tcPr>
            <w:tcW w:type="dxa" w:w="2300"/>
          </w:tcPr>
          <w:p>
            <w:pPr>
              <w:keepLines/>
              <w:spacing w:after="0" w:line="276" w:lineRule="auto"/>
            </w:pPr>
            <w:r>
              <w:rPr>
                <w:rFonts w:ascii="Calibri" w:hAnsi="Calibri" w:eastAsia="Microsoft YaHei"/>
                <w:color w:val="0B2545"/>
                <w:sz w:val="14"/>
              </w:rPr>
              <w:t>生产反演/层析未公开。</w:t>
            </w:r>
          </w:p>
        </w:tc>
        <w:tc>
          <w:tcPr>
            <w:tcW w:type="dxa" w:w="2110"/>
          </w:tcPr>
          <w:p>
            <w:pPr>
              <w:keepLines/>
              <w:spacing w:after="0" w:line="276" w:lineRule="auto"/>
            </w:pPr>
            <w:r>
              <w:rPr>
                <w:rFonts w:ascii="Calibri" w:hAnsi="Calibri" w:eastAsia="Microsoft YaHei"/>
                <w:color w:val="0B2545"/>
                <w:sz w:val="14"/>
              </w:rPr>
              <w:t>未公开</w:t>
            </w:r>
          </w:p>
        </w:tc>
      </w:tr>
    </w:tbl>
    <w:p>
      <w:pPr>
        <w:spacing w:before="0" w:after="60"/>
      </w:pPr>
    </w:p>
    <w:p>
      <w:pPr>
        <w:pStyle w:val="Heading3"/>
        <w:keepNext/>
      </w:pPr>
      <w:r>
        <w:t>DG7.05  石英晶体微天平：侵蚀/沉积在线质量通量</w:t>
      </w:r>
    </w:p>
    <w:p>
      <w:pPr>
        <w:keepNext/>
        <w:spacing w:after="80"/>
      </w:pPr>
      <w:r>
        <w:rPr>
          <w:rFonts w:ascii="Calibri" w:hAnsi="Calibri" w:eastAsia="Microsoft YaHei"/>
          <w:i/>
          <w:color w:val="566573"/>
          <w:sz w:val="18"/>
        </w:rPr>
        <w:t>Quartz-crystal microbalance for erosion and deposition</w:t>
      </w:r>
    </w:p>
    <w:tbl>
      <w:tblPr>
        <w:tblStyle w:val="TableGrid"/>
        <w:tblW w:type="dxa" w:w="9360"/>
        <w:jc w:val="left"/>
        <w:tblLayout w:type="fixed"/>
        <w:tblLook w:firstColumn="1" w:firstRow="1" w:lastColumn="0" w:lastRow="0" w:noHBand="0" w:noVBand="1" w:val="04A0"/>
        <w:tblInd w:w="120" w:type="dxa"/>
      </w:tblPr>
      <w:tblGrid>
        <w:gridCol w:w="1200"/>
        <w:gridCol w:w="750"/>
        <w:gridCol w:w="750"/>
        <w:gridCol w:w="2100"/>
        <w:gridCol w:w="4560"/>
      </w:tblGrid>
      <w:tr>
        <w:trPr>
          <w:tblHeader w:val="true"/>
        </w:trPr>
        <w:tc>
          <w:tcPr>
            <w:tcW w:type="dxa" w:w="12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工作 ID</w:t>
            </w:r>
          </w:p>
        </w:tc>
        <w:tc>
          <w:tcPr>
            <w:tcW w:type="dxa" w:w="7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证据</w:t>
            </w:r>
          </w:p>
        </w:tc>
        <w:tc>
          <w:tcPr>
            <w:tcW w:type="dxa" w:w="7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部署</w:t>
            </w:r>
          </w:p>
        </w:tc>
        <w:tc>
          <w:tcPr>
            <w:tcW w:type="dxa" w:w="21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技术族</w:t>
            </w:r>
          </w:p>
        </w:tc>
        <w:tc>
          <w:tcPr>
            <w:tcW w:type="dxa" w:w="456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装置</w:t>
            </w:r>
          </w:p>
        </w:tc>
      </w:tr>
      <w:tr>
        <w:trPr>
          <w:cantSplit/>
        </w:trPr>
        <w:tc>
          <w:tcPr>
            <w:tcW w:type="dxa" w:w="1200"/>
          </w:tcPr>
          <w:p>
            <w:pPr>
              <w:keepLines/>
              <w:spacing w:after="0" w:line="276" w:lineRule="auto"/>
            </w:pPr>
            <w:r>
              <w:rPr>
                <w:rFonts w:ascii="Calibri" w:hAnsi="Calibri" w:eastAsia="Microsoft YaHei"/>
                <w:color w:val="0B2545"/>
                <w:sz w:val="15"/>
              </w:rPr>
              <w:t>DG7-040</w:t>
            </w:r>
          </w:p>
        </w:tc>
        <w:tc>
          <w:tcPr>
            <w:tcW w:type="dxa" w:w="750"/>
          </w:tcPr>
          <w:p>
            <w:pPr>
              <w:keepLines/>
              <w:spacing w:after="0" w:line="276" w:lineRule="auto"/>
            </w:pPr>
            <w:r>
              <w:rPr>
                <w:rFonts w:ascii="Calibri" w:hAnsi="Calibri" w:eastAsia="Microsoft YaHei"/>
                <w:color w:val="0B2545"/>
                <w:sz w:val="15"/>
              </w:rPr>
              <w:t>E3</w:t>
            </w:r>
          </w:p>
        </w:tc>
        <w:tc>
          <w:tcPr>
            <w:tcW w:type="dxa" w:w="750"/>
          </w:tcPr>
          <w:p>
            <w:pPr>
              <w:keepLines/>
              <w:spacing w:after="0" w:line="276" w:lineRule="auto"/>
            </w:pPr>
            <w:r>
              <w:rPr>
                <w:rFonts w:ascii="Calibri" w:hAnsi="Calibri" w:eastAsia="Microsoft YaHei"/>
                <w:color w:val="0B2545"/>
                <w:sz w:val="15"/>
              </w:rPr>
              <w:t>D3</w:t>
            </w:r>
          </w:p>
        </w:tc>
        <w:tc>
          <w:tcPr>
            <w:tcW w:type="dxa" w:w="2100"/>
          </w:tcPr>
          <w:p>
            <w:pPr>
              <w:keepLines/>
              <w:spacing w:after="0" w:line="276" w:lineRule="auto"/>
            </w:pPr>
            <w:r>
              <w:rPr>
                <w:rFonts w:ascii="Calibri" w:hAnsi="Calibri" w:eastAsia="Microsoft YaHei"/>
                <w:color w:val="0B2545"/>
                <w:sz w:val="15"/>
              </w:rPr>
              <w:t>ENGINEERING_SENSOR</w:t>
            </w:r>
          </w:p>
        </w:tc>
        <w:tc>
          <w:tcPr>
            <w:tcW w:type="dxa" w:w="4560"/>
          </w:tcPr>
          <w:p>
            <w:pPr>
              <w:keepLines/>
              <w:spacing w:after="0" w:line="276" w:lineRule="auto"/>
            </w:pPr>
            <w:r>
              <w:rPr>
                <w:rFonts w:ascii="Calibri" w:hAnsi="Calibri" w:eastAsia="Microsoft YaHei"/>
                <w:color w:val="0B2545"/>
                <w:sz w:val="15"/>
              </w:rPr>
              <w:t>JET；EAST；laboratory PWI facilities</w:t>
            </w:r>
          </w:p>
        </w:tc>
      </w:tr>
    </w:tbl>
    <w:p>
      <w:pPr>
        <w:spacing w:before="0" w:after="60"/>
      </w:pPr>
    </w:p>
    <w:p>
      <w:pPr>
        <w:widowControl/>
      </w:pPr>
      <w:r>
        <w:rPr>
          <w:rFonts w:ascii="Calibri" w:hAnsi="Calibri" w:eastAsia="Microsoft YaHei"/>
          <w:b/>
          <w:color w:val="1F4D78"/>
        </w:rPr>
        <w:t>解决问题：</w:t>
      </w:r>
      <w:r>
        <w:rPr>
          <w:rFonts w:ascii="Calibri" w:hAnsi="Calibri" w:eastAsia="Microsoft YaHei"/>
        </w:rPr>
        <w:t>测量壁材料侵蚀/再沉积的局部质量变化，支撑PFC寿命与尘埃源项。</w:t>
      </w:r>
    </w:p>
    <w:p>
      <w:pPr>
        <w:widowControl/>
      </w:pPr>
      <w:r>
        <w:rPr>
          <w:rFonts w:ascii="Calibri" w:hAnsi="Calibri" w:eastAsia="Microsoft YaHei"/>
          <w:b/>
          <w:color w:val="1F4D78"/>
        </w:rPr>
        <w:t>测量原理：</w:t>
      </w:r>
      <w:r>
        <w:rPr>
          <w:rFonts w:ascii="Calibri" w:hAnsi="Calibri" w:eastAsia="Microsoft YaHei"/>
        </w:rPr>
        <w:t>石英谐振频率随表面质量负载变化；温度/应力补偿后转为面积质量。</w:t>
      </w:r>
    </w:p>
    <w:p>
      <w:pPr>
        <w:widowControl/>
      </w:pPr>
      <w:r>
        <w:rPr>
          <w:rFonts w:ascii="Calibri" w:hAnsi="Calibri" w:eastAsia="Microsoft YaHei"/>
          <w:b/>
          <w:color w:val="1F4D78"/>
        </w:rPr>
        <w:t>测量产品：</w:t>
      </w:r>
      <w:r>
        <w:rPr>
          <w:rFonts w:ascii="Calibri" w:hAnsi="Calibri" w:eastAsia="Microsoft YaHei"/>
        </w:rPr>
        <w:t>areal mass change；deposition/erosion rate；cumulative inventory</w:t>
      </w:r>
    </w:p>
    <w:p>
      <w:pPr>
        <w:widowControl/>
      </w:pPr>
      <w:r>
        <w:rPr>
          <w:rFonts w:ascii="Calibri" w:hAnsi="Calibri" w:eastAsia="Microsoft YaHei"/>
          <w:b/>
          <w:color w:val="1F4D78"/>
        </w:rPr>
        <w:t>时空分辨与覆盖：</w:t>
      </w:r>
      <w:r>
        <w:rPr>
          <w:rFonts w:ascii="Calibri" w:hAnsi="Calibri" w:eastAsia="Microsoft YaHei"/>
        </w:rPr>
        <w:t>时间：因装置、采集和分析链而异；原始来源未给出统一数值。；空间：由视线、几何和反演设定；原始来源未给出统一数值。</w:t>
      </w:r>
    </w:p>
    <w:p>
      <w:pPr>
        <w:widowControl/>
      </w:pPr>
      <w:r>
        <w:rPr>
          <w:rFonts w:ascii="Calibri" w:hAnsi="Calibri" w:eastAsia="Microsoft YaHei"/>
          <w:b/>
          <w:color w:val="1F4D78"/>
        </w:rPr>
        <w:t>仪器与传感器：</w:t>
      </w:r>
      <w:r>
        <w:rPr>
          <w:rFonts w:ascii="Calibri" w:hAnsi="Calibri" w:eastAsia="Microsoft YaHei"/>
        </w:rPr>
        <w:t>quartz resonators；reference crystal；temperature sensors；shutters；oscillator electronics</w:t>
      </w:r>
    </w:p>
    <w:p>
      <w:pPr>
        <w:widowControl/>
      </w:pPr>
      <w:r>
        <w:rPr>
          <w:rFonts w:ascii="Calibri" w:hAnsi="Calibri" w:eastAsia="Microsoft YaHei"/>
          <w:b/>
          <w:color w:val="1F4D78"/>
        </w:rPr>
        <w:t>标定与质量：</w:t>
      </w:r>
      <w:r>
        <w:rPr>
          <w:rFonts w:ascii="Calibri" w:hAnsi="Calibri" w:eastAsia="Microsoft YaHei"/>
        </w:rPr>
        <w:t>用已知薄膜沉积/去除标定Sauerbrey系数；双晶/温度扫描分离热漂移。</w:t>
      </w:r>
    </w:p>
    <w:p>
      <w:pPr>
        <w:widowControl/>
      </w:pPr>
      <w:r>
        <w:rPr>
          <w:rFonts w:ascii="Calibri" w:hAnsi="Calibri" w:eastAsia="Microsoft YaHei"/>
          <w:b/>
          <w:color w:val="1F4D78"/>
        </w:rPr>
        <w:t>反演与分析：</w:t>
      </w:r>
      <w:r>
        <w:rPr>
          <w:rFonts w:ascii="Calibri" w:hAnsi="Calibri" w:eastAsia="Microsoft YaHei"/>
        </w:rPr>
        <w:t>频率差、温度和黏弹性修正；与表面后分析和材料收支比较。</w:t>
      </w:r>
    </w:p>
    <w:p>
      <w:pPr>
        <w:widowControl/>
      </w:pPr>
      <w:r>
        <w:rPr>
          <w:rFonts w:ascii="Calibri" w:hAnsi="Calibri" w:eastAsia="Microsoft YaHei"/>
          <w:b/>
          <w:color w:val="1F4D78"/>
        </w:rPr>
        <w:t>验证与应用：</w:t>
      </w:r>
      <w:r>
        <w:rPr>
          <w:rFonts w:ascii="Calibri" w:hAnsi="Calibri" w:eastAsia="Microsoft YaHei"/>
        </w:rPr>
        <w:t>JET/EAST通过装置暴露、参考晶体和拆卸后表面分析交叉验证。</w:t>
      </w:r>
    </w:p>
    <w:p>
      <w:pPr>
        <w:widowControl/>
      </w:pPr>
      <w:r>
        <w:rPr>
          <w:rFonts w:ascii="Calibri" w:hAnsi="Calibri" w:eastAsia="Microsoft YaHei"/>
          <w:b/>
          <w:color w:val="1F4D78"/>
        </w:rPr>
        <w:t>局限与边界：</w:t>
      </w:r>
      <w:r>
        <w:rPr>
          <w:rFonts w:ascii="Calibri" w:hAnsi="Calibri" w:eastAsia="Microsoft YaHei"/>
        </w:rPr>
        <w:t>温度、应力、辐照和非刚性沉积破坏简单质量关系；仅局部采样。</w:t>
      </w:r>
    </w:p>
    <w:tbl>
      <w:tblPr>
        <w:tblStyle w:val="TableGrid"/>
        <w:tblW w:type="dxa" w:w="9360"/>
        <w:jc w:val="left"/>
        <w:tblLayout w:type="fixed"/>
        <w:tblLook w:firstColumn="1" w:firstRow="1" w:lastColumn="0" w:lastRow="0" w:noHBand="0" w:noVBand="1" w:val="04A0"/>
        <w:tblInd w:w="120" w:type="dxa"/>
      </w:tblPr>
      <w:tblGrid>
        <w:gridCol w:w="9360"/>
      </w:tblGrid>
      <w:tr>
        <w:trPr>
          <w:cantSplit/>
        </w:trPr>
        <w:tc>
          <w:tcPr>
            <w:tcW w:type="dxa" w:w="9360"/>
            <w:tcMar>
              <w:top w:w="80" w:type="dxa"/>
              <w:bottom w:w="80" w:type="dxa"/>
              <w:start w:w="120" w:type="dxa"/>
              <w:end w:w="120" w:type="dxa"/>
            </w:tcMar>
            <w:vAlign w:val="center"/>
            <w:shd w:fill="EEF7F7"/>
          </w:tcPr>
          <w:p>
            <w:pPr>
              <w:keepNext/>
              <w:keepLines/>
              <w:spacing w:after="40"/>
            </w:pPr>
            <w:r>
              <w:rPr>
                <w:rFonts w:ascii="Calibri" w:hAnsi="Calibri" w:eastAsia="Microsoft YaHei"/>
                <w:b/>
                <w:color w:val="008C95"/>
                <w:sz w:val="17"/>
              </w:rPr>
              <w:t>DIGITAL-TWIN RELEVANCE</w:t>
            </w:r>
          </w:p>
          <w:p>
            <w:pPr>
              <w:spacing w:after="0"/>
            </w:pPr>
            <w:r>
              <w:rPr>
                <w:rFonts w:ascii="Calibri" w:hAnsi="Calibri" w:eastAsia="Microsoft YaHei"/>
                <w:color w:val="0B2545"/>
                <w:sz w:val="20"/>
              </w:rPr>
              <w:t>提供PFC表面清单连续观测；晶体温度、暴露窗和材料模型需进入资产孪生。</w:t>
            </w:r>
          </w:p>
        </w:tc>
      </w:tr>
    </w:tbl>
    <w:p>
      <w:pPr>
        <w:spacing w:after="40"/>
      </w:pPr>
    </w:p>
    <w:tbl>
      <w:tblPr>
        <w:tblStyle w:val="TableGrid"/>
        <w:tblW w:type="dxa" w:w="9360"/>
        <w:jc w:val="left"/>
        <w:tblLayout w:type="fixed"/>
        <w:tblLook w:firstColumn="1" w:firstRow="1" w:lastColumn="0" w:lastRow="0" w:noHBand="0" w:noVBand="1" w:val="04A0"/>
        <w:tblInd w:w="120" w:type="dxa"/>
      </w:tblPr>
      <w:tblGrid>
        <w:gridCol w:w="850"/>
        <w:gridCol w:w="2500"/>
        <w:gridCol w:w="1600"/>
        <w:gridCol w:w="2300"/>
        <w:gridCol w:w="2110"/>
      </w:tblGrid>
      <w:tr>
        <w:trPr>
          <w:tblHeader w:val="true"/>
        </w:trPr>
        <w:tc>
          <w:tcPr>
            <w:tcW w:type="dxa" w:w="8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年份/类型</w:t>
            </w:r>
          </w:p>
        </w:tc>
        <w:tc>
          <w:tcPr>
            <w:tcW w:type="dxa" w:w="25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论文或软件</w:t>
            </w:r>
          </w:p>
        </w:tc>
        <w:tc>
          <w:tcPr>
            <w:tcW w:type="dxa" w:w="16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期刊/开放性</w:t>
            </w:r>
          </w:p>
        </w:tc>
        <w:tc>
          <w:tcPr>
            <w:tcW w:type="dxa" w:w="23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来源类型/关系</w:t>
            </w:r>
          </w:p>
        </w:tc>
        <w:tc>
          <w:tcPr>
            <w:tcW w:type="dxa" w:w="211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链接</w:t>
            </w:r>
          </w:p>
        </w:tc>
      </w:tr>
      <w:tr>
        <w:trPr>
          <w:cantSplit/>
        </w:trPr>
        <w:tc>
          <w:tcPr>
            <w:tcW w:type="dxa" w:w="850"/>
          </w:tcPr>
          <w:p>
            <w:pPr>
              <w:keepLines/>
              <w:spacing w:after="0" w:line="276" w:lineRule="auto"/>
            </w:pPr>
            <w:r>
              <w:rPr>
                <w:rFonts w:ascii="Calibri" w:hAnsi="Calibri" w:eastAsia="Microsoft YaHei"/>
                <w:color w:val="0B2545"/>
                <w:sz w:val="14"/>
              </w:rPr>
              <w:t>2003</w:t>
            </w:r>
          </w:p>
        </w:tc>
        <w:tc>
          <w:tcPr>
            <w:tcW w:type="dxa" w:w="2500"/>
          </w:tcPr>
          <w:p>
            <w:pPr>
              <w:keepLines/>
              <w:spacing w:after="0" w:line="276" w:lineRule="auto"/>
            </w:pPr>
            <w:r>
              <w:rPr>
                <w:rFonts w:ascii="Calibri" w:hAnsi="Calibri" w:eastAsia="Microsoft YaHei"/>
                <w:color w:val="0B2545"/>
                <w:sz w:val="14"/>
              </w:rPr>
              <w:t>Quartz microbalance: a time resolved diagnostic to measure material deposition in JET</w:t>
            </w:r>
          </w:p>
        </w:tc>
        <w:tc>
          <w:tcPr>
            <w:tcW w:type="dxa" w:w="1600"/>
          </w:tcPr>
          <w:p>
            <w:pPr>
              <w:keepLines/>
              <w:spacing w:after="0" w:line="276" w:lineRule="auto"/>
            </w:pPr>
            <w:r>
              <w:rPr>
                <w:rFonts w:ascii="Calibri" w:hAnsi="Calibri" w:eastAsia="Microsoft YaHei"/>
                <w:color w:val="0B2545"/>
                <w:sz w:val="14"/>
              </w:rPr>
              <w:t>Fusion Engineering and Design</w:t>
            </w:r>
          </w:p>
        </w:tc>
        <w:tc>
          <w:tcPr>
            <w:tcW w:type="dxa" w:w="2300"/>
          </w:tcPr>
          <w:p>
            <w:pPr>
              <w:keepLines/>
              <w:spacing w:after="0" w:line="276" w:lineRule="auto"/>
            </w:pPr>
            <w:r>
              <w:rPr>
                <w:rFonts w:ascii="Calibri" w:hAnsi="Calibri" w:eastAsia="Microsoft YaHei"/>
                <w:color w:val="0B2545"/>
                <w:sz w:val="14"/>
              </w:rPr>
              <w:t>peer-reviewed-journal</w:t>
            </w:r>
          </w:p>
        </w:tc>
        <w:tc>
          <w:tcPr>
            <w:tcW w:type="dxa" w:w="2110"/>
          </w:tcPr>
          <w:p>
            <w:pPr>
              <w:keepLines/>
              <w:spacing w:after="0" w:line="276" w:lineRule="auto"/>
            </w:pPr>
            <w:hyperlink r:id="rId121">
              <w:r>
                <w:rPr>
                  <w:rFonts w:ascii="Calibri" w:hAnsi="Calibri" w:eastAsia="Microsoft YaHei"/>
                  <w:color w:val="008C95"/>
                  <w:u w:val="single"/>
                </w:rPr>
                <w:t>打开原始来源 ↗</w:t>
              </w:r>
            </w:hyperlink>
          </w:p>
        </w:tc>
      </w:tr>
      <w:tr>
        <w:trPr>
          <w:cantSplit/>
        </w:trPr>
        <w:tc>
          <w:tcPr>
            <w:tcW w:type="dxa" w:w="850"/>
          </w:tcPr>
          <w:p>
            <w:pPr>
              <w:keepLines/>
              <w:spacing w:after="0" w:line="276" w:lineRule="auto"/>
            </w:pPr>
            <w:r>
              <w:rPr>
                <w:rFonts w:ascii="Calibri" w:hAnsi="Calibri" w:eastAsia="Microsoft YaHei"/>
                <w:color w:val="0B2545"/>
                <w:sz w:val="14"/>
              </w:rPr>
              <w:t>2024</w:t>
            </w:r>
          </w:p>
        </w:tc>
        <w:tc>
          <w:tcPr>
            <w:tcW w:type="dxa" w:w="2500"/>
          </w:tcPr>
          <w:p>
            <w:pPr>
              <w:keepLines/>
              <w:spacing w:after="0" w:line="276" w:lineRule="auto"/>
            </w:pPr>
            <w:r>
              <w:rPr>
                <w:rFonts w:ascii="Calibri" w:hAnsi="Calibri" w:eastAsia="Microsoft YaHei"/>
                <w:color w:val="0B2545"/>
                <w:sz w:val="14"/>
              </w:rPr>
              <w:t>Studies of the material erosion and deposition during the wall conditioning processes using quartz crystal microbalance in EAST</w:t>
            </w:r>
          </w:p>
        </w:tc>
        <w:tc>
          <w:tcPr>
            <w:tcW w:type="dxa" w:w="1600"/>
          </w:tcPr>
          <w:p>
            <w:pPr>
              <w:keepLines/>
              <w:spacing w:after="0" w:line="276" w:lineRule="auto"/>
            </w:pPr>
            <w:r>
              <w:rPr>
                <w:rFonts w:ascii="Calibri" w:hAnsi="Calibri" w:eastAsia="Microsoft YaHei"/>
                <w:color w:val="0B2545"/>
                <w:sz w:val="14"/>
              </w:rPr>
              <w:t>Nuclear Materials and Energy</w:t>
            </w:r>
          </w:p>
        </w:tc>
        <w:tc>
          <w:tcPr>
            <w:tcW w:type="dxa" w:w="2300"/>
          </w:tcPr>
          <w:p>
            <w:pPr>
              <w:keepLines/>
              <w:spacing w:after="0" w:line="276" w:lineRule="auto"/>
            </w:pPr>
            <w:r>
              <w:rPr>
                <w:rFonts w:ascii="Calibri" w:hAnsi="Calibri" w:eastAsia="Microsoft YaHei"/>
                <w:color w:val="0B2545"/>
                <w:sz w:val="14"/>
              </w:rPr>
              <w:t>peer-reviewed-journal</w:t>
            </w:r>
          </w:p>
        </w:tc>
        <w:tc>
          <w:tcPr>
            <w:tcW w:type="dxa" w:w="2110"/>
          </w:tcPr>
          <w:p>
            <w:pPr>
              <w:keepLines/>
              <w:spacing w:after="0" w:line="276" w:lineRule="auto"/>
            </w:pPr>
            <w:hyperlink r:id="rId122">
              <w:r>
                <w:rPr>
                  <w:rFonts w:ascii="Calibri" w:hAnsi="Calibri" w:eastAsia="Microsoft YaHei"/>
                  <w:color w:val="008C95"/>
                  <w:u w:val="single"/>
                </w:rPr>
                <w:t>打开原始来源 ↗</w:t>
              </w:r>
            </w:hyperlink>
          </w:p>
        </w:tc>
      </w:tr>
      <w:tr>
        <w:trPr>
          <w:cantSplit/>
        </w:trPr>
        <w:tc>
          <w:tcPr>
            <w:tcW w:type="dxa" w:w="850"/>
          </w:tcPr>
          <w:p>
            <w:pPr>
              <w:keepLines/>
              <w:spacing w:after="0" w:line="276" w:lineRule="auto"/>
            </w:pPr>
            <w:r>
              <w:rPr>
                <w:rFonts w:ascii="Calibri" w:hAnsi="Calibri" w:eastAsia="Microsoft YaHei"/>
                <w:color w:val="0B2545"/>
                <w:sz w:val="14"/>
              </w:rPr>
              <w:t>软件</w:t>
            </w:r>
          </w:p>
        </w:tc>
        <w:tc>
          <w:tcPr>
            <w:tcW w:type="dxa" w:w="2500"/>
          </w:tcPr>
          <w:p>
            <w:pPr>
              <w:keepLines/>
              <w:spacing w:after="0" w:line="276" w:lineRule="auto"/>
            </w:pPr>
            <w:r>
              <w:rPr>
                <w:rFonts w:ascii="Calibri" w:hAnsi="Calibri" w:eastAsia="Microsoft YaHei"/>
                <w:color w:val="0B2545"/>
                <w:sz w:val="14"/>
              </w:rPr>
              <w:t>装置专有分析/标定软件</w:t>
            </w:r>
          </w:p>
        </w:tc>
        <w:tc>
          <w:tcPr>
            <w:tcW w:type="dxa" w:w="1600"/>
          </w:tcPr>
          <w:p>
            <w:pPr>
              <w:keepLines/>
              <w:spacing w:after="0" w:line="276" w:lineRule="auto"/>
            </w:pPr>
            <w:r>
              <w:rPr>
                <w:rFonts w:ascii="Calibri" w:hAnsi="Calibri" w:eastAsia="Microsoft YaHei"/>
                <w:color w:val="0B2545"/>
                <w:sz w:val="14"/>
              </w:rPr>
              <w:t>not-public</w:t>
            </w:r>
          </w:p>
        </w:tc>
        <w:tc>
          <w:tcPr>
            <w:tcW w:type="dxa" w:w="2300"/>
          </w:tcPr>
          <w:p>
            <w:pPr>
              <w:keepLines/>
              <w:spacing w:after="0" w:line="276" w:lineRule="auto"/>
            </w:pPr>
            <w:r>
              <w:rPr>
                <w:rFonts w:ascii="Calibri" w:hAnsi="Calibri" w:eastAsia="Microsoft YaHei"/>
                <w:color w:val="0B2545"/>
                <w:sz w:val="14"/>
              </w:rPr>
              <w:t>QMB温度补偿、快门控制和库存融合代码未公开。</w:t>
            </w:r>
          </w:p>
        </w:tc>
        <w:tc>
          <w:tcPr>
            <w:tcW w:type="dxa" w:w="2110"/>
          </w:tcPr>
          <w:p>
            <w:pPr>
              <w:keepLines/>
              <w:spacing w:after="0" w:line="276" w:lineRule="auto"/>
            </w:pPr>
            <w:r>
              <w:rPr>
                <w:rFonts w:ascii="Calibri" w:hAnsi="Calibri" w:eastAsia="Microsoft YaHei"/>
                <w:color w:val="0B2545"/>
                <w:sz w:val="14"/>
              </w:rPr>
              <w:t>未公开</w:t>
            </w:r>
          </w:p>
        </w:tc>
      </w:tr>
    </w:tbl>
    <w:p>
      <w:pPr>
        <w:spacing w:before="0" w:after="60"/>
      </w:pPr>
    </w:p>
    <w:p>
      <w:pPr>
        <w:pStyle w:val="Heading3"/>
        <w:keepNext/>
      </w:pPr>
      <w:r>
        <w:t>DG7.06  LIBS/LIDS：壁材料与氚/氘库存原位诊断</w:t>
      </w:r>
    </w:p>
    <w:p>
      <w:pPr>
        <w:keepNext/>
        <w:spacing w:after="80"/>
      </w:pPr>
      <w:r>
        <w:rPr>
          <w:rFonts w:ascii="Calibri" w:hAnsi="Calibri" w:eastAsia="Microsoft YaHei"/>
          <w:i/>
          <w:color w:val="566573"/>
          <w:sz w:val="18"/>
        </w:rPr>
        <w:t>LIBS/LIDS for in-situ wall composition and fuel inventory</w:t>
      </w:r>
    </w:p>
    <w:tbl>
      <w:tblPr>
        <w:tblStyle w:val="TableGrid"/>
        <w:tblW w:type="dxa" w:w="9360"/>
        <w:jc w:val="left"/>
        <w:tblLayout w:type="fixed"/>
        <w:tblLook w:firstColumn="1" w:firstRow="1" w:lastColumn="0" w:lastRow="0" w:noHBand="0" w:noVBand="1" w:val="04A0"/>
        <w:tblInd w:w="120" w:type="dxa"/>
      </w:tblPr>
      <w:tblGrid>
        <w:gridCol w:w="1200"/>
        <w:gridCol w:w="750"/>
        <w:gridCol w:w="750"/>
        <w:gridCol w:w="2100"/>
        <w:gridCol w:w="4560"/>
      </w:tblGrid>
      <w:tr>
        <w:trPr>
          <w:tblHeader w:val="true"/>
        </w:trPr>
        <w:tc>
          <w:tcPr>
            <w:tcW w:type="dxa" w:w="12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工作 ID</w:t>
            </w:r>
          </w:p>
        </w:tc>
        <w:tc>
          <w:tcPr>
            <w:tcW w:type="dxa" w:w="7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证据</w:t>
            </w:r>
          </w:p>
        </w:tc>
        <w:tc>
          <w:tcPr>
            <w:tcW w:type="dxa" w:w="7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部署</w:t>
            </w:r>
          </w:p>
        </w:tc>
        <w:tc>
          <w:tcPr>
            <w:tcW w:type="dxa" w:w="21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技术族</w:t>
            </w:r>
          </w:p>
        </w:tc>
        <w:tc>
          <w:tcPr>
            <w:tcW w:type="dxa" w:w="456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装置</w:t>
            </w:r>
          </w:p>
        </w:tc>
      </w:tr>
      <w:tr>
        <w:trPr>
          <w:cantSplit/>
        </w:trPr>
        <w:tc>
          <w:tcPr>
            <w:tcW w:type="dxa" w:w="1200"/>
          </w:tcPr>
          <w:p>
            <w:pPr>
              <w:keepLines/>
              <w:spacing w:after="0" w:line="276" w:lineRule="auto"/>
            </w:pPr>
            <w:r>
              <w:rPr>
                <w:rFonts w:ascii="Calibri" w:hAnsi="Calibri" w:eastAsia="Microsoft YaHei"/>
                <w:color w:val="0B2545"/>
                <w:sz w:val="15"/>
              </w:rPr>
              <w:t>DG7-041</w:t>
            </w:r>
          </w:p>
        </w:tc>
        <w:tc>
          <w:tcPr>
            <w:tcW w:type="dxa" w:w="750"/>
          </w:tcPr>
          <w:p>
            <w:pPr>
              <w:keepLines/>
              <w:spacing w:after="0" w:line="276" w:lineRule="auto"/>
            </w:pPr>
            <w:r>
              <w:rPr>
                <w:rFonts w:ascii="Calibri" w:hAnsi="Calibri" w:eastAsia="Microsoft YaHei"/>
                <w:color w:val="0B2545"/>
                <w:sz w:val="15"/>
              </w:rPr>
              <w:t>E2</w:t>
            </w:r>
          </w:p>
        </w:tc>
        <w:tc>
          <w:tcPr>
            <w:tcW w:type="dxa" w:w="750"/>
          </w:tcPr>
          <w:p>
            <w:pPr>
              <w:keepLines/>
              <w:spacing w:after="0" w:line="276" w:lineRule="auto"/>
            </w:pPr>
            <w:r>
              <w:rPr>
                <w:rFonts w:ascii="Calibri" w:hAnsi="Calibri" w:eastAsia="Microsoft YaHei"/>
                <w:color w:val="0B2545"/>
                <w:sz w:val="15"/>
              </w:rPr>
              <w:t>D2</w:t>
            </w:r>
          </w:p>
        </w:tc>
        <w:tc>
          <w:tcPr>
            <w:tcW w:type="dxa" w:w="2100"/>
          </w:tcPr>
          <w:p>
            <w:pPr>
              <w:keepLines/>
              <w:spacing w:after="0" w:line="276" w:lineRule="auto"/>
            </w:pPr>
            <w:r>
              <w:rPr>
                <w:rFonts w:ascii="Calibri" w:hAnsi="Calibri" w:eastAsia="Microsoft YaHei"/>
                <w:color w:val="0B2545"/>
                <w:sz w:val="15"/>
              </w:rPr>
              <w:t>OPTICAL</w:t>
            </w:r>
          </w:p>
        </w:tc>
        <w:tc>
          <w:tcPr>
            <w:tcW w:type="dxa" w:w="4560"/>
          </w:tcPr>
          <w:p>
            <w:pPr>
              <w:keepLines/>
              <w:spacing w:after="0" w:line="276" w:lineRule="auto"/>
            </w:pPr>
            <w:r>
              <w:rPr>
                <w:rFonts w:ascii="Calibri" w:hAnsi="Calibri" w:eastAsia="Microsoft YaHei"/>
                <w:color w:val="0B2545"/>
                <w:sz w:val="15"/>
              </w:rPr>
              <w:t>DIII-D/LIDS studies；ITER R&amp;D；linear plasma facilities</w:t>
            </w:r>
          </w:p>
        </w:tc>
      </w:tr>
    </w:tbl>
    <w:p>
      <w:pPr>
        <w:spacing w:before="0" w:after="60"/>
      </w:pPr>
    </w:p>
    <w:p>
      <w:pPr>
        <w:widowControl/>
      </w:pPr>
      <w:r>
        <w:rPr>
          <w:rFonts w:ascii="Calibri" w:hAnsi="Calibri" w:eastAsia="Microsoft YaHei"/>
          <w:b/>
          <w:color w:val="1F4D78"/>
        </w:rPr>
        <w:t>解决问题：</w:t>
      </w:r>
      <w:r>
        <w:rPr>
          <w:rFonts w:ascii="Calibri" w:hAnsi="Calibri" w:eastAsia="Microsoft YaHei"/>
        </w:rPr>
        <w:t>原位识别PFC表面元素、沉积层和滞留H同位素，支撑库存与维护决策。</w:t>
      </w:r>
    </w:p>
    <w:p>
      <w:pPr>
        <w:widowControl/>
      </w:pPr>
      <w:r>
        <w:rPr>
          <w:rFonts w:ascii="Calibri" w:hAnsi="Calibri" w:eastAsia="Microsoft YaHei"/>
          <w:b/>
          <w:color w:val="1F4D78"/>
        </w:rPr>
        <w:t>测量原理：</w:t>
      </w:r>
      <w:r>
        <w:rPr>
          <w:rFonts w:ascii="Calibri" w:hAnsi="Calibri" w:eastAsia="Microsoft YaHei"/>
        </w:rPr>
        <w:t>LIBS用脉冲激光烧蚀微量材料并测等离子体发射；LIDS热/激光解吸氢同位素并由质谱/光谱定量。</w:t>
      </w:r>
    </w:p>
    <w:p>
      <w:pPr>
        <w:widowControl/>
      </w:pPr>
      <w:r>
        <w:rPr>
          <w:rFonts w:ascii="Calibri" w:hAnsi="Calibri" w:eastAsia="Microsoft YaHei"/>
          <w:b/>
          <w:color w:val="1F4D78"/>
        </w:rPr>
        <w:t>测量产品：</w:t>
      </w:r>
      <w:r>
        <w:rPr>
          <w:rFonts w:ascii="Calibri" w:hAnsi="Calibri" w:eastAsia="Microsoft YaHei"/>
        </w:rPr>
        <w:t>surface composition；D/T inventory；deposit thickness proxy；desorption yield</w:t>
      </w:r>
    </w:p>
    <w:p>
      <w:pPr>
        <w:widowControl/>
      </w:pPr>
      <w:r>
        <w:rPr>
          <w:rFonts w:ascii="Calibri" w:hAnsi="Calibri" w:eastAsia="Microsoft YaHei"/>
          <w:b/>
          <w:color w:val="1F4D78"/>
        </w:rPr>
        <w:t>时空分辨与覆盖：</w:t>
      </w:r>
      <w:r>
        <w:rPr>
          <w:rFonts w:ascii="Calibri" w:hAnsi="Calibri" w:eastAsia="Microsoft YaHei"/>
        </w:rPr>
        <w:t>时间：因装置、采集和分析链而异；原始来源未给出统一数值。；空间：由视线、几何和反演设定；原始来源未给出统一数值。</w:t>
      </w:r>
    </w:p>
    <w:p>
      <w:pPr>
        <w:widowControl/>
      </w:pPr>
      <w:r>
        <w:rPr>
          <w:rFonts w:ascii="Calibri" w:hAnsi="Calibri" w:eastAsia="Microsoft YaHei"/>
          <w:b/>
          <w:color w:val="1F4D78"/>
        </w:rPr>
        <w:t>仪器与传感器：</w:t>
      </w:r>
      <w:r>
        <w:rPr>
          <w:rFonts w:ascii="Calibri" w:hAnsi="Calibri" w:eastAsia="Microsoft YaHei"/>
        </w:rPr>
        <w:t>pulsed laser；collection spectrometer；gated detector；mass spectrometer；scan optics</w:t>
      </w:r>
    </w:p>
    <w:p>
      <w:pPr>
        <w:widowControl/>
      </w:pPr>
      <w:r>
        <w:rPr>
          <w:rFonts w:ascii="Calibri" w:hAnsi="Calibri" w:eastAsia="Microsoft YaHei"/>
          <w:b/>
          <w:color w:val="1F4D78"/>
        </w:rPr>
        <w:t>标定与质量：</w:t>
      </w:r>
      <w:r>
        <w:rPr>
          <w:rFonts w:ascii="Calibri" w:hAnsi="Calibri" w:eastAsia="Microsoft YaHei"/>
        </w:rPr>
        <w:t>用已知成分/厚度样品标定谱线与烧蚀量；校准激光能量、焦点和解吸收集效率。</w:t>
      </w:r>
    </w:p>
    <w:p>
      <w:pPr>
        <w:widowControl/>
      </w:pPr>
      <w:r>
        <w:rPr>
          <w:rFonts w:ascii="Calibri" w:hAnsi="Calibri" w:eastAsia="Microsoft YaHei"/>
          <w:b/>
          <w:color w:val="1F4D78"/>
        </w:rPr>
        <w:t>反演与分析：</w:t>
      </w:r>
      <w:r>
        <w:rPr>
          <w:rFonts w:ascii="Calibri" w:hAnsi="Calibri" w:eastAsia="Microsoft YaHei"/>
        </w:rPr>
        <w:t>谱线多变量/碰撞辐射定量或解吸积分；与离线离子束分析/热脱附交叉。</w:t>
      </w:r>
    </w:p>
    <w:p>
      <w:pPr>
        <w:widowControl/>
      </w:pPr>
      <w:r>
        <w:rPr>
          <w:rFonts w:ascii="Calibri" w:hAnsi="Calibri" w:eastAsia="Microsoft YaHei"/>
          <w:b/>
          <w:color w:val="1F4D78"/>
        </w:rPr>
        <w:t>验证与应用：</w:t>
      </w:r>
      <w:r>
        <w:rPr>
          <w:rFonts w:ascii="Calibri" w:hAnsi="Calibri" w:eastAsia="Microsoft YaHei"/>
        </w:rPr>
        <w:t>在含氘/钨/碳参考样品和装置暴露样品上验证；尚非ITER例行运行。</w:t>
      </w:r>
    </w:p>
    <w:p>
      <w:pPr>
        <w:widowControl/>
      </w:pPr>
      <w:r>
        <w:rPr>
          <w:rFonts w:ascii="Calibri" w:hAnsi="Calibri" w:eastAsia="Microsoft YaHei"/>
          <w:b/>
          <w:color w:val="1F4D78"/>
        </w:rPr>
        <w:t>局限与边界：</w:t>
      </w:r>
      <w:r>
        <w:rPr>
          <w:rFonts w:ascii="Calibri" w:hAnsi="Calibri" w:eastAsia="Microsoft YaHei"/>
        </w:rPr>
        <w:t>烧蚀具有微破坏性；基体效应、表面粗糙、光学污染和氚治理限制部署。</w:t>
      </w:r>
    </w:p>
    <w:tbl>
      <w:tblPr>
        <w:tblStyle w:val="TableGrid"/>
        <w:tblW w:type="dxa" w:w="9360"/>
        <w:jc w:val="left"/>
        <w:tblLayout w:type="fixed"/>
        <w:tblLook w:firstColumn="1" w:firstRow="1" w:lastColumn="0" w:lastRow="0" w:noHBand="0" w:noVBand="1" w:val="04A0"/>
        <w:tblInd w:w="120" w:type="dxa"/>
      </w:tblPr>
      <w:tblGrid>
        <w:gridCol w:w="9360"/>
      </w:tblGrid>
      <w:tr>
        <w:trPr>
          <w:cantSplit/>
        </w:trPr>
        <w:tc>
          <w:tcPr>
            <w:tcW w:type="dxa" w:w="9360"/>
            <w:tcMar>
              <w:top w:w="80" w:type="dxa"/>
              <w:bottom w:w="80" w:type="dxa"/>
              <w:start w:w="120" w:type="dxa"/>
              <w:end w:w="120" w:type="dxa"/>
            </w:tcMar>
            <w:vAlign w:val="center"/>
            <w:shd w:fill="EEF7F7"/>
          </w:tcPr>
          <w:p>
            <w:pPr>
              <w:keepNext/>
              <w:keepLines/>
              <w:spacing w:after="40"/>
            </w:pPr>
            <w:r>
              <w:rPr>
                <w:rFonts w:ascii="Calibri" w:hAnsi="Calibri" w:eastAsia="Microsoft YaHei"/>
                <w:b/>
                <w:color w:val="008C95"/>
                <w:sz w:val="17"/>
              </w:rPr>
              <w:t>DIGITAL-TWIN RELEVANCE</w:t>
            </w:r>
          </w:p>
          <w:p>
            <w:pPr>
              <w:spacing w:after="0"/>
            </w:pPr>
            <w:r>
              <w:rPr>
                <w:rFonts w:ascii="Calibri" w:hAnsi="Calibri" w:eastAsia="Microsoft YaHei"/>
                <w:color w:val="0B2545"/>
                <w:sz w:val="20"/>
              </w:rPr>
              <w:t>把表面成分与燃料库存纳入壁孪生，但需严格记录采样位置、烧蚀历史与校准样品。</w:t>
            </w:r>
          </w:p>
        </w:tc>
      </w:tr>
    </w:tbl>
    <w:p>
      <w:pPr>
        <w:spacing w:after="40"/>
      </w:pPr>
    </w:p>
    <w:tbl>
      <w:tblPr>
        <w:tblStyle w:val="TableGrid"/>
        <w:tblW w:type="dxa" w:w="9360"/>
        <w:jc w:val="left"/>
        <w:tblLayout w:type="fixed"/>
        <w:tblLook w:firstColumn="1" w:firstRow="1" w:lastColumn="0" w:lastRow="0" w:noHBand="0" w:noVBand="1" w:val="04A0"/>
        <w:tblInd w:w="120" w:type="dxa"/>
      </w:tblPr>
      <w:tblGrid>
        <w:gridCol w:w="850"/>
        <w:gridCol w:w="2500"/>
        <w:gridCol w:w="1600"/>
        <w:gridCol w:w="2300"/>
        <w:gridCol w:w="2110"/>
      </w:tblGrid>
      <w:tr>
        <w:trPr>
          <w:tblHeader w:val="true"/>
        </w:trPr>
        <w:tc>
          <w:tcPr>
            <w:tcW w:type="dxa" w:w="8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年份/类型</w:t>
            </w:r>
          </w:p>
        </w:tc>
        <w:tc>
          <w:tcPr>
            <w:tcW w:type="dxa" w:w="25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论文或软件</w:t>
            </w:r>
          </w:p>
        </w:tc>
        <w:tc>
          <w:tcPr>
            <w:tcW w:type="dxa" w:w="16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期刊/开放性</w:t>
            </w:r>
          </w:p>
        </w:tc>
        <w:tc>
          <w:tcPr>
            <w:tcW w:type="dxa" w:w="23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来源类型/关系</w:t>
            </w:r>
          </w:p>
        </w:tc>
        <w:tc>
          <w:tcPr>
            <w:tcW w:type="dxa" w:w="211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链接</w:t>
            </w:r>
          </w:p>
        </w:tc>
      </w:tr>
      <w:tr>
        <w:trPr>
          <w:cantSplit/>
        </w:trPr>
        <w:tc>
          <w:tcPr>
            <w:tcW w:type="dxa" w:w="850"/>
          </w:tcPr>
          <w:p>
            <w:pPr>
              <w:keepLines/>
              <w:spacing w:after="0" w:line="276" w:lineRule="auto"/>
            </w:pPr>
            <w:r>
              <w:rPr>
                <w:rFonts w:ascii="Calibri" w:hAnsi="Calibri" w:eastAsia="Microsoft YaHei"/>
                <w:color w:val="0B2545"/>
                <w:sz w:val="14"/>
              </w:rPr>
              <w:t>2019</w:t>
            </w:r>
          </w:p>
        </w:tc>
        <w:tc>
          <w:tcPr>
            <w:tcW w:type="dxa" w:w="2500"/>
          </w:tcPr>
          <w:p>
            <w:pPr>
              <w:keepLines/>
              <w:spacing w:after="0" w:line="276" w:lineRule="auto"/>
            </w:pPr>
            <w:r>
              <w:rPr>
                <w:rFonts w:ascii="Calibri" w:hAnsi="Calibri" w:eastAsia="Microsoft YaHei"/>
                <w:color w:val="0B2545"/>
                <w:sz w:val="14"/>
              </w:rPr>
              <w:t>Deuterium detection and quantification by laser-induced breakdown spectroscopy and calibration-free analysis in ITER relevant samples</w:t>
            </w:r>
          </w:p>
        </w:tc>
        <w:tc>
          <w:tcPr>
            <w:tcW w:type="dxa" w:w="1600"/>
          </w:tcPr>
          <w:p>
            <w:pPr>
              <w:keepLines/>
              <w:spacing w:after="0" w:line="276" w:lineRule="auto"/>
            </w:pPr>
            <w:r>
              <w:rPr>
                <w:rFonts w:ascii="Calibri" w:hAnsi="Calibri" w:eastAsia="Microsoft YaHei"/>
                <w:color w:val="0B2545"/>
                <w:sz w:val="14"/>
              </w:rPr>
              <w:t>Fusion Engineering and Design</w:t>
            </w:r>
          </w:p>
        </w:tc>
        <w:tc>
          <w:tcPr>
            <w:tcW w:type="dxa" w:w="2300"/>
          </w:tcPr>
          <w:p>
            <w:pPr>
              <w:keepLines/>
              <w:spacing w:after="0" w:line="276" w:lineRule="auto"/>
            </w:pPr>
            <w:r>
              <w:rPr>
                <w:rFonts w:ascii="Calibri" w:hAnsi="Calibri" w:eastAsia="Microsoft YaHei"/>
                <w:color w:val="0B2545"/>
                <w:sz w:val="14"/>
              </w:rPr>
              <w:t>peer-reviewed-journal</w:t>
            </w:r>
          </w:p>
        </w:tc>
        <w:tc>
          <w:tcPr>
            <w:tcW w:type="dxa" w:w="2110"/>
          </w:tcPr>
          <w:p>
            <w:pPr>
              <w:keepLines/>
              <w:spacing w:after="0" w:line="276" w:lineRule="auto"/>
            </w:pPr>
            <w:hyperlink r:id="rId123">
              <w:r>
                <w:rPr>
                  <w:rFonts w:ascii="Calibri" w:hAnsi="Calibri" w:eastAsia="Microsoft YaHei"/>
                  <w:color w:val="008C95"/>
                  <w:u w:val="single"/>
                </w:rPr>
                <w:t>打开原始来源 ↗</w:t>
              </w:r>
            </w:hyperlink>
          </w:p>
        </w:tc>
      </w:tr>
      <w:tr>
        <w:trPr>
          <w:cantSplit/>
        </w:trPr>
        <w:tc>
          <w:tcPr>
            <w:tcW w:type="dxa" w:w="850"/>
          </w:tcPr>
          <w:p>
            <w:pPr>
              <w:keepLines/>
              <w:spacing w:after="0" w:line="276" w:lineRule="auto"/>
            </w:pPr>
            <w:r>
              <w:rPr>
                <w:rFonts w:ascii="Calibri" w:hAnsi="Calibri" w:eastAsia="Microsoft YaHei"/>
                <w:color w:val="0B2545"/>
                <w:sz w:val="14"/>
              </w:rPr>
              <w:t>2019</w:t>
            </w:r>
          </w:p>
        </w:tc>
        <w:tc>
          <w:tcPr>
            <w:tcW w:type="dxa" w:w="2500"/>
          </w:tcPr>
          <w:p>
            <w:pPr>
              <w:keepLines/>
              <w:spacing w:after="0" w:line="276" w:lineRule="auto"/>
            </w:pPr>
            <w:r>
              <w:rPr>
                <w:rFonts w:ascii="Calibri" w:hAnsi="Calibri" w:eastAsia="Microsoft YaHei"/>
                <w:color w:val="0B2545"/>
                <w:sz w:val="14"/>
              </w:rPr>
              <w:t>Time-resolved laser-induced desorption spectroscopy (LIDS) for quantified in-situ hydrogen isotope retention measurement and removal from plasma facing materials</w:t>
            </w:r>
          </w:p>
        </w:tc>
        <w:tc>
          <w:tcPr>
            <w:tcW w:type="dxa" w:w="1600"/>
          </w:tcPr>
          <w:p>
            <w:pPr>
              <w:keepLines/>
              <w:spacing w:after="0" w:line="276" w:lineRule="auto"/>
            </w:pPr>
            <w:r>
              <w:rPr>
                <w:rFonts w:ascii="Calibri" w:hAnsi="Calibri" w:eastAsia="Microsoft YaHei"/>
                <w:color w:val="0B2545"/>
                <w:sz w:val="14"/>
              </w:rPr>
              <w:t>Review of Scientific Instruments</w:t>
            </w:r>
          </w:p>
        </w:tc>
        <w:tc>
          <w:tcPr>
            <w:tcW w:type="dxa" w:w="2300"/>
          </w:tcPr>
          <w:p>
            <w:pPr>
              <w:keepLines/>
              <w:spacing w:after="0" w:line="276" w:lineRule="auto"/>
            </w:pPr>
            <w:r>
              <w:rPr>
                <w:rFonts w:ascii="Calibri" w:hAnsi="Calibri" w:eastAsia="Microsoft YaHei"/>
                <w:color w:val="0B2545"/>
                <w:sz w:val="14"/>
              </w:rPr>
              <w:t>peer-reviewed-journal</w:t>
            </w:r>
          </w:p>
        </w:tc>
        <w:tc>
          <w:tcPr>
            <w:tcW w:type="dxa" w:w="2110"/>
          </w:tcPr>
          <w:p>
            <w:pPr>
              <w:keepLines/>
              <w:spacing w:after="0" w:line="276" w:lineRule="auto"/>
            </w:pPr>
            <w:hyperlink r:id="rId124">
              <w:r>
                <w:rPr>
                  <w:rFonts w:ascii="Calibri" w:hAnsi="Calibri" w:eastAsia="Microsoft YaHei"/>
                  <w:color w:val="008C95"/>
                  <w:u w:val="single"/>
                </w:rPr>
                <w:t>打开原始来源 ↗</w:t>
              </w:r>
            </w:hyperlink>
          </w:p>
        </w:tc>
      </w:tr>
      <w:tr>
        <w:trPr>
          <w:cantSplit/>
        </w:trPr>
        <w:tc>
          <w:tcPr>
            <w:tcW w:type="dxa" w:w="850"/>
          </w:tcPr>
          <w:p>
            <w:pPr>
              <w:keepLines/>
              <w:spacing w:after="0" w:line="276" w:lineRule="auto"/>
            </w:pPr>
            <w:r>
              <w:rPr>
                <w:rFonts w:ascii="Calibri" w:hAnsi="Calibri" w:eastAsia="Microsoft YaHei"/>
                <w:color w:val="0B2545"/>
                <w:sz w:val="14"/>
              </w:rPr>
              <w:t>2015</w:t>
            </w:r>
          </w:p>
        </w:tc>
        <w:tc>
          <w:tcPr>
            <w:tcW w:type="dxa" w:w="2500"/>
          </w:tcPr>
          <w:p>
            <w:pPr>
              <w:keepLines/>
              <w:spacing w:after="0" w:line="276" w:lineRule="auto"/>
            </w:pPr>
            <w:r>
              <w:rPr>
                <w:rFonts w:ascii="Calibri" w:hAnsi="Calibri" w:eastAsia="Microsoft YaHei"/>
                <w:color w:val="0B2545"/>
                <w:sz w:val="14"/>
              </w:rPr>
              <w:t>Review of the ITER diagnostics suite for erosion, deposition, dust and tritium measurements</w:t>
            </w:r>
          </w:p>
        </w:tc>
        <w:tc>
          <w:tcPr>
            <w:tcW w:type="dxa" w:w="1600"/>
          </w:tcPr>
          <w:p>
            <w:pPr>
              <w:keepLines/>
              <w:spacing w:after="0" w:line="276" w:lineRule="auto"/>
            </w:pPr>
            <w:r>
              <w:rPr>
                <w:rFonts w:ascii="Calibri" w:hAnsi="Calibri" w:eastAsia="Microsoft YaHei"/>
                <w:color w:val="0B2545"/>
                <w:sz w:val="14"/>
              </w:rPr>
              <w:t>Journal of Nuclear Materials</w:t>
            </w:r>
          </w:p>
        </w:tc>
        <w:tc>
          <w:tcPr>
            <w:tcW w:type="dxa" w:w="2300"/>
          </w:tcPr>
          <w:p>
            <w:pPr>
              <w:keepLines/>
              <w:spacing w:after="0" w:line="276" w:lineRule="auto"/>
            </w:pPr>
            <w:r>
              <w:rPr>
                <w:rFonts w:ascii="Calibri" w:hAnsi="Calibri" w:eastAsia="Microsoft YaHei"/>
                <w:color w:val="0B2545"/>
                <w:sz w:val="14"/>
              </w:rPr>
              <w:t>peer-reviewed-journal</w:t>
            </w:r>
          </w:p>
        </w:tc>
        <w:tc>
          <w:tcPr>
            <w:tcW w:type="dxa" w:w="2110"/>
          </w:tcPr>
          <w:p>
            <w:pPr>
              <w:keepLines/>
              <w:spacing w:after="0" w:line="276" w:lineRule="auto"/>
            </w:pPr>
            <w:hyperlink r:id="rId125">
              <w:r>
                <w:rPr>
                  <w:rFonts w:ascii="Calibri" w:hAnsi="Calibri" w:eastAsia="Microsoft YaHei"/>
                  <w:color w:val="008C95"/>
                  <w:u w:val="single"/>
                </w:rPr>
                <w:t>打开原始来源 ↗</w:t>
              </w:r>
            </w:hyperlink>
          </w:p>
        </w:tc>
      </w:tr>
      <w:tr>
        <w:trPr>
          <w:cantSplit/>
        </w:trPr>
        <w:tc>
          <w:tcPr>
            <w:tcW w:type="dxa" w:w="850"/>
          </w:tcPr>
          <w:p>
            <w:pPr>
              <w:keepLines/>
              <w:spacing w:after="0" w:line="276" w:lineRule="auto"/>
            </w:pPr>
            <w:r>
              <w:rPr>
                <w:rFonts w:ascii="Calibri" w:hAnsi="Calibri" w:eastAsia="Microsoft YaHei"/>
                <w:color w:val="0B2545"/>
                <w:sz w:val="14"/>
              </w:rPr>
              <w:t>软件</w:t>
            </w:r>
          </w:p>
        </w:tc>
        <w:tc>
          <w:tcPr>
            <w:tcW w:type="dxa" w:w="2500"/>
          </w:tcPr>
          <w:p>
            <w:pPr>
              <w:keepLines/>
              <w:spacing w:after="0" w:line="276" w:lineRule="auto"/>
            </w:pPr>
            <w:r>
              <w:rPr>
                <w:rFonts w:ascii="Calibri" w:hAnsi="Calibri" w:eastAsia="Microsoft YaHei"/>
                <w:color w:val="0B2545"/>
                <w:sz w:val="14"/>
              </w:rPr>
              <w:t>装置专有分析/标定软件</w:t>
            </w:r>
          </w:p>
        </w:tc>
        <w:tc>
          <w:tcPr>
            <w:tcW w:type="dxa" w:w="1600"/>
          </w:tcPr>
          <w:p>
            <w:pPr>
              <w:keepLines/>
              <w:spacing w:after="0" w:line="276" w:lineRule="auto"/>
            </w:pPr>
            <w:r>
              <w:rPr>
                <w:rFonts w:ascii="Calibri" w:hAnsi="Calibri" w:eastAsia="Microsoft YaHei"/>
                <w:color w:val="0B2545"/>
                <w:sz w:val="14"/>
              </w:rPr>
              <w:t>not-public</w:t>
            </w:r>
          </w:p>
        </w:tc>
        <w:tc>
          <w:tcPr>
            <w:tcW w:type="dxa" w:w="2300"/>
          </w:tcPr>
          <w:p>
            <w:pPr>
              <w:keepLines/>
              <w:spacing w:after="0" w:line="276" w:lineRule="auto"/>
            </w:pPr>
            <w:r>
              <w:rPr>
                <w:rFonts w:ascii="Calibri" w:hAnsi="Calibri" w:eastAsia="Microsoft YaHei"/>
                <w:color w:val="0B2545"/>
                <w:sz w:val="14"/>
              </w:rPr>
              <w:t>LIBS/LIDS定量标定与氚治理工作流未公开。</w:t>
            </w:r>
          </w:p>
        </w:tc>
        <w:tc>
          <w:tcPr>
            <w:tcW w:type="dxa" w:w="2110"/>
          </w:tcPr>
          <w:p>
            <w:pPr>
              <w:keepLines/>
              <w:spacing w:after="0" w:line="276" w:lineRule="auto"/>
            </w:pPr>
            <w:r>
              <w:rPr>
                <w:rFonts w:ascii="Calibri" w:hAnsi="Calibri" w:eastAsia="Microsoft YaHei"/>
                <w:color w:val="0B2545"/>
                <w:sz w:val="14"/>
              </w:rPr>
              <w:t>未公开</w:t>
            </w:r>
          </w:p>
        </w:tc>
      </w:tr>
    </w:tbl>
    <w:p>
      <w:pPr>
        <w:spacing w:before="0" w:after="60"/>
      </w:pPr>
    </w:p>
    <w:p>
      <w:pPr>
        <w:pStyle w:val="Heading3"/>
        <w:keepNext/>
      </w:pPr>
      <w:r>
        <w:t>DG7.07  第一镜、尘埃与侵蚀/沉积综合监测</w:t>
      </w:r>
    </w:p>
    <w:p>
      <w:pPr>
        <w:keepNext/>
        <w:spacing w:after="80"/>
      </w:pPr>
      <w:r>
        <w:rPr>
          <w:rFonts w:ascii="Calibri" w:hAnsi="Calibri" w:eastAsia="Microsoft YaHei"/>
          <w:i/>
          <w:color w:val="566573"/>
          <w:sz w:val="18"/>
        </w:rPr>
        <w:t>First-mirror, dust, erosion and deposition monitoring suite</w:t>
      </w:r>
    </w:p>
    <w:tbl>
      <w:tblPr>
        <w:tblStyle w:val="TableGrid"/>
        <w:tblW w:type="dxa" w:w="9360"/>
        <w:jc w:val="left"/>
        <w:tblLayout w:type="fixed"/>
        <w:tblLook w:firstColumn="1" w:firstRow="1" w:lastColumn="0" w:lastRow="0" w:noHBand="0" w:noVBand="1" w:val="04A0"/>
        <w:tblInd w:w="120" w:type="dxa"/>
      </w:tblPr>
      <w:tblGrid>
        <w:gridCol w:w="1200"/>
        <w:gridCol w:w="750"/>
        <w:gridCol w:w="750"/>
        <w:gridCol w:w="2100"/>
        <w:gridCol w:w="4560"/>
      </w:tblGrid>
      <w:tr>
        <w:trPr>
          <w:tblHeader w:val="true"/>
        </w:trPr>
        <w:tc>
          <w:tcPr>
            <w:tcW w:type="dxa" w:w="12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工作 ID</w:t>
            </w:r>
          </w:p>
        </w:tc>
        <w:tc>
          <w:tcPr>
            <w:tcW w:type="dxa" w:w="7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证据</w:t>
            </w:r>
          </w:p>
        </w:tc>
        <w:tc>
          <w:tcPr>
            <w:tcW w:type="dxa" w:w="7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部署</w:t>
            </w:r>
          </w:p>
        </w:tc>
        <w:tc>
          <w:tcPr>
            <w:tcW w:type="dxa" w:w="21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技术族</w:t>
            </w:r>
          </w:p>
        </w:tc>
        <w:tc>
          <w:tcPr>
            <w:tcW w:type="dxa" w:w="456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装置</w:t>
            </w:r>
          </w:p>
        </w:tc>
      </w:tr>
      <w:tr>
        <w:trPr>
          <w:cantSplit/>
        </w:trPr>
        <w:tc>
          <w:tcPr>
            <w:tcW w:type="dxa" w:w="1200"/>
          </w:tcPr>
          <w:p>
            <w:pPr>
              <w:keepLines/>
              <w:spacing w:after="0" w:line="276" w:lineRule="auto"/>
            </w:pPr>
            <w:r>
              <w:rPr>
                <w:rFonts w:ascii="Calibri" w:hAnsi="Calibri" w:eastAsia="Microsoft YaHei"/>
                <w:color w:val="0B2545"/>
                <w:sz w:val="15"/>
              </w:rPr>
              <w:t>DG7-042</w:t>
            </w:r>
          </w:p>
        </w:tc>
        <w:tc>
          <w:tcPr>
            <w:tcW w:type="dxa" w:w="750"/>
          </w:tcPr>
          <w:p>
            <w:pPr>
              <w:keepLines/>
              <w:spacing w:after="0" w:line="276" w:lineRule="auto"/>
            </w:pPr>
            <w:r>
              <w:rPr>
                <w:rFonts w:ascii="Calibri" w:hAnsi="Calibri" w:eastAsia="Microsoft YaHei"/>
                <w:color w:val="0B2545"/>
                <w:sz w:val="15"/>
              </w:rPr>
              <w:t>E3</w:t>
            </w:r>
          </w:p>
        </w:tc>
        <w:tc>
          <w:tcPr>
            <w:tcW w:type="dxa" w:w="750"/>
          </w:tcPr>
          <w:p>
            <w:pPr>
              <w:keepLines/>
              <w:spacing w:after="0" w:line="276" w:lineRule="auto"/>
            </w:pPr>
            <w:r>
              <w:rPr>
                <w:rFonts w:ascii="Calibri" w:hAnsi="Calibri" w:eastAsia="Microsoft YaHei"/>
                <w:color w:val="0B2545"/>
                <w:sz w:val="15"/>
              </w:rPr>
              <w:t>D3</w:t>
            </w:r>
          </w:p>
        </w:tc>
        <w:tc>
          <w:tcPr>
            <w:tcW w:type="dxa" w:w="2100"/>
          </w:tcPr>
          <w:p>
            <w:pPr>
              <w:keepLines/>
              <w:spacing w:after="0" w:line="276" w:lineRule="auto"/>
            </w:pPr>
            <w:r>
              <w:rPr>
                <w:rFonts w:ascii="Calibri" w:hAnsi="Calibri" w:eastAsia="Microsoft YaHei"/>
                <w:color w:val="0B2545"/>
                <w:sz w:val="15"/>
              </w:rPr>
              <w:t>ENGINEERING_SENSOR</w:t>
            </w:r>
          </w:p>
        </w:tc>
        <w:tc>
          <w:tcPr>
            <w:tcW w:type="dxa" w:w="4560"/>
          </w:tcPr>
          <w:p>
            <w:pPr>
              <w:keepLines/>
              <w:spacing w:after="0" w:line="276" w:lineRule="auto"/>
            </w:pPr>
            <w:r>
              <w:rPr>
                <w:rFonts w:ascii="Calibri" w:hAnsi="Calibri" w:eastAsia="Microsoft YaHei"/>
                <w:color w:val="0B2545"/>
                <w:sz w:val="15"/>
              </w:rPr>
              <w:t>ITER R&amp;D；JET；TEXTOR；DIII-D</w:t>
            </w:r>
          </w:p>
        </w:tc>
      </w:tr>
    </w:tbl>
    <w:p>
      <w:pPr>
        <w:spacing w:before="0" w:after="60"/>
      </w:pPr>
    </w:p>
    <w:p>
      <w:pPr>
        <w:widowControl/>
      </w:pPr>
      <w:r>
        <w:rPr>
          <w:rFonts w:ascii="Calibri" w:hAnsi="Calibri" w:eastAsia="Microsoft YaHei"/>
          <w:b/>
          <w:color w:val="1F4D78"/>
        </w:rPr>
        <w:t>解决问题：</w:t>
      </w:r>
      <w:r>
        <w:rPr>
          <w:rFonts w:ascii="Calibri" w:hAnsi="Calibri" w:eastAsia="Microsoft YaHei"/>
        </w:rPr>
        <w:t>监测诊断第一镜反射率、尘埃、沉积/侵蚀和光学退化，保证长期可观测性。</w:t>
      </w:r>
    </w:p>
    <w:p>
      <w:pPr>
        <w:widowControl/>
      </w:pPr>
      <w:r>
        <w:rPr>
          <w:rFonts w:ascii="Calibri" w:hAnsi="Calibri" w:eastAsia="Microsoft YaHei"/>
          <w:b/>
          <w:color w:val="1F4D78"/>
        </w:rPr>
        <w:t>测量原理：</w:t>
      </w:r>
      <w:r>
        <w:rPr>
          <w:rFonts w:ascii="Calibri" w:hAnsi="Calibri" w:eastAsia="Microsoft YaHei"/>
        </w:rPr>
        <w:t>反射计/椭偏测镜面光学，集尘/成像测尘埃，标记层/见证片与表面分析量化材料迁移。</w:t>
      </w:r>
    </w:p>
    <w:p>
      <w:pPr>
        <w:widowControl/>
      </w:pPr>
      <w:r>
        <w:rPr>
          <w:rFonts w:ascii="Calibri" w:hAnsi="Calibri" w:eastAsia="Microsoft YaHei"/>
          <w:b/>
          <w:color w:val="1F4D78"/>
        </w:rPr>
        <w:t>测量产品：</w:t>
      </w:r>
      <w:r>
        <w:rPr>
          <w:rFonts w:ascii="Calibri" w:hAnsi="Calibri" w:eastAsia="Microsoft YaHei"/>
        </w:rPr>
        <w:t>mirror reflectivity；deposit thickness；erosion depth；dust inventory；optical throughput</w:t>
      </w:r>
    </w:p>
    <w:p>
      <w:pPr>
        <w:widowControl/>
      </w:pPr>
      <w:r>
        <w:rPr>
          <w:rFonts w:ascii="Calibri" w:hAnsi="Calibri" w:eastAsia="Microsoft YaHei"/>
          <w:b/>
          <w:color w:val="1F4D78"/>
        </w:rPr>
        <w:t>时空分辨与覆盖：</w:t>
      </w:r>
      <w:r>
        <w:rPr>
          <w:rFonts w:ascii="Calibri" w:hAnsi="Calibri" w:eastAsia="Microsoft YaHei"/>
        </w:rPr>
        <w:t>时间：因装置、采集和分析链而异；原始来源未给出统一数值。；空间：由视线、几何和反演设定；原始来源未给出统一数值。</w:t>
      </w:r>
    </w:p>
    <w:p>
      <w:pPr>
        <w:widowControl/>
      </w:pPr>
      <w:r>
        <w:rPr>
          <w:rFonts w:ascii="Calibri" w:hAnsi="Calibri" w:eastAsia="Microsoft YaHei"/>
          <w:b/>
          <w:color w:val="1F4D78"/>
        </w:rPr>
        <w:t>仪器与传感器：</w:t>
      </w:r>
      <w:r>
        <w:rPr>
          <w:rFonts w:ascii="Calibri" w:hAnsi="Calibri" w:eastAsia="Microsoft YaHei"/>
        </w:rPr>
        <w:t>first mirrors；reflectometers；witness samples；dust collectors/cameras；marker tiles</w:t>
      </w:r>
    </w:p>
    <w:p>
      <w:pPr>
        <w:widowControl/>
      </w:pPr>
      <w:r>
        <w:rPr>
          <w:rFonts w:ascii="Calibri" w:hAnsi="Calibri" w:eastAsia="Microsoft YaHei"/>
          <w:b/>
          <w:color w:val="1F4D78"/>
        </w:rPr>
        <w:t>标定与质量：</w:t>
      </w:r>
      <w:r>
        <w:rPr>
          <w:rFonts w:ascii="Calibri" w:hAnsi="Calibri" w:eastAsia="Microsoft YaHei"/>
        </w:rPr>
        <w:t>安装前光谱反射/表面形貌基线；定期用内置光源、见证片和拆卸后表面分析复核。</w:t>
      </w:r>
    </w:p>
    <w:p>
      <w:pPr>
        <w:widowControl/>
      </w:pPr>
      <w:r>
        <w:rPr>
          <w:rFonts w:ascii="Calibri" w:hAnsi="Calibri" w:eastAsia="Microsoft YaHei"/>
          <w:b/>
          <w:color w:val="1F4D78"/>
        </w:rPr>
        <w:t>反演与分析：</w:t>
      </w:r>
      <w:r>
        <w:rPr>
          <w:rFonts w:ascii="Calibri" w:hAnsi="Calibri" w:eastAsia="Microsoft YaHei"/>
        </w:rPr>
        <w:t>将光学吞吐漂移、材料样品与尘埃计数融合为健康指标；与所有光学诊断标定联动。</w:t>
      </w:r>
    </w:p>
    <w:p>
      <w:pPr>
        <w:widowControl/>
      </w:pPr>
      <w:r>
        <w:rPr>
          <w:rFonts w:ascii="Calibri" w:hAnsi="Calibri" w:eastAsia="Microsoft YaHei"/>
          <w:b/>
          <w:color w:val="1F4D78"/>
        </w:rPr>
        <w:t>验证与应用：</w:t>
      </w:r>
      <w:r>
        <w:rPr>
          <w:rFonts w:ascii="Calibri" w:hAnsi="Calibri" w:eastAsia="Microsoft YaHei"/>
        </w:rPr>
        <w:t>材料暴露设施和现役装置比较清洗/沉积前后反射率；ITER以多机构R&amp;D和设计审查验证。</w:t>
      </w:r>
    </w:p>
    <w:p>
      <w:pPr>
        <w:widowControl/>
      </w:pPr>
      <w:r>
        <w:rPr>
          <w:rFonts w:ascii="Calibri" w:hAnsi="Calibri" w:eastAsia="Microsoft YaHei"/>
          <w:b/>
          <w:color w:val="1F4D78"/>
        </w:rPr>
        <w:t>局限与边界：</w:t>
      </w:r>
      <w:r>
        <w:rPr>
          <w:rFonts w:ascii="Calibri" w:hAnsi="Calibri" w:eastAsia="Microsoft YaHei"/>
        </w:rPr>
        <w:t>测量稀疏且维护周期长；沉积非均匀、镜面清洗改变表面，尘埃计数代表性有限。</w:t>
      </w:r>
    </w:p>
    <w:tbl>
      <w:tblPr>
        <w:tblStyle w:val="TableGrid"/>
        <w:tblW w:type="dxa" w:w="9360"/>
        <w:jc w:val="left"/>
        <w:tblLayout w:type="fixed"/>
        <w:tblLook w:firstColumn="1" w:firstRow="1" w:lastColumn="0" w:lastRow="0" w:noHBand="0" w:noVBand="1" w:val="04A0"/>
        <w:tblInd w:w="120" w:type="dxa"/>
      </w:tblPr>
      <w:tblGrid>
        <w:gridCol w:w="9360"/>
      </w:tblGrid>
      <w:tr>
        <w:trPr>
          <w:cantSplit/>
        </w:trPr>
        <w:tc>
          <w:tcPr>
            <w:tcW w:type="dxa" w:w="9360"/>
            <w:tcMar>
              <w:top w:w="80" w:type="dxa"/>
              <w:bottom w:w="80" w:type="dxa"/>
              <w:start w:w="120" w:type="dxa"/>
              <w:end w:w="120" w:type="dxa"/>
            </w:tcMar>
            <w:vAlign w:val="center"/>
            <w:shd w:fill="EEF7F7"/>
          </w:tcPr>
          <w:p>
            <w:pPr>
              <w:keepNext/>
              <w:keepLines/>
              <w:spacing w:after="40"/>
            </w:pPr>
            <w:r>
              <w:rPr>
                <w:rFonts w:ascii="Calibri" w:hAnsi="Calibri" w:eastAsia="Microsoft YaHei"/>
                <w:b/>
                <w:color w:val="008C95"/>
                <w:sz w:val="17"/>
              </w:rPr>
              <w:t>DIGITAL-TWIN RELEVANCE</w:t>
            </w:r>
          </w:p>
          <w:p>
            <w:pPr>
              <w:spacing w:after="0"/>
            </w:pPr>
            <w:r>
              <w:rPr>
                <w:rFonts w:ascii="Calibri" w:hAnsi="Calibri" w:eastAsia="Microsoft YaHei"/>
                <w:color w:val="0B2545"/>
                <w:sz w:val="20"/>
              </w:rPr>
              <w:t>这是诊断系统自身的健康孪生；镜面吞吐必须反向校正所有光谱/成像数据。</w:t>
            </w:r>
          </w:p>
        </w:tc>
      </w:tr>
    </w:tbl>
    <w:p>
      <w:pPr>
        <w:spacing w:after="40"/>
      </w:pPr>
    </w:p>
    <w:tbl>
      <w:tblPr>
        <w:tblStyle w:val="TableGrid"/>
        <w:tblW w:type="dxa" w:w="9360"/>
        <w:jc w:val="left"/>
        <w:tblLayout w:type="fixed"/>
        <w:tblLook w:firstColumn="1" w:firstRow="1" w:lastColumn="0" w:lastRow="0" w:noHBand="0" w:noVBand="1" w:val="04A0"/>
        <w:tblInd w:w="120" w:type="dxa"/>
      </w:tblPr>
      <w:tblGrid>
        <w:gridCol w:w="850"/>
        <w:gridCol w:w="2500"/>
        <w:gridCol w:w="1600"/>
        <w:gridCol w:w="2300"/>
        <w:gridCol w:w="2110"/>
      </w:tblGrid>
      <w:tr>
        <w:trPr>
          <w:tblHeader w:val="true"/>
        </w:trPr>
        <w:tc>
          <w:tcPr>
            <w:tcW w:type="dxa" w:w="8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年份/类型</w:t>
            </w:r>
          </w:p>
        </w:tc>
        <w:tc>
          <w:tcPr>
            <w:tcW w:type="dxa" w:w="25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论文或软件</w:t>
            </w:r>
          </w:p>
        </w:tc>
        <w:tc>
          <w:tcPr>
            <w:tcW w:type="dxa" w:w="16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期刊/开放性</w:t>
            </w:r>
          </w:p>
        </w:tc>
        <w:tc>
          <w:tcPr>
            <w:tcW w:type="dxa" w:w="23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来源类型/关系</w:t>
            </w:r>
          </w:p>
        </w:tc>
        <w:tc>
          <w:tcPr>
            <w:tcW w:type="dxa" w:w="211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链接</w:t>
            </w:r>
          </w:p>
        </w:tc>
      </w:tr>
      <w:tr>
        <w:trPr>
          <w:cantSplit/>
        </w:trPr>
        <w:tc>
          <w:tcPr>
            <w:tcW w:type="dxa" w:w="850"/>
          </w:tcPr>
          <w:p>
            <w:pPr>
              <w:keepLines/>
              <w:spacing w:after="0" w:line="276" w:lineRule="auto"/>
            </w:pPr>
            <w:r>
              <w:rPr>
                <w:rFonts w:ascii="Calibri" w:hAnsi="Calibri" w:eastAsia="Microsoft YaHei"/>
                <w:color w:val="0B2545"/>
                <w:sz w:val="14"/>
              </w:rPr>
              <w:t>2007</w:t>
            </w:r>
          </w:p>
        </w:tc>
        <w:tc>
          <w:tcPr>
            <w:tcW w:type="dxa" w:w="2500"/>
          </w:tcPr>
          <w:p>
            <w:pPr>
              <w:keepLines/>
              <w:spacing w:after="0" w:line="276" w:lineRule="auto"/>
            </w:pPr>
            <w:r>
              <w:rPr>
                <w:rFonts w:ascii="Calibri" w:hAnsi="Calibri" w:eastAsia="Microsoft YaHei"/>
                <w:color w:val="0B2545"/>
                <w:sz w:val="14"/>
              </w:rPr>
              <w:t>First mirror tests for ITER: Influence of material choice on the erosion/deposition mechanisms affecting optical reflectivity</w:t>
            </w:r>
          </w:p>
        </w:tc>
        <w:tc>
          <w:tcPr>
            <w:tcW w:type="dxa" w:w="1600"/>
          </w:tcPr>
          <w:p>
            <w:pPr>
              <w:keepLines/>
              <w:spacing w:after="0" w:line="276" w:lineRule="auto"/>
            </w:pPr>
            <w:r>
              <w:rPr>
                <w:rFonts w:ascii="Calibri" w:hAnsi="Calibri" w:eastAsia="Microsoft YaHei"/>
                <w:color w:val="0B2545"/>
                <w:sz w:val="14"/>
              </w:rPr>
              <w:t>Journal of Nuclear Materials</w:t>
            </w:r>
          </w:p>
        </w:tc>
        <w:tc>
          <w:tcPr>
            <w:tcW w:type="dxa" w:w="2300"/>
          </w:tcPr>
          <w:p>
            <w:pPr>
              <w:keepLines/>
              <w:spacing w:after="0" w:line="276" w:lineRule="auto"/>
            </w:pPr>
            <w:r>
              <w:rPr>
                <w:rFonts w:ascii="Calibri" w:hAnsi="Calibri" w:eastAsia="Microsoft YaHei"/>
                <w:color w:val="0B2545"/>
                <w:sz w:val="14"/>
              </w:rPr>
              <w:t>peer-reviewed-journal</w:t>
            </w:r>
          </w:p>
        </w:tc>
        <w:tc>
          <w:tcPr>
            <w:tcW w:type="dxa" w:w="2110"/>
          </w:tcPr>
          <w:p>
            <w:pPr>
              <w:keepLines/>
              <w:spacing w:after="0" w:line="276" w:lineRule="auto"/>
            </w:pPr>
            <w:hyperlink r:id="rId126">
              <w:r>
                <w:rPr>
                  <w:rFonts w:ascii="Calibri" w:hAnsi="Calibri" w:eastAsia="Microsoft YaHei"/>
                  <w:color w:val="008C95"/>
                  <w:u w:val="single"/>
                </w:rPr>
                <w:t>打开原始来源 ↗</w:t>
              </w:r>
            </w:hyperlink>
          </w:p>
        </w:tc>
      </w:tr>
      <w:tr>
        <w:trPr>
          <w:cantSplit/>
        </w:trPr>
        <w:tc>
          <w:tcPr>
            <w:tcW w:type="dxa" w:w="850"/>
          </w:tcPr>
          <w:p>
            <w:pPr>
              <w:keepLines/>
              <w:spacing w:after="0" w:line="276" w:lineRule="auto"/>
            </w:pPr>
            <w:r>
              <w:rPr>
                <w:rFonts w:ascii="Calibri" w:hAnsi="Calibri" w:eastAsia="Microsoft YaHei"/>
                <w:color w:val="0B2545"/>
                <w:sz w:val="14"/>
              </w:rPr>
              <w:t>2015</w:t>
            </w:r>
          </w:p>
        </w:tc>
        <w:tc>
          <w:tcPr>
            <w:tcW w:type="dxa" w:w="2500"/>
          </w:tcPr>
          <w:p>
            <w:pPr>
              <w:keepLines/>
              <w:spacing w:after="0" w:line="276" w:lineRule="auto"/>
            </w:pPr>
            <w:r>
              <w:rPr>
                <w:rFonts w:ascii="Calibri" w:hAnsi="Calibri" w:eastAsia="Microsoft YaHei"/>
                <w:color w:val="0B2545"/>
                <w:sz w:val="14"/>
              </w:rPr>
              <w:t>Review of the ITER diagnostics suite for erosion, deposition, dust and tritium measurements</w:t>
            </w:r>
          </w:p>
        </w:tc>
        <w:tc>
          <w:tcPr>
            <w:tcW w:type="dxa" w:w="1600"/>
          </w:tcPr>
          <w:p>
            <w:pPr>
              <w:keepLines/>
              <w:spacing w:after="0" w:line="276" w:lineRule="auto"/>
            </w:pPr>
            <w:r>
              <w:rPr>
                <w:rFonts w:ascii="Calibri" w:hAnsi="Calibri" w:eastAsia="Microsoft YaHei"/>
                <w:color w:val="0B2545"/>
                <w:sz w:val="14"/>
              </w:rPr>
              <w:t>Journal of Nuclear Materials</w:t>
            </w:r>
          </w:p>
        </w:tc>
        <w:tc>
          <w:tcPr>
            <w:tcW w:type="dxa" w:w="2300"/>
          </w:tcPr>
          <w:p>
            <w:pPr>
              <w:keepLines/>
              <w:spacing w:after="0" w:line="276" w:lineRule="auto"/>
            </w:pPr>
            <w:r>
              <w:rPr>
                <w:rFonts w:ascii="Calibri" w:hAnsi="Calibri" w:eastAsia="Microsoft YaHei"/>
                <w:color w:val="0B2545"/>
                <w:sz w:val="14"/>
              </w:rPr>
              <w:t>peer-reviewed-journal</w:t>
            </w:r>
          </w:p>
        </w:tc>
        <w:tc>
          <w:tcPr>
            <w:tcW w:type="dxa" w:w="2110"/>
          </w:tcPr>
          <w:p>
            <w:pPr>
              <w:keepLines/>
              <w:spacing w:after="0" w:line="276" w:lineRule="auto"/>
            </w:pPr>
            <w:hyperlink r:id="rId125">
              <w:r>
                <w:rPr>
                  <w:rFonts w:ascii="Calibri" w:hAnsi="Calibri" w:eastAsia="Microsoft YaHei"/>
                  <w:color w:val="008C95"/>
                  <w:u w:val="single"/>
                </w:rPr>
                <w:t>打开原始来源 ↗</w:t>
              </w:r>
            </w:hyperlink>
          </w:p>
        </w:tc>
      </w:tr>
      <w:tr>
        <w:trPr>
          <w:cantSplit/>
        </w:trPr>
        <w:tc>
          <w:tcPr>
            <w:tcW w:type="dxa" w:w="850"/>
          </w:tcPr>
          <w:p>
            <w:pPr>
              <w:keepLines/>
              <w:spacing w:after="0" w:line="276" w:lineRule="auto"/>
            </w:pPr>
            <w:r>
              <w:rPr>
                <w:rFonts w:ascii="Calibri" w:hAnsi="Calibri" w:eastAsia="Microsoft YaHei"/>
                <w:color w:val="0B2545"/>
                <w:sz w:val="14"/>
              </w:rPr>
              <w:t>2012</w:t>
            </w:r>
          </w:p>
        </w:tc>
        <w:tc>
          <w:tcPr>
            <w:tcW w:type="dxa" w:w="2500"/>
          </w:tcPr>
          <w:p>
            <w:pPr>
              <w:keepLines/>
              <w:spacing w:after="0" w:line="276" w:lineRule="auto"/>
            </w:pPr>
            <w:r>
              <w:rPr>
                <w:rFonts w:ascii="Calibri" w:hAnsi="Calibri" w:eastAsia="Microsoft YaHei"/>
                <w:color w:val="0B2545"/>
                <w:sz w:val="14"/>
              </w:rPr>
              <w:t>Plasma-Wall-Interaction Diagnostics in ITER: Dust, Erosion, and Tritium Retention</w:t>
            </w:r>
          </w:p>
        </w:tc>
        <w:tc>
          <w:tcPr>
            <w:tcW w:type="dxa" w:w="1600"/>
          </w:tcPr>
          <w:p>
            <w:pPr>
              <w:keepLines/>
              <w:spacing w:after="0" w:line="276" w:lineRule="auto"/>
            </w:pPr>
            <w:r>
              <w:rPr>
                <w:rFonts w:ascii="Calibri" w:hAnsi="Calibri" w:eastAsia="Microsoft YaHei"/>
                <w:color w:val="0B2545"/>
                <w:sz w:val="14"/>
              </w:rPr>
              <w:t>Fusion Science and Technology</w:t>
            </w:r>
          </w:p>
        </w:tc>
        <w:tc>
          <w:tcPr>
            <w:tcW w:type="dxa" w:w="2300"/>
          </w:tcPr>
          <w:p>
            <w:pPr>
              <w:keepLines/>
              <w:spacing w:after="0" w:line="276" w:lineRule="auto"/>
            </w:pPr>
            <w:r>
              <w:rPr>
                <w:rFonts w:ascii="Calibri" w:hAnsi="Calibri" w:eastAsia="Microsoft YaHei"/>
                <w:color w:val="0B2545"/>
                <w:sz w:val="14"/>
              </w:rPr>
              <w:t>peer-reviewed-journal</w:t>
            </w:r>
          </w:p>
        </w:tc>
        <w:tc>
          <w:tcPr>
            <w:tcW w:type="dxa" w:w="2110"/>
          </w:tcPr>
          <w:p>
            <w:pPr>
              <w:keepLines/>
              <w:spacing w:after="0" w:line="276" w:lineRule="auto"/>
            </w:pPr>
            <w:hyperlink r:id="rId127">
              <w:r>
                <w:rPr>
                  <w:rFonts w:ascii="Calibri" w:hAnsi="Calibri" w:eastAsia="Microsoft YaHei"/>
                  <w:color w:val="008C95"/>
                  <w:u w:val="single"/>
                </w:rPr>
                <w:t>打开原始来源 ↗</w:t>
              </w:r>
            </w:hyperlink>
          </w:p>
        </w:tc>
      </w:tr>
      <w:tr>
        <w:trPr>
          <w:cantSplit/>
        </w:trPr>
        <w:tc>
          <w:tcPr>
            <w:tcW w:type="dxa" w:w="850"/>
          </w:tcPr>
          <w:p>
            <w:pPr>
              <w:keepLines/>
              <w:spacing w:after="0" w:line="276" w:lineRule="auto"/>
            </w:pPr>
            <w:r>
              <w:rPr>
                <w:rFonts w:ascii="Calibri" w:hAnsi="Calibri" w:eastAsia="Microsoft YaHei"/>
                <w:color w:val="0B2545"/>
                <w:sz w:val="14"/>
              </w:rPr>
              <w:t>软件</w:t>
            </w:r>
          </w:p>
        </w:tc>
        <w:tc>
          <w:tcPr>
            <w:tcW w:type="dxa" w:w="2500"/>
          </w:tcPr>
          <w:p>
            <w:pPr>
              <w:keepLines/>
              <w:spacing w:after="0" w:line="276" w:lineRule="auto"/>
            </w:pPr>
            <w:r>
              <w:rPr>
                <w:rFonts w:ascii="Calibri" w:hAnsi="Calibri" w:eastAsia="Microsoft YaHei"/>
                <w:color w:val="0B2545"/>
                <w:sz w:val="14"/>
              </w:rPr>
              <w:t>装置专有分析/标定软件</w:t>
            </w:r>
          </w:p>
        </w:tc>
        <w:tc>
          <w:tcPr>
            <w:tcW w:type="dxa" w:w="1600"/>
          </w:tcPr>
          <w:p>
            <w:pPr>
              <w:keepLines/>
              <w:spacing w:after="0" w:line="276" w:lineRule="auto"/>
            </w:pPr>
            <w:r>
              <w:rPr>
                <w:rFonts w:ascii="Calibri" w:hAnsi="Calibri" w:eastAsia="Microsoft YaHei"/>
                <w:color w:val="0B2545"/>
                <w:sz w:val="14"/>
              </w:rPr>
              <w:t>not-public</w:t>
            </w:r>
          </w:p>
        </w:tc>
        <w:tc>
          <w:tcPr>
            <w:tcW w:type="dxa" w:w="2300"/>
          </w:tcPr>
          <w:p>
            <w:pPr>
              <w:keepLines/>
              <w:spacing w:after="0" w:line="276" w:lineRule="auto"/>
            </w:pPr>
            <w:r>
              <w:rPr>
                <w:rFonts w:ascii="Calibri" w:hAnsi="Calibri" w:eastAsia="Microsoft YaHei"/>
                <w:color w:val="0B2545"/>
                <w:sz w:val="14"/>
              </w:rPr>
              <w:t>跨诊断光学吞吐健康融合与资产数据库未公开。</w:t>
            </w:r>
          </w:p>
        </w:tc>
        <w:tc>
          <w:tcPr>
            <w:tcW w:type="dxa" w:w="2110"/>
          </w:tcPr>
          <w:p>
            <w:pPr>
              <w:keepLines/>
              <w:spacing w:after="0" w:line="276" w:lineRule="auto"/>
            </w:pPr>
            <w:r>
              <w:rPr>
                <w:rFonts w:ascii="Calibri" w:hAnsi="Calibri" w:eastAsia="Microsoft YaHei"/>
                <w:color w:val="0B2545"/>
                <w:sz w:val="14"/>
              </w:rPr>
              <w:t>未公开</w:t>
            </w:r>
          </w:p>
        </w:tc>
      </w:tr>
    </w:tbl>
    <w:p>
      <w:pPr>
        <w:spacing w:before="0" w:after="60"/>
      </w:pPr>
    </w:p>
    <w:p>
      <w:pPr>
        <w:pStyle w:val="Heading2"/>
      </w:pPr>
      <w:r>
        <w:t>关联工作速查</w:t>
      </w:r>
    </w:p>
    <w:tbl>
      <w:tblPr>
        <w:tblStyle w:val="TableGrid"/>
        <w:tblW w:type="dxa" w:w="9360"/>
        <w:jc w:val="left"/>
        <w:tblLayout w:type="fixed"/>
        <w:tblLook w:firstColumn="1" w:firstRow="1" w:lastColumn="0" w:lastRow="0" w:noHBand="0" w:noVBand="1" w:val="04A0"/>
        <w:tblInd w:w="120" w:type="dxa"/>
      </w:tblPr>
      <w:tblGrid>
        <w:gridCol w:w="1000"/>
        <w:gridCol w:w="900"/>
        <w:gridCol w:w="3760"/>
        <w:gridCol w:w="800"/>
        <w:gridCol w:w="2900"/>
      </w:tblGrid>
      <w:tr>
        <w:trPr>
          <w:tblHeader w:val="true"/>
        </w:trPr>
        <w:tc>
          <w:tcPr>
            <w:tcW w:type="dxa" w:w="1000"/>
            <w:tcMar>
              <w:top w:w="55" w:type="dxa"/>
              <w:bottom w:w="55" w:type="dxa"/>
              <w:start w:w="100" w:type="dxa"/>
              <w:end w:w="100" w:type="dxa"/>
            </w:tcMar>
            <w:vAlign w:val="center"/>
            <w:shd w:fill="E8EEF5"/>
          </w:tcPr>
          <w:p>
            <w:pPr>
              <w:keepNext/>
              <w:spacing w:after="0"/>
              <w:jc w:val="center"/>
            </w:pPr>
            <w:r>
              <w:rPr>
                <w:rFonts w:ascii="Calibri" w:hAnsi="Calibri" w:eastAsia="Microsoft YaHei"/>
                <w:b/>
                <w:color w:val="0B2545"/>
                <w:sz w:val="14"/>
              </w:rPr>
              <w:t>ID</w:t>
            </w:r>
          </w:p>
        </w:tc>
        <w:tc>
          <w:tcPr>
            <w:tcW w:type="dxa" w:w="900"/>
            <w:tcMar>
              <w:top w:w="55" w:type="dxa"/>
              <w:bottom w:w="55" w:type="dxa"/>
              <w:start w:w="100" w:type="dxa"/>
              <w:end w:w="100" w:type="dxa"/>
            </w:tcMar>
            <w:vAlign w:val="center"/>
            <w:shd w:fill="E8EEF5"/>
          </w:tcPr>
          <w:p>
            <w:pPr>
              <w:keepNext/>
              <w:spacing w:after="0"/>
              <w:jc w:val="center"/>
            </w:pPr>
            <w:r>
              <w:rPr>
                <w:rFonts w:ascii="Calibri" w:hAnsi="Calibri" w:eastAsia="Microsoft YaHei"/>
                <w:b/>
                <w:color w:val="0B2545"/>
                <w:sz w:val="14"/>
              </w:rPr>
              <w:t>主任务</w:t>
            </w:r>
          </w:p>
        </w:tc>
        <w:tc>
          <w:tcPr>
            <w:tcW w:type="dxa" w:w="3760"/>
            <w:tcMar>
              <w:top w:w="55" w:type="dxa"/>
              <w:bottom w:w="55" w:type="dxa"/>
              <w:start w:w="100" w:type="dxa"/>
              <w:end w:w="100" w:type="dxa"/>
            </w:tcMar>
            <w:vAlign w:val="center"/>
            <w:shd w:fill="E8EEF5"/>
          </w:tcPr>
          <w:p>
            <w:pPr>
              <w:keepNext/>
              <w:spacing w:after="0"/>
              <w:jc w:val="center"/>
            </w:pPr>
            <w:r>
              <w:rPr>
                <w:rFonts w:ascii="Calibri" w:hAnsi="Calibri" w:eastAsia="Microsoft YaHei"/>
                <w:b/>
                <w:color w:val="0B2545"/>
                <w:sz w:val="14"/>
              </w:rPr>
              <w:t>标题</w:t>
            </w:r>
          </w:p>
        </w:tc>
        <w:tc>
          <w:tcPr>
            <w:tcW w:type="dxa" w:w="800"/>
            <w:tcMar>
              <w:top w:w="55" w:type="dxa"/>
              <w:bottom w:w="55" w:type="dxa"/>
              <w:start w:w="100" w:type="dxa"/>
              <w:end w:w="100" w:type="dxa"/>
            </w:tcMar>
            <w:vAlign w:val="center"/>
            <w:shd w:fill="E8EEF5"/>
          </w:tcPr>
          <w:p>
            <w:pPr>
              <w:keepNext/>
              <w:spacing w:after="0"/>
              <w:jc w:val="center"/>
            </w:pPr>
            <w:r>
              <w:rPr>
                <w:rFonts w:ascii="Calibri" w:hAnsi="Calibri" w:eastAsia="Microsoft YaHei"/>
                <w:b/>
                <w:color w:val="0B2545"/>
                <w:sz w:val="14"/>
              </w:rPr>
              <w:t>证据</w:t>
            </w:r>
          </w:p>
        </w:tc>
        <w:tc>
          <w:tcPr>
            <w:tcW w:type="dxa" w:w="2900"/>
            <w:tcMar>
              <w:top w:w="55" w:type="dxa"/>
              <w:bottom w:w="55" w:type="dxa"/>
              <w:start w:w="100" w:type="dxa"/>
              <w:end w:w="100" w:type="dxa"/>
            </w:tcMar>
            <w:vAlign w:val="center"/>
            <w:shd w:fill="E8EEF5"/>
          </w:tcPr>
          <w:p>
            <w:pPr>
              <w:keepNext/>
              <w:spacing w:after="0"/>
              <w:jc w:val="center"/>
            </w:pPr>
            <w:r>
              <w:rPr>
                <w:rFonts w:ascii="Calibri" w:hAnsi="Calibri" w:eastAsia="Microsoft YaHei"/>
                <w:b/>
                <w:color w:val="0B2545"/>
                <w:sz w:val="14"/>
              </w:rPr>
              <w:t>装置</w:t>
            </w:r>
          </w:p>
        </w:tc>
      </w:tr>
      <w:tr>
        <w:trPr>
          <w:cantSplit/>
        </w:trPr>
        <w:tc>
          <w:tcPr>
            <w:tcW w:type="dxa" w:w="1000"/>
            <w:tcMar>
              <w:top w:w="45" w:type="dxa"/>
              <w:bottom w:w="45" w:type="dxa"/>
              <w:start w:w="100" w:type="dxa"/>
              <w:end w:w="100" w:type="dxa"/>
            </w:tcMar>
          </w:tcPr>
          <w:p>
            <w:pPr>
              <w:keepLines/>
              <w:spacing w:after="0" w:line="252" w:lineRule="auto"/>
            </w:pPr>
            <w:r>
              <w:rPr>
                <w:rFonts w:ascii="Calibri" w:hAnsi="Calibri" w:eastAsia="Microsoft YaHei"/>
                <w:color w:val="0B2545"/>
                <w:sz w:val="14"/>
              </w:rPr>
              <w:t>DSI-001</w:t>
            </w:r>
          </w:p>
        </w:tc>
        <w:tc>
          <w:tcPr>
            <w:tcW w:type="dxa" w:w="900"/>
            <w:tcMar>
              <w:top w:w="45" w:type="dxa"/>
              <w:bottom w:w="45" w:type="dxa"/>
              <w:start w:w="100" w:type="dxa"/>
              <w:end w:w="100" w:type="dxa"/>
            </w:tcMar>
          </w:tcPr>
          <w:p>
            <w:pPr>
              <w:keepLines/>
              <w:spacing w:after="0" w:line="252" w:lineRule="auto"/>
            </w:pPr>
            <w:r>
              <w:rPr>
                <w:rFonts w:ascii="Calibri" w:hAnsi="Calibri" w:eastAsia="Microsoft YaHei"/>
                <w:color w:val="0B2545"/>
                <w:sz w:val="14"/>
              </w:rPr>
              <w:t>DG0</w:t>
            </w:r>
          </w:p>
        </w:tc>
        <w:tc>
          <w:tcPr>
            <w:tcW w:type="dxa" w:w="3760"/>
            <w:tcMar>
              <w:top w:w="45" w:type="dxa"/>
              <w:bottom w:w="45" w:type="dxa"/>
              <w:start w:w="100" w:type="dxa"/>
              <w:end w:w="100" w:type="dxa"/>
            </w:tcMar>
          </w:tcPr>
          <w:p>
            <w:pPr>
              <w:keepLines/>
              <w:spacing w:after="0" w:line="252" w:lineRule="auto"/>
            </w:pPr>
            <w:r>
              <w:rPr>
                <w:rFonts w:ascii="Calibri" w:hAnsi="Calibri" w:eastAsia="Microsoft YaHei"/>
                <w:color w:val="0B2545"/>
                <w:sz w:val="14"/>
              </w:rPr>
              <w:t>IMAS 接口数据结构与数据字典</w:t>
            </w:r>
          </w:p>
        </w:tc>
        <w:tc>
          <w:tcPr>
            <w:tcW w:type="dxa" w:w="800"/>
            <w:tcMar>
              <w:top w:w="45" w:type="dxa"/>
              <w:bottom w:w="45" w:type="dxa"/>
              <w:start w:w="100" w:type="dxa"/>
              <w:end w:w="100" w:type="dxa"/>
            </w:tcMar>
          </w:tcPr>
          <w:p>
            <w:pPr>
              <w:keepLines/>
              <w:spacing w:after="0" w:line="252" w:lineRule="auto"/>
            </w:pPr>
            <w:r>
              <w:rPr>
                <w:rFonts w:ascii="Calibri" w:hAnsi="Calibri" w:eastAsia="Microsoft YaHei"/>
                <w:color w:val="0B2545"/>
                <w:sz w:val="14"/>
              </w:rPr>
              <w:t>E3</w:t>
            </w:r>
          </w:p>
        </w:tc>
        <w:tc>
          <w:tcPr>
            <w:tcW w:type="dxa" w:w="2900"/>
            <w:tcMar>
              <w:top w:w="45" w:type="dxa"/>
              <w:bottom w:w="45" w:type="dxa"/>
              <w:start w:w="100" w:type="dxa"/>
              <w:end w:w="100" w:type="dxa"/>
            </w:tcMar>
          </w:tcPr>
          <w:p>
            <w:pPr>
              <w:keepLines/>
              <w:spacing w:after="0" w:line="252" w:lineRule="auto"/>
            </w:pPr>
            <w:r>
              <w:rPr>
                <w:rFonts w:ascii="Calibri" w:hAnsi="Calibri" w:eastAsia="Microsoft YaHei"/>
                <w:color w:val="0B2545"/>
                <w:sz w:val="14"/>
              </w:rPr>
              <w:t>ITER；EUROfusion devices；JET；ASDEX Upgrade；WEST；TCV；W7-X</w:t>
            </w:r>
          </w:p>
        </w:tc>
      </w:tr>
      <w:tr>
        <w:trPr>
          <w:cantSplit/>
        </w:trPr>
        <w:tc>
          <w:tcPr>
            <w:tcW w:type="dxa" w:w="1000"/>
            <w:tcMar>
              <w:top w:w="45" w:type="dxa"/>
              <w:bottom w:w="45" w:type="dxa"/>
              <w:start w:w="100" w:type="dxa"/>
              <w:end w:w="100" w:type="dxa"/>
            </w:tcMar>
          </w:tcPr>
          <w:p>
            <w:pPr>
              <w:keepLines/>
              <w:spacing w:after="0" w:line="252" w:lineRule="auto"/>
            </w:pPr>
            <w:r>
              <w:rPr>
                <w:rFonts w:ascii="Calibri" w:hAnsi="Calibri" w:eastAsia="Microsoft YaHei"/>
                <w:color w:val="0B2545"/>
                <w:sz w:val="14"/>
              </w:rPr>
              <w:t>DSI-002</w:t>
            </w:r>
          </w:p>
        </w:tc>
        <w:tc>
          <w:tcPr>
            <w:tcW w:type="dxa" w:w="900"/>
            <w:tcMar>
              <w:top w:w="45" w:type="dxa"/>
              <w:bottom w:w="45" w:type="dxa"/>
              <w:start w:w="100" w:type="dxa"/>
              <w:end w:w="100" w:type="dxa"/>
            </w:tcMar>
          </w:tcPr>
          <w:p>
            <w:pPr>
              <w:keepLines/>
              <w:spacing w:after="0" w:line="252" w:lineRule="auto"/>
            </w:pPr>
            <w:r>
              <w:rPr>
                <w:rFonts w:ascii="Calibri" w:hAnsi="Calibri" w:eastAsia="Microsoft YaHei"/>
                <w:color w:val="0B2545"/>
                <w:sz w:val="14"/>
              </w:rPr>
              <w:t>DG0</w:t>
            </w:r>
          </w:p>
        </w:tc>
        <w:tc>
          <w:tcPr>
            <w:tcW w:type="dxa" w:w="3760"/>
            <w:tcMar>
              <w:top w:w="45" w:type="dxa"/>
              <w:bottom w:w="45" w:type="dxa"/>
              <w:start w:w="100" w:type="dxa"/>
              <w:end w:w="100" w:type="dxa"/>
            </w:tcMar>
          </w:tcPr>
          <w:p>
            <w:pPr>
              <w:keepLines/>
              <w:spacing w:after="0" w:line="252" w:lineRule="auto"/>
            </w:pPr>
            <w:r>
              <w:rPr>
                <w:rFonts w:ascii="Calibri" w:hAnsi="Calibri" w:eastAsia="Microsoft YaHei"/>
                <w:color w:val="0B2545"/>
                <w:sz w:val="14"/>
              </w:rPr>
              <w:t>MDSplus 脉冲树、数据采集与时序数据管理</w:t>
            </w:r>
          </w:p>
        </w:tc>
        <w:tc>
          <w:tcPr>
            <w:tcW w:type="dxa" w:w="800"/>
            <w:tcMar>
              <w:top w:w="45" w:type="dxa"/>
              <w:bottom w:w="45" w:type="dxa"/>
              <w:start w:w="100" w:type="dxa"/>
              <w:end w:w="100" w:type="dxa"/>
            </w:tcMar>
          </w:tcPr>
          <w:p>
            <w:pPr>
              <w:keepLines/>
              <w:spacing w:after="0" w:line="252" w:lineRule="auto"/>
            </w:pPr>
            <w:r>
              <w:rPr>
                <w:rFonts w:ascii="Calibri" w:hAnsi="Calibri" w:eastAsia="Microsoft YaHei"/>
                <w:color w:val="0B2545"/>
                <w:sz w:val="14"/>
              </w:rPr>
              <w:t>E4</w:t>
            </w:r>
          </w:p>
        </w:tc>
        <w:tc>
          <w:tcPr>
            <w:tcW w:type="dxa" w:w="2900"/>
            <w:tcMar>
              <w:top w:w="45" w:type="dxa"/>
              <w:bottom w:w="45" w:type="dxa"/>
              <w:start w:w="100" w:type="dxa"/>
              <w:end w:w="100" w:type="dxa"/>
            </w:tcMar>
          </w:tcPr>
          <w:p>
            <w:pPr>
              <w:keepLines/>
              <w:spacing w:after="0" w:line="252" w:lineRule="auto"/>
            </w:pPr>
            <w:r>
              <w:rPr>
                <w:rFonts w:ascii="Calibri" w:hAnsi="Calibri" w:eastAsia="Microsoft YaHei"/>
                <w:color w:val="0B2545"/>
                <w:sz w:val="14"/>
              </w:rPr>
              <w:t>Alcator C-Mod；RFX-mod；TCV；DIII-D；KSTAR；EAST；NSTX-U；SPIDER</w:t>
            </w:r>
          </w:p>
        </w:tc>
      </w:tr>
      <w:tr>
        <w:trPr>
          <w:cantSplit/>
        </w:trPr>
        <w:tc>
          <w:tcPr>
            <w:tcW w:type="dxa" w:w="1000"/>
            <w:tcMar>
              <w:top w:w="45" w:type="dxa"/>
              <w:bottom w:w="45" w:type="dxa"/>
              <w:start w:w="100" w:type="dxa"/>
              <w:end w:w="100" w:type="dxa"/>
            </w:tcMar>
          </w:tcPr>
          <w:p>
            <w:pPr>
              <w:keepLines/>
              <w:spacing w:after="0" w:line="252" w:lineRule="auto"/>
            </w:pPr>
            <w:r>
              <w:rPr>
                <w:rFonts w:ascii="Calibri" w:hAnsi="Calibri" w:eastAsia="Microsoft YaHei"/>
                <w:color w:val="0B2545"/>
                <w:sz w:val="14"/>
              </w:rPr>
              <w:t>DSI-003</w:t>
            </w:r>
          </w:p>
        </w:tc>
        <w:tc>
          <w:tcPr>
            <w:tcW w:type="dxa" w:w="900"/>
            <w:tcMar>
              <w:top w:w="45" w:type="dxa"/>
              <w:bottom w:w="45" w:type="dxa"/>
              <w:start w:w="100" w:type="dxa"/>
              <w:end w:w="100" w:type="dxa"/>
            </w:tcMar>
          </w:tcPr>
          <w:p>
            <w:pPr>
              <w:keepLines/>
              <w:spacing w:after="0" w:line="252" w:lineRule="auto"/>
            </w:pPr>
            <w:r>
              <w:rPr>
                <w:rFonts w:ascii="Calibri" w:hAnsi="Calibri" w:eastAsia="Microsoft YaHei"/>
                <w:color w:val="0B2545"/>
                <w:sz w:val="14"/>
              </w:rPr>
              <w:t>DG0</w:t>
            </w:r>
          </w:p>
        </w:tc>
        <w:tc>
          <w:tcPr>
            <w:tcW w:type="dxa" w:w="3760"/>
            <w:tcMar>
              <w:top w:w="45" w:type="dxa"/>
              <w:bottom w:w="45" w:type="dxa"/>
              <w:start w:w="100" w:type="dxa"/>
              <w:end w:w="100" w:type="dxa"/>
            </w:tcMar>
          </w:tcPr>
          <w:p>
            <w:pPr>
              <w:keepLines/>
              <w:spacing w:after="0" w:line="252" w:lineRule="auto"/>
            </w:pPr>
            <w:r>
              <w:rPr>
                <w:rFonts w:ascii="Calibri" w:hAnsi="Calibri" w:eastAsia="Microsoft YaHei"/>
                <w:color w:val="0B2545"/>
                <w:sz w:val="14"/>
              </w:rPr>
              <w:t>UDA 统一数据访问层</w:t>
            </w:r>
          </w:p>
        </w:tc>
        <w:tc>
          <w:tcPr>
            <w:tcW w:type="dxa" w:w="800"/>
            <w:tcMar>
              <w:top w:w="45" w:type="dxa"/>
              <w:bottom w:w="45" w:type="dxa"/>
              <w:start w:w="100" w:type="dxa"/>
              <w:end w:w="100" w:type="dxa"/>
            </w:tcMar>
          </w:tcPr>
          <w:p>
            <w:pPr>
              <w:keepLines/>
              <w:spacing w:after="0" w:line="252" w:lineRule="auto"/>
            </w:pPr>
            <w:r>
              <w:rPr>
                <w:rFonts w:ascii="Calibri" w:hAnsi="Calibri" w:eastAsia="Microsoft YaHei"/>
                <w:color w:val="0B2545"/>
                <w:sz w:val="14"/>
              </w:rPr>
              <w:t>E3</w:t>
            </w:r>
          </w:p>
        </w:tc>
        <w:tc>
          <w:tcPr>
            <w:tcW w:type="dxa" w:w="2900"/>
            <w:tcMar>
              <w:top w:w="45" w:type="dxa"/>
              <w:bottom w:w="45" w:type="dxa"/>
              <w:start w:w="100" w:type="dxa"/>
              <w:end w:w="100" w:type="dxa"/>
            </w:tcMar>
          </w:tcPr>
          <w:p>
            <w:pPr>
              <w:keepLines/>
              <w:spacing w:after="0" w:line="252" w:lineRule="auto"/>
            </w:pPr>
            <w:r>
              <w:rPr>
                <w:rFonts w:ascii="Calibri" w:hAnsi="Calibri" w:eastAsia="Microsoft YaHei"/>
                <w:color w:val="0B2545"/>
                <w:sz w:val="14"/>
              </w:rPr>
              <w:t>JET；MAST Upgrade；ITER/IMAS workflows；UKAEA facilities</w:t>
            </w:r>
          </w:p>
        </w:tc>
      </w:tr>
      <w:tr>
        <w:trPr>
          <w:cantSplit/>
        </w:trPr>
        <w:tc>
          <w:tcPr>
            <w:tcW w:type="dxa" w:w="1000"/>
            <w:tcMar>
              <w:top w:w="45" w:type="dxa"/>
              <w:bottom w:w="45" w:type="dxa"/>
              <w:start w:w="100" w:type="dxa"/>
              <w:end w:w="100" w:type="dxa"/>
            </w:tcMar>
          </w:tcPr>
          <w:p>
            <w:pPr>
              <w:keepLines/>
              <w:spacing w:after="0" w:line="252" w:lineRule="auto"/>
            </w:pPr>
            <w:r>
              <w:rPr>
                <w:rFonts w:ascii="Calibri" w:hAnsi="Calibri" w:eastAsia="Microsoft YaHei"/>
                <w:color w:val="0B2545"/>
                <w:sz w:val="14"/>
              </w:rPr>
              <w:t>DSI-004</w:t>
            </w:r>
          </w:p>
        </w:tc>
        <w:tc>
          <w:tcPr>
            <w:tcW w:type="dxa" w:w="900"/>
            <w:tcMar>
              <w:top w:w="45" w:type="dxa"/>
              <w:bottom w:w="45" w:type="dxa"/>
              <w:start w:w="100" w:type="dxa"/>
              <w:end w:w="100" w:type="dxa"/>
            </w:tcMar>
          </w:tcPr>
          <w:p>
            <w:pPr>
              <w:keepLines/>
              <w:spacing w:after="0" w:line="252" w:lineRule="auto"/>
            </w:pPr>
            <w:r>
              <w:rPr>
                <w:rFonts w:ascii="Calibri" w:hAnsi="Calibri" w:eastAsia="Microsoft YaHei"/>
                <w:color w:val="0B2545"/>
                <w:sz w:val="14"/>
              </w:rPr>
              <w:t>DG0</w:t>
            </w:r>
          </w:p>
        </w:tc>
        <w:tc>
          <w:tcPr>
            <w:tcW w:type="dxa" w:w="3760"/>
            <w:tcMar>
              <w:top w:w="45" w:type="dxa"/>
              <w:bottom w:w="45" w:type="dxa"/>
              <w:start w:w="100" w:type="dxa"/>
              <w:end w:w="100" w:type="dxa"/>
            </w:tcMar>
          </w:tcPr>
          <w:p>
            <w:pPr>
              <w:keepLines/>
              <w:spacing w:after="0" w:line="252" w:lineRule="auto"/>
            </w:pPr>
            <w:r>
              <w:rPr>
                <w:rFonts w:ascii="Calibri" w:hAnsi="Calibri" w:eastAsia="Microsoft YaHei"/>
                <w:color w:val="0B2545"/>
                <w:sz w:val="14"/>
              </w:rPr>
              <w:t>OMAS：轻量 IMAS 兼容数据对象与装置映射</w:t>
            </w:r>
          </w:p>
        </w:tc>
        <w:tc>
          <w:tcPr>
            <w:tcW w:type="dxa" w:w="800"/>
            <w:tcMar>
              <w:top w:w="45" w:type="dxa"/>
              <w:bottom w:w="45" w:type="dxa"/>
              <w:start w:w="100" w:type="dxa"/>
              <w:end w:w="100" w:type="dxa"/>
            </w:tcMar>
          </w:tcPr>
          <w:p>
            <w:pPr>
              <w:keepLines/>
              <w:spacing w:after="0" w:line="252" w:lineRule="auto"/>
            </w:pPr>
            <w:r>
              <w:rPr>
                <w:rFonts w:ascii="Calibri" w:hAnsi="Calibri" w:eastAsia="Microsoft YaHei"/>
                <w:color w:val="0B2545"/>
                <w:sz w:val="14"/>
              </w:rPr>
              <w:t>E2</w:t>
            </w:r>
          </w:p>
        </w:tc>
        <w:tc>
          <w:tcPr>
            <w:tcW w:type="dxa" w:w="2900"/>
            <w:tcMar>
              <w:top w:w="45" w:type="dxa"/>
              <w:bottom w:w="45" w:type="dxa"/>
              <w:start w:w="100" w:type="dxa"/>
              <w:end w:w="100" w:type="dxa"/>
            </w:tcMar>
          </w:tcPr>
          <w:p>
            <w:pPr>
              <w:keepLines/>
              <w:spacing w:after="0" w:line="252" w:lineRule="auto"/>
            </w:pPr>
            <w:r>
              <w:rPr>
                <w:rFonts w:ascii="Calibri" w:hAnsi="Calibri" w:eastAsia="Microsoft YaHei"/>
                <w:color w:val="0B2545"/>
                <w:sz w:val="14"/>
              </w:rPr>
              <w:t>DIII-D；NSTX-U；ITER scenario studies；GA workflows</w:t>
            </w:r>
          </w:p>
        </w:tc>
      </w:tr>
      <w:tr>
        <w:trPr>
          <w:cantSplit/>
        </w:trPr>
        <w:tc>
          <w:tcPr>
            <w:tcW w:type="dxa" w:w="1000"/>
            <w:tcMar>
              <w:top w:w="45" w:type="dxa"/>
              <w:bottom w:w="45" w:type="dxa"/>
              <w:start w:w="100" w:type="dxa"/>
              <w:end w:w="100" w:type="dxa"/>
            </w:tcMar>
          </w:tcPr>
          <w:p>
            <w:pPr>
              <w:keepLines/>
              <w:spacing w:after="0" w:line="252" w:lineRule="auto"/>
            </w:pPr>
            <w:r>
              <w:rPr>
                <w:rFonts w:ascii="Calibri" w:hAnsi="Calibri" w:eastAsia="Microsoft YaHei"/>
                <w:color w:val="0B2545"/>
                <w:sz w:val="14"/>
              </w:rPr>
              <w:t>DSI-005</w:t>
            </w:r>
          </w:p>
        </w:tc>
        <w:tc>
          <w:tcPr>
            <w:tcW w:type="dxa" w:w="900"/>
            <w:tcMar>
              <w:top w:w="45" w:type="dxa"/>
              <w:bottom w:w="45" w:type="dxa"/>
              <w:start w:w="100" w:type="dxa"/>
              <w:end w:w="100" w:type="dxa"/>
            </w:tcMar>
          </w:tcPr>
          <w:p>
            <w:pPr>
              <w:keepLines/>
              <w:spacing w:after="0" w:line="252" w:lineRule="auto"/>
            </w:pPr>
            <w:r>
              <w:rPr>
                <w:rFonts w:ascii="Calibri" w:hAnsi="Calibri" w:eastAsia="Microsoft YaHei"/>
                <w:color w:val="0B2545"/>
                <w:sz w:val="14"/>
              </w:rPr>
              <w:t>DG0</w:t>
            </w:r>
          </w:p>
        </w:tc>
        <w:tc>
          <w:tcPr>
            <w:tcW w:type="dxa" w:w="3760"/>
            <w:tcMar>
              <w:top w:w="45" w:type="dxa"/>
              <w:bottom w:w="45" w:type="dxa"/>
              <w:start w:w="100" w:type="dxa"/>
              <w:end w:w="100" w:type="dxa"/>
            </w:tcMar>
          </w:tcPr>
          <w:p>
            <w:pPr>
              <w:keepLines/>
              <w:spacing w:after="0" w:line="252" w:lineRule="auto"/>
            </w:pPr>
            <w:r>
              <w:rPr>
                <w:rFonts w:ascii="Calibri" w:hAnsi="Calibri" w:eastAsia="Microsoft YaHei"/>
                <w:color w:val="0B2545"/>
                <w:sz w:val="14"/>
              </w:rPr>
              <w:t>FAIR4Fusion 数据治理蓝图</w:t>
            </w:r>
          </w:p>
        </w:tc>
        <w:tc>
          <w:tcPr>
            <w:tcW w:type="dxa" w:w="800"/>
            <w:tcMar>
              <w:top w:w="45" w:type="dxa"/>
              <w:bottom w:w="45" w:type="dxa"/>
              <w:start w:w="100" w:type="dxa"/>
              <w:end w:w="100" w:type="dxa"/>
            </w:tcMar>
          </w:tcPr>
          <w:p>
            <w:pPr>
              <w:keepLines/>
              <w:spacing w:after="0" w:line="252" w:lineRule="auto"/>
            </w:pPr>
            <w:r>
              <w:rPr>
                <w:rFonts w:ascii="Calibri" w:hAnsi="Calibri" w:eastAsia="Microsoft YaHei"/>
                <w:color w:val="0B2545"/>
                <w:sz w:val="14"/>
              </w:rPr>
              <w:t>E1</w:t>
            </w:r>
          </w:p>
        </w:tc>
        <w:tc>
          <w:tcPr>
            <w:tcW w:type="dxa" w:w="2900"/>
            <w:tcMar>
              <w:top w:w="45" w:type="dxa"/>
              <w:bottom w:w="45" w:type="dxa"/>
              <w:start w:w="100" w:type="dxa"/>
              <w:end w:w="100" w:type="dxa"/>
            </w:tcMar>
          </w:tcPr>
          <w:p>
            <w:pPr>
              <w:keepLines/>
              <w:spacing w:after="0" w:line="252" w:lineRule="auto"/>
            </w:pPr>
            <w:r>
              <w:rPr>
                <w:rFonts w:ascii="Calibri" w:hAnsi="Calibri" w:eastAsia="Microsoft YaHei"/>
                <w:color w:val="0B2545"/>
                <w:sz w:val="14"/>
              </w:rPr>
              <w:t>EUROfusion facilities；ITER-adjacent research ecosystem</w:t>
            </w:r>
          </w:p>
        </w:tc>
      </w:tr>
      <w:tr>
        <w:trPr>
          <w:cantSplit/>
        </w:trPr>
        <w:tc>
          <w:tcPr>
            <w:tcW w:type="dxa" w:w="1000"/>
            <w:tcMar>
              <w:top w:w="45" w:type="dxa"/>
              <w:bottom w:w="45" w:type="dxa"/>
              <w:start w:w="100" w:type="dxa"/>
              <w:end w:w="100" w:type="dxa"/>
            </w:tcMar>
          </w:tcPr>
          <w:p>
            <w:pPr>
              <w:keepLines/>
              <w:spacing w:after="0" w:line="252" w:lineRule="auto"/>
            </w:pPr>
            <w:r>
              <w:rPr>
                <w:rFonts w:ascii="Calibri" w:hAnsi="Calibri" w:eastAsia="Microsoft YaHei"/>
                <w:color w:val="0B2545"/>
                <w:sz w:val="14"/>
              </w:rPr>
              <w:t>DSI-006</w:t>
            </w:r>
          </w:p>
        </w:tc>
        <w:tc>
          <w:tcPr>
            <w:tcW w:type="dxa" w:w="900"/>
            <w:tcMar>
              <w:top w:w="45" w:type="dxa"/>
              <w:bottom w:w="45" w:type="dxa"/>
              <w:start w:w="100" w:type="dxa"/>
              <w:end w:w="100" w:type="dxa"/>
            </w:tcMar>
          </w:tcPr>
          <w:p>
            <w:pPr>
              <w:keepLines/>
              <w:spacing w:after="0" w:line="252" w:lineRule="auto"/>
            </w:pPr>
            <w:r>
              <w:rPr>
                <w:rFonts w:ascii="Calibri" w:hAnsi="Calibri" w:eastAsia="Microsoft YaHei"/>
                <w:color w:val="0B2545"/>
                <w:sz w:val="14"/>
              </w:rPr>
              <w:t>DG0</w:t>
            </w:r>
          </w:p>
        </w:tc>
        <w:tc>
          <w:tcPr>
            <w:tcW w:type="dxa" w:w="3760"/>
            <w:tcMar>
              <w:top w:w="45" w:type="dxa"/>
              <w:bottom w:w="45" w:type="dxa"/>
              <w:start w:w="100" w:type="dxa"/>
              <w:end w:w="100" w:type="dxa"/>
            </w:tcMar>
          </w:tcPr>
          <w:p>
            <w:pPr>
              <w:keepLines/>
              <w:spacing w:after="0" w:line="252" w:lineRule="auto"/>
            </w:pPr>
            <w:r>
              <w:rPr>
                <w:rFonts w:ascii="Calibri" w:hAnsi="Calibri" w:eastAsia="Microsoft YaHei"/>
                <w:color w:val="0B2545"/>
                <w:sz w:val="14"/>
              </w:rPr>
              <w:t>Calcam 相机几何标定与像素—三维映射</w:t>
            </w:r>
          </w:p>
        </w:tc>
        <w:tc>
          <w:tcPr>
            <w:tcW w:type="dxa" w:w="800"/>
            <w:tcMar>
              <w:top w:w="45" w:type="dxa"/>
              <w:bottom w:w="45" w:type="dxa"/>
              <w:start w:w="100" w:type="dxa"/>
              <w:end w:w="100" w:type="dxa"/>
            </w:tcMar>
          </w:tcPr>
          <w:p>
            <w:pPr>
              <w:keepLines/>
              <w:spacing w:after="0" w:line="252" w:lineRule="auto"/>
            </w:pPr>
            <w:r>
              <w:rPr>
                <w:rFonts w:ascii="Calibri" w:hAnsi="Calibri" w:eastAsia="Microsoft YaHei"/>
                <w:color w:val="0B2545"/>
                <w:sz w:val="14"/>
              </w:rPr>
              <w:t>E3</w:t>
            </w:r>
          </w:p>
        </w:tc>
        <w:tc>
          <w:tcPr>
            <w:tcW w:type="dxa" w:w="2900"/>
            <w:tcMar>
              <w:top w:w="45" w:type="dxa"/>
              <w:bottom w:w="45" w:type="dxa"/>
              <w:start w:w="100" w:type="dxa"/>
              <w:end w:w="100" w:type="dxa"/>
            </w:tcMar>
          </w:tcPr>
          <w:p>
            <w:pPr>
              <w:keepLines/>
              <w:spacing w:after="0" w:line="252" w:lineRule="auto"/>
            </w:pPr>
            <w:r>
              <w:rPr>
                <w:rFonts w:ascii="Calibri" w:hAnsi="Calibri" w:eastAsia="Microsoft YaHei"/>
                <w:color w:val="0B2545"/>
                <w:sz w:val="14"/>
              </w:rPr>
              <w:t>JET；MAST Upgrade；fusion camera systems</w:t>
            </w:r>
          </w:p>
        </w:tc>
      </w:tr>
      <w:tr>
        <w:trPr>
          <w:cantSplit/>
        </w:trPr>
        <w:tc>
          <w:tcPr>
            <w:tcW w:type="dxa" w:w="1000"/>
            <w:tcMar>
              <w:top w:w="45" w:type="dxa"/>
              <w:bottom w:w="45" w:type="dxa"/>
              <w:start w:w="100" w:type="dxa"/>
              <w:end w:w="100" w:type="dxa"/>
            </w:tcMar>
          </w:tcPr>
          <w:p>
            <w:pPr>
              <w:keepLines/>
              <w:spacing w:after="0" w:line="252" w:lineRule="auto"/>
            </w:pPr>
            <w:r>
              <w:rPr>
                <w:rFonts w:ascii="Calibri" w:hAnsi="Calibri" w:eastAsia="Microsoft YaHei"/>
                <w:color w:val="0B2545"/>
                <w:sz w:val="14"/>
              </w:rPr>
              <w:t>DG4-019</w:t>
            </w:r>
          </w:p>
        </w:tc>
        <w:tc>
          <w:tcPr>
            <w:tcW w:type="dxa" w:w="900"/>
            <w:tcMar>
              <w:top w:w="45" w:type="dxa"/>
              <w:bottom w:w="45" w:type="dxa"/>
              <w:start w:w="100" w:type="dxa"/>
              <w:end w:w="100" w:type="dxa"/>
            </w:tcMar>
          </w:tcPr>
          <w:p>
            <w:pPr>
              <w:keepLines/>
              <w:spacing w:after="0" w:line="252" w:lineRule="auto"/>
            </w:pPr>
            <w:r>
              <w:rPr>
                <w:rFonts w:ascii="Calibri" w:hAnsi="Calibri" w:eastAsia="Microsoft YaHei"/>
                <w:color w:val="0B2545"/>
                <w:sz w:val="14"/>
              </w:rPr>
              <w:t>DG4</w:t>
            </w:r>
          </w:p>
        </w:tc>
        <w:tc>
          <w:tcPr>
            <w:tcW w:type="dxa" w:w="3760"/>
            <w:tcMar>
              <w:top w:w="45" w:type="dxa"/>
              <w:bottom w:w="45" w:type="dxa"/>
              <w:start w:w="100" w:type="dxa"/>
              <w:end w:w="100" w:type="dxa"/>
            </w:tcMar>
          </w:tcPr>
          <w:p>
            <w:pPr>
              <w:keepLines/>
              <w:spacing w:after="0" w:line="252" w:lineRule="auto"/>
            </w:pPr>
            <w:r>
              <w:rPr>
                <w:rFonts w:ascii="Calibri" w:hAnsi="Calibri" w:eastAsia="Microsoft YaHei"/>
                <w:color w:val="0B2545"/>
                <w:sz w:val="14"/>
              </w:rPr>
              <w:t>可见光杂质/燃料谱：Zeff、流入与回收</w:t>
            </w:r>
          </w:p>
        </w:tc>
        <w:tc>
          <w:tcPr>
            <w:tcW w:type="dxa" w:w="800"/>
            <w:tcMar>
              <w:top w:w="45" w:type="dxa"/>
              <w:bottom w:w="45" w:type="dxa"/>
              <w:start w:w="100" w:type="dxa"/>
              <w:end w:w="100" w:type="dxa"/>
            </w:tcMar>
          </w:tcPr>
          <w:p>
            <w:pPr>
              <w:keepLines/>
              <w:spacing w:after="0" w:line="252" w:lineRule="auto"/>
            </w:pPr>
            <w:r>
              <w:rPr>
                <w:rFonts w:ascii="Calibri" w:hAnsi="Calibri" w:eastAsia="Microsoft YaHei"/>
                <w:color w:val="0B2545"/>
                <w:sz w:val="14"/>
              </w:rPr>
              <w:t>E4</w:t>
            </w:r>
          </w:p>
        </w:tc>
        <w:tc>
          <w:tcPr>
            <w:tcW w:type="dxa" w:w="2900"/>
            <w:tcMar>
              <w:top w:w="45" w:type="dxa"/>
              <w:bottom w:w="45" w:type="dxa"/>
              <w:start w:w="100" w:type="dxa"/>
              <w:end w:w="100" w:type="dxa"/>
            </w:tcMar>
          </w:tcPr>
          <w:p>
            <w:pPr>
              <w:keepLines/>
              <w:spacing w:after="0" w:line="252" w:lineRule="auto"/>
            </w:pPr>
            <w:r>
              <w:rPr>
                <w:rFonts w:ascii="Calibri" w:hAnsi="Calibri" w:eastAsia="Microsoft YaHei"/>
                <w:color w:val="0B2545"/>
                <w:sz w:val="14"/>
              </w:rPr>
              <w:t>JET；EAST；DIII-D；ITER</w:t>
            </w:r>
          </w:p>
        </w:tc>
      </w:tr>
      <w:tr>
        <w:trPr>
          <w:cantSplit/>
        </w:trPr>
        <w:tc>
          <w:tcPr>
            <w:tcW w:type="dxa" w:w="1000"/>
            <w:tcMar>
              <w:top w:w="45" w:type="dxa"/>
              <w:bottom w:w="45" w:type="dxa"/>
              <w:start w:w="100" w:type="dxa"/>
              <w:end w:w="100" w:type="dxa"/>
            </w:tcMar>
          </w:tcPr>
          <w:p>
            <w:pPr>
              <w:keepLines/>
              <w:spacing w:after="0" w:line="252" w:lineRule="auto"/>
            </w:pPr>
            <w:r>
              <w:rPr>
                <w:rFonts w:ascii="Calibri" w:hAnsi="Calibri" w:eastAsia="Microsoft YaHei"/>
                <w:color w:val="0B2545"/>
                <w:sz w:val="14"/>
              </w:rPr>
              <w:t>DG5-028</w:t>
            </w:r>
          </w:p>
        </w:tc>
        <w:tc>
          <w:tcPr>
            <w:tcW w:type="dxa" w:w="900"/>
            <w:tcMar>
              <w:top w:w="45" w:type="dxa"/>
              <w:bottom w:w="45" w:type="dxa"/>
              <w:start w:w="100" w:type="dxa"/>
              <w:end w:w="100" w:type="dxa"/>
            </w:tcMar>
          </w:tcPr>
          <w:p>
            <w:pPr>
              <w:keepLines/>
              <w:spacing w:after="0" w:line="252" w:lineRule="auto"/>
            </w:pPr>
            <w:r>
              <w:rPr>
                <w:rFonts w:ascii="Calibri" w:hAnsi="Calibri" w:eastAsia="Microsoft YaHei"/>
                <w:color w:val="0B2545"/>
                <w:sz w:val="14"/>
              </w:rPr>
              <w:t>DG5</w:t>
            </w:r>
          </w:p>
        </w:tc>
        <w:tc>
          <w:tcPr>
            <w:tcW w:type="dxa" w:w="3760"/>
            <w:tcMar>
              <w:top w:w="45" w:type="dxa"/>
              <w:bottom w:w="45" w:type="dxa"/>
              <w:start w:w="100" w:type="dxa"/>
              <w:end w:w="100" w:type="dxa"/>
            </w:tcMar>
          </w:tcPr>
          <w:p>
            <w:pPr>
              <w:keepLines/>
              <w:spacing w:after="0" w:line="252" w:lineRule="auto"/>
            </w:pPr>
            <w:r>
              <w:rPr>
                <w:rFonts w:ascii="Calibri" w:hAnsi="Calibri" w:eastAsia="Microsoft YaHei"/>
                <w:color w:val="0B2545"/>
                <w:sz w:val="14"/>
              </w:rPr>
              <w:t>快离子损失探测器：轨道损失与MHD再分布</w:t>
            </w:r>
          </w:p>
        </w:tc>
        <w:tc>
          <w:tcPr>
            <w:tcW w:type="dxa" w:w="800"/>
            <w:tcMar>
              <w:top w:w="45" w:type="dxa"/>
              <w:bottom w:w="45" w:type="dxa"/>
              <w:start w:w="100" w:type="dxa"/>
              <w:end w:w="100" w:type="dxa"/>
            </w:tcMar>
          </w:tcPr>
          <w:p>
            <w:pPr>
              <w:keepLines/>
              <w:spacing w:after="0" w:line="252" w:lineRule="auto"/>
            </w:pPr>
            <w:r>
              <w:rPr>
                <w:rFonts w:ascii="Calibri" w:hAnsi="Calibri" w:eastAsia="Microsoft YaHei"/>
                <w:color w:val="0B2545"/>
                <w:sz w:val="14"/>
              </w:rPr>
              <w:t>E4</w:t>
            </w:r>
          </w:p>
        </w:tc>
        <w:tc>
          <w:tcPr>
            <w:tcW w:type="dxa" w:w="2900"/>
            <w:tcMar>
              <w:top w:w="45" w:type="dxa"/>
              <w:bottom w:w="45" w:type="dxa"/>
              <w:start w:w="100" w:type="dxa"/>
              <w:end w:w="100" w:type="dxa"/>
            </w:tcMar>
          </w:tcPr>
          <w:p>
            <w:pPr>
              <w:keepLines/>
              <w:spacing w:after="0" w:line="252" w:lineRule="auto"/>
            </w:pPr>
            <w:r>
              <w:rPr>
                <w:rFonts w:ascii="Calibri" w:hAnsi="Calibri" w:eastAsia="Microsoft YaHei"/>
                <w:color w:val="0B2545"/>
                <w:sz w:val="14"/>
              </w:rPr>
              <w:t>ASDEX Upgrade；DIII-D；MAST；KSTAR</w:t>
            </w:r>
          </w:p>
        </w:tc>
      </w:tr>
      <w:tr>
        <w:trPr>
          <w:cantSplit/>
        </w:trPr>
        <w:tc>
          <w:tcPr>
            <w:tcW w:type="dxa" w:w="1000"/>
            <w:tcMar>
              <w:top w:w="45" w:type="dxa"/>
              <w:bottom w:w="45" w:type="dxa"/>
              <w:start w:w="100" w:type="dxa"/>
              <w:end w:w="100" w:type="dxa"/>
            </w:tcMar>
          </w:tcPr>
          <w:p>
            <w:pPr>
              <w:keepLines/>
              <w:spacing w:after="0" w:line="252" w:lineRule="auto"/>
            </w:pPr>
            <w:r>
              <w:rPr>
                <w:rFonts w:ascii="Calibri" w:hAnsi="Calibri" w:eastAsia="Microsoft YaHei"/>
                <w:color w:val="0B2545"/>
                <w:sz w:val="14"/>
              </w:rPr>
              <w:t>DG6-035</w:t>
            </w:r>
          </w:p>
        </w:tc>
        <w:tc>
          <w:tcPr>
            <w:tcW w:type="dxa" w:w="900"/>
            <w:tcMar>
              <w:top w:w="45" w:type="dxa"/>
              <w:bottom w:w="45" w:type="dxa"/>
              <w:start w:w="100" w:type="dxa"/>
              <w:end w:w="100" w:type="dxa"/>
            </w:tcMar>
          </w:tcPr>
          <w:p>
            <w:pPr>
              <w:keepLines/>
              <w:spacing w:after="0" w:line="252" w:lineRule="auto"/>
            </w:pPr>
            <w:r>
              <w:rPr>
                <w:rFonts w:ascii="Calibri" w:hAnsi="Calibri" w:eastAsia="Microsoft YaHei"/>
                <w:color w:val="0B2545"/>
                <w:sz w:val="14"/>
              </w:rPr>
              <w:t>DG6</w:t>
            </w:r>
          </w:p>
        </w:tc>
        <w:tc>
          <w:tcPr>
            <w:tcW w:type="dxa" w:w="3760"/>
            <w:tcMar>
              <w:top w:w="45" w:type="dxa"/>
              <w:bottom w:w="45" w:type="dxa"/>
              <w:start w:w="100" w:type="dxa"/>
              <w:end w:w="100" w:type="dxa"/>
            </w:tcMar>
          </w:tcPr>
          <w:p>
            <w:pPr>
              <w:keepLines/>
              <w:spacing w:after="0" w:line="252" w:lineRule="auto"/>
            </w:pPr>
            <w:r>
              <w:rPr>
                <w:rFonts w:ascii="Calibri" w:hAnsi="Calibri" w:eastAsia="Microsoft YaHei"/>
                <w:color w:val="0B2545"/>
                <w:sz w:val="14"/>
              </w:rPr>
              <w:t>气体喷注成像：边缘丝状体与湍流</w:t>
            </w:r>
          </w:p>
        </w:tc>
        <w:tc>
          <w:tcPr>
            <w:tcW w:type="dxa" w:w="800"/>
            <w:tcMar>
              <w:top w:w="45" w:type="dxa"/>
              <w:bottom w:w="45" w:type="dxa"/>
              <w:start w:w="100" w:type="dxa"/>
              <w:end w:w="100" w:type="dxa"/>
            </w:tcMar>
          </w:tcPr>
          <w:p>
            <w:pPr>
              <w:keepLines/>
              <w:spacing w:after="0" w:line="252" w:lineRule="auto"/>
            </w:pPr>
            <w:r>
              <w:rPr>
                <w:rFonts w:ascii="Calibri" w:hAnsi="Calibri" w:eastAsia="Microsoft YaHei"/>
                <w:color w:val="0B2545"/>
                <w:sz w:val="14"/>
              </w:rPr>
              <w:t>E4</w:t>
            </w:r>
          </w:p>
        </w:tc>
        <w:tc>
          <w:tcPr>
            <w:tcW w:type="dxa" w:w="2900"/>
            <w:tcMar>
              <w:top w:w="45" w:type="dxa"/>
              <w:bottom w:w="45" w:type="dxa"/>
              <w:start w:w="100" w:type="dxa"/>
              <w:end w:w="100" w:type="dxa"/>
            </w:tcMar>
          </w:tcPr>
          <w:p>
            <w:pPr>
              <w:keepLines/>
              <w:spacing w:after="0" w:line="252" w:lineRule="auto"/>
            </w:pPr>
            <w:r>
              <w:rPr>
                <w:rFonts w:ascii="Calibri" w:hAnsi="Calibri" w:eastAsia="Microsoft YaHei"/>
                <w:color w:val="0B2545"/>
                <w:sz w:val="14"/>
              </w:rPr>
              <w:t>TCV；Alcator C-Mod；NSTX；DIII-D</w:t>
            </w:r>
          </w:p>
        </w:tc>
      </w:tr>
      <w:tr>
        <w:trPr>
          <w:cantSplit/>
        </w:trPr>
        <w:tc>
          <w:tcPr>
            <w:tcW w:type="dxa" w:w="1000"/>
            <w:tcMar>
              <w:top w:w="45" w:type="dxa"/>
              <w:bottom w:w="45" w:type="dxa"/>
              <w:start w:w="100" w:type="dxa"/>
              <w:end w:w="100" w:type="dxa"/>
            </w:tcMar>
          </w:tcPr>
          <w:p>
            <w:pPr>
              <w:keepLines/>
              <w:spacing w:after="0" w:line="252" w:lineRule="auto"/>
            </w:pPr>
            <w:r>
              <w:rPr>
                <w:rFonts w:ascii="Calibri" w:hAnsi="Calibri" w:eastAsia="Microsoft YaHei"/>
                <w:color w:val="0B2545"/>
                <w:sz w:val="14"/>
              </w:rPr>
              <w:t>PDT-004</w:t>
            </w:r>
          </w:p>
        </w:tc>
        <w:tc>
          <w:tcPr>
            <w:tcW w:type="dxa" w:w="900"/>
            <w:tcMar>
              <w:top w:w="45" w:type="dxa"/>
              <w:bottom w:w="45" w:type="dxa"/>
              <w:start w:w="100" w:type="dxa"/>
              <w:end w:w="100" w:type="dxa"/>
            </w:tcMar>
          </w:tcPr>
          <w:p>
            <w:pPr>
              <w:keepLines/>
              <w:spacing w:after="0" w:line="252" w:lineRule="auto"/>
            </w:pPr>
            <w:r>
              <w:rPr>
                <w:rFonts w:ascii="Calibri" w:hAnsi="Calibri" w:eastAsia="Microsoft YaHei"/>
                <w:color w:val="0B2545"/>
                <w:sz w:val="14"/>
              </w:rPr>
              <w:t>DG8</w:t>
            </w:r>
          </w:p>
        </w:tc>
        <w:tc>
          <w:tcPr>
            <w:tcW w:type="dxa" w:w="3760"/>
            <w:tcMar>
              <w:top w:w="45" w:type="dxa"/>
              <w:bottom w:w="45" w:type="dxa"/>
              <w:start w:w="100" w:type="dxa"/>
              <w:end w:w="100" w:type="dxa"/>
            </w:tcMar>
          </w:tcPr>
          <w:p>
            <w:pPr>
              <w:keepLines/>
              <w:spacing w:after="0" w:line="252" w:lineRule="auto"/>
            </w:pPr>
            <w:r>
              <w:rPr>
                <w:rFonts w:ascii="Calibri" w:hAnsi="Calibri" w:eastAsia="Microsoft YaHei"/>
                <w:color w:val="0B2545"/>
                <w:sz w:val="14"/>
              </w:rPr>
              <w:t>WEST 红外壁监视到射频功率退让的实时闭环</w:t>
            </w:r>
          </w:p>
        </w:tc>
        <w:tc>
          <w:tcPr>
            <w:tcW w:type="dxa" w:w="800"/>
            <w:tcMar>
              <w:top w:w="45" w:type="dxa"/>
              <w:bottom w:w="45" w:type="dxa"/>
              <w:start w:w="100" w:type="dxa"/>
              <w:end w:w="100" w:type="dxa"/>
            </w:tcMar>
          </w:tcPr>
          <w:p>
            <w:pPr>
              <w:keepLines/>
              <w:spacing w:after="0" w:line="252" w:lineRule="auto"/>
            </w:pPr>
            <w:r>
              <w:rPr>
                <w:rFonts w:ascii="Calibri" w:hAnsi="Calibri" w:eastAsia="Microsoft YaHei"/>
                <w:color w:val="0B2545"/>
                <w:sz w:val="14"/>
              </w:rPr>
              <w:t>E4</w:t>
            </w:r>
          </w:p>
        </w:tc>
        <w:tc>
          <w:tcPr>
            <w:tcW w:type="dxa" w:w="2900"/>
            <w:tcMar>
              <w:top w:w="45" w:type="dxa"/>
              <w:bottom w:w="45" w:type="dxa"/>
              <w:start w:w="100" w:type="dxa"/>
              <w:end w:w="100" w:type="dxa"/>
            </w:tcMar>
          </w:tcPr>
          <w:p>
            <w:pPr>
              <w:keepLines/>
              <w:spacing w:after="0" w:line="252" w:lineRule="auto"/>
            </w:pPr>
            <w:r>
              <w:rPr>
                <w:rFonts w:ascii="Calibri" w:hAnsi="Calibri" w:eastAsia="Microsoft YaHei"/>
                <w:color w:val="0B2545"/>
                <w:sz w:val="14"/>
              </w:rPr>
              <w:t>WEST</w:t>
            </w:r>
          </w:p>
        </w:tc>
      </w:tr>
      <w:tr>
        <w:trPr>
          <w:cantSplit/>
        </w:trPr>
        <w:tc>
          <w:tcPr>
            <w:tcW w:type="dxa" w:w="1000"/>
            <w:tcMar>
              <w:top w:w="45" w:type="dxa"/>
              <w:bottom w:w="45" w:type="dxa"/>
              <w:start w:w="100" w:type="dxa"/>
              <w:end w:w="100" w:type="dxa"/>
            </w:tcMar>
          </w:tcPr>
          <w:p>
            <w:pPr>
              <w:keepLines/>
              <w:spacing w:after="0" w:line="252" w:lineRule="auto"/>
            </w:pPr>
            <w:r>
              <w:rPr>
                <w:rFonts w:ascii="Calibri" w:hAnsi="Calibri" w:eastAsia="Microsoft YaHei"/>
                <w:color w:val="0B2545"/>
                <w:sz w:val="14"/>
              </w:rPr>
              <w:t>PDT-005</w:t>
            </w:r>
          </w:p>
        </w:tc>
        <w:tc>
          <w:tcPr>
            <w:tcW w:type="dxa" w:w="900"/>
            <w:tcMar>
              <w:top w:w="45" w:type="dxa"/>
              <w:bottom w:w="45" w:type="dxa"/>
              <w:start w:w="100" w:type="dxa"/>
              <w:end w:w="100" w:type="dxa"/>
            </w:tcMar>
          </w:tcPr>
          <w:p>
            <w:pPr>
              <w:keepLines/>
              <w:spacing w:after="0" w:line="252" w:lineRule="auto"/>
            </w:pPr>
            <w:r>
              <w:rPr>
                <w:rFonts w:ascii="Calibri" w:hAnsi="Calibri" w:eastAsia="Microsoft YaHei"/>
                <w:color w:val="0B2545"/>
                <w:sz w:val="14"/>
              </w:rPr>
              <w:t>DG8</w:t>
            </w:r>
          </w:p>
        </w:tc>
        <w:tc>
          <w:tcPr>
            <w:tcW w:type="dxa" w:w="3760"/>
            <w:tcMar>
              <w:top w:w="45" w:type="dxa"/>
              <w:bottom w:w="45" w:type="dxa"/>
              <w:start w:w="100" w:type="dxa"/>
              <w:end w:w="100" w:type="dxa"/>
            </w:tcMar>
          </w:tcPr>
          <w:p>
            <w:pPr>
              <w:keepLines/>
              <w:spacing w:after="0" w:line="252" w:lineRule="auto"/>
            </w:pPr>
            <w:r>
              <w:rPr>
                <w:rFonts w:ascii="Calibri" w:hAnsi="Calibri" w:eastAsia="Microsoft YaHei"/>
                <w:color w:val="0B2545"/>
                <w:sz w:val="14"/>
              </w:rPr>
              <w:t>WEST 下偏滤器 FBG 多点温度长期监测</w:t>
            </w:r>
          </w:p>
        </w:tc>
        <w:tc>
          <w:tcPr>
            <w:tcW w:type="dxa" w:w="800"/>
            <w:tcMar>
              <w:top w:w="45" w:type="dxa"/>
              <w:bottom w:w="45" w:type="dxa"/>
              <w:start w:w="100" w:type="dxa"/>
              <w:end w:w="100" w:type="dxa"/>
            </w:tcMar>
          </w:tcPr>
          <w:p>
            <w:pPr>
              <w:keepLines/>
              <w:spacing w:after="0" w:line="252" w:lineRule="auto"/>
            </w:pPr>
            <w:r>
              <w:rPr>
                <w:rFonts w:ascii="Calibri" w:hAnsi="Calibri" w:eastAsia="Microsoft YaHei"/>
                <w:color w:val="0B2545"/>
                <w:sz w:val="14"/>
              </w:rPr>
              <w:t>E4</w:t>
            </w:r>
          </w:p>
        </w:tc>
        <w:tc>
          <w:tcPr>
            <w:tcW w:type="dxa" w:w="2900"/>
            <w:tcMar>
              <w:top w:w="45" w:type="dxa"/>
              <w:bottom w:w="45" w:type="dxa"/>
              <w:start w:w="100" w:type="dxa"/>
              <w:end w:w="100" w:type="dxa"/>
            </w:tcMar>
          </w:tcPr>
          <w:p>
            <w:pPr>
              <w:keepLines/>
              <w:spacing w:after="0" w:line="252" w:lineRule="auto"/>
            </w:pPr>
            <w:r>
              <w:rPr>
                <w:rFonts w:ascii="Calibri" w:hAnsi="Calibri" w:eastAsia="Microsoft YaHei"/>
                <w:color w:val="0B2545"/>
                <w:sz w:val="14"/>
              </w:rPr>
              <w:t>WEST</w:t>
            </w:r>
          </w:p>
        </w:tc>
      </w:tr>
      <w:tr>
        <w:trPr>
          <w:cantSplit/>
        </w:trPr>
        <w:tc>
          <w:tcPr>
            <w:tcW w:type="dxa" w:w="1000"/>
            <w:tcMar>
              <w:top w:w="45" w:type="dxa"/>
              <w:bottom w:w="45" w:type="dxa"/>
              <w:start w:w="100" w:type="dxa"/>
              <w:end w:w="100" w:type="dxa"/>
            </w:tcMar>
          </w:tcPr>
          <w:p>
            <w:pPr>
              <w:keepLines/>
              <w:spacing w:after="0" w:line="252" w:lineRule="auto"/>
            </w:pPr>
            <w:r>
              <w:rPr>
                <w:rFonts w:ascii="Calibri" w:hAnsi="Calibri" w:eastAsia="Microsoft YaHei"/>
                <w:color w:val="0B2545"/>
                <w:sz w:val="14"/>
              </w:rPr>
              <w:t>PDT-006</w:t>
            </w:r>
          </w:p>
        </w:tc>
        <w:tc>
          <w:tcPr>
            <w:tcW w:type="dxa" w:w="900"/>
            <w:tcMar>
              <w:top w:w="45" w:type="dxa"/>
              <w:bottom w:w="45" w:type="dxa"/>
              <w:start w:w="100" w:type="dxa"/>
              <w:end w:w="100" w:type="dxa"/>
            </w:tcMar>
          </w:tcPr>
          <w:p>
            <w:pPr>
              <w:keepLines/>
              <w:spacing w:after="0" w:line="252" w:lineRule="auto"/>
            </w:pPr>
            <w:r>
              <w:rPr>
                <w:rFonts w:ascii="Calibri" w:hAnsi="Calibri" w:eastAsia="Microsoft YaHei"/>
                <w:color w:val="0B2545"/>
                <w:sz w:val="14"/>
              </w:rPr>
              <w:t>DG8</w:t>
            </w:r>
          </w:p>
        </w:tc>
        <w:tc>
          <w:tcPr>
            <w:tcW w:type="dxa" w:w="3760"/>
            <w:tcMar>
              <w:top w:w="45" w:type="dxa"/>
              <w:bottom w:w="45" w:type="dxa"/>
              <w:start w:w="100" w:type="dxa"/>
              <w:end w:w="100" w:type="dxa"/>
            </w:tcMar>
          </w:tcPr>
          <w:p>
            <w:pPr>
              <w:keepLines/>
              <w:spacing w:after="0" w:line="252" w:lineRule="auto"/>
            </w:pPr>
            <w:r>
              <w:rPr>
                <w:rFonts w:ascii="Calibri" w:hAnsi="Calibri" w:eastAsia="Microsoft YaHei"/>
                <w:color w:val="0B2545"/>
                <w:sz w:val="14"/>
              </w:rPr>
              <w:t>W7-X 长脉冲热事件自动检测与图像数据库</w:t>
            </w:r>
          </w:p>
        </w:tc>
        <w:tc>
          <w:tcPr>
            <w:tcW w:type="dxa" w:w="800"/>
            <w:tcMar>
              <w:top w:w="45" w:type="dxa"/>
              <w:bottom w:w="45" w:type="dxa"/>
              <w:start w:w="100" w:type="dxa"/>
              <w:end w:w="100" w:type="dxa"/>
            </w:tcMar>
          </w:tcPr>
          <w:p>
            <w:pPr>
              <w:keepLines/>
              <w:spacing w:after="0" w:line="252" w:lineRule="auto"/>
            </w:pPr>
            <w:r>
              <w:rPr>
                <w:rFonts w:ascii="Calibri" w:hAnsi="Calibri" w:eastAsia="Microsoft YaHei"/>
                <w:color w:val="0B2545"/>
                <w:sz w:val="14"/>
              </w:rPr>
              <w:t>E4</w:t>
            </w:r>
          </w:p>
        </w:tc>
        <w:tc>
          <w:tcPr>
            <w:tcW w:type="dxa" w:w="2900"/>
            <w:tcMar>
              <w:top w:w="45" w:type="dxa"/>
              <w:bottom w:w="45" w:type="dxa"/>
              <w:start w:w="100" w:type="dxa"/>
              <w:end w:w="100" w:type="dxa"/>
            </w:tcMar>
          </w:tcPr>
          <w:p>
            <w:pPr>
              <w:keepLines/>
              <w:spacing w:after="0" w:line="252" w:lineRule="auto"/>
            </w:pPr>
            <w:r>
              <w:rPr>
                <w:rFonts w:ascii="Calibri" w:hAnsi="Calibri" w:eastAsia="Microsoft YaHei"/>
                <w:color w:val="0B2545"/>
                <w:sz w:val="14"/>
              </w:rPr>
              <w:t>Wendelstein 7-X</w:t>
            </w:r>
          </w:p>
        </w:tc>
      </w:tr>
      <w:tr>
        <w:trPr>
          <w:cantSplit/>
        </w:trPr>
        <w:tc>
          <w:tcPr>
            <w:tcW w:type="dxa" w:w="1000"/>
            <w:tcMar>
              <w:top w:w="45" w:type="dxa"/>
              <w:bottom w:w="45" w:type="dxa"/>
              <w:start w:w="100" w:type="dxa"/>
              <w:end w:w="100" w:type="dxa"/>
            </w:tcMar>
          </w:tcPr>
          <w:p>
            <w:pPr>
              <w:keepLines/>
              <w:spacing w:after="0" w:line="252" w:lineRule="auto"/>
            </w:pPr>
            <w:r>
              <w:rPr>
                <w:rFonts w:ascii="Calibri" w:hAnsi="Calibri" w:eastAsia="Microsoft YaHei"/>
                <w:color w:val="0B2545"/>
                <w:sz w:val="14"/>
              </w:rPr>
              <w:t>PDT-007</w:t>
            </w:r>
          </w:p>
        </w:tc>
        <w:tc>
          <w:tcPr>
            <w:tcW w:type="dxa" w:w="900"/>
            <w:tcMar>
              <w:top w:w="45" w:type="dxa"/>
              <w:bottom w:w="45" w:type="dxa"/>
              <w:start w:w="100" w:type="dxa"/>
              <w:end w:w="100" w:type="dxa"/>
            </w:tcMar>
          </w:tcPr>
          <w:p>
            <w:pPr>
              <w:keepLines/>
              <w:spacing w:after="0" w:line="252" w:lineRule="auto"/>
            </w:pPr>
            <w:r>
              <w:rPr>
                <w:rFonts w:ascii="Calibri" w:hAnsi="Calibri" w:eastAsia="Microsoft YaHei"/>
                <w:color w:val="0B2545"/>
                <w:sz w:val="14"/>
              </w:rPr>
              <w:t>DG8</w:t>
            </w:r>
          </w:p>
        </w:tc>
        <w:tc>
          <w:tcPr>
            <w:tcW w:type="dxa" w:w="3760"/>
            <w:tcMar>
              <w:top w:w="45" w:type="dxa"/>
              <w:bottom w:w="45" w:type="dxa"/>
              <w:start w:w="100" w:type="dxa"/>
              <w:end w:w="100" w:type="dxa"/>
            </w:tcMar>
          </w:tcPr>
          <w:p>
            <w:pPr>
              <w:keepLines/>
              <w:spacing w:after="0" w:line="252" w:lineRule="auto"/>
            </w:pPr>
            <w:r>
              <w:rPr>
                <w:rFonts w:ascii="Calibri" w:hAnsi="Calibri" w:eastAsia="Microsoft YaHei"/>
                <w:color w:val="0B2545"/>
                <w:sz w:val="14"/>
              </w:rPr>
              <w:t>EAST 钨偏滤器 FBG 应变—温度监测研发</w:t>
            </w:r>
          </w:p>
        </w:tc>
        <w:tc>
          <w:tcPr>
            <w:tcW w:type="dxa" w:w="800"/>
            <w:tcMar>
              <w:top w:w="45" w:type="dxa"/>
              <w:bottom w:w="45" w:type="dxa"/>
              <w:start w:w="100" w:type="dxa"/>
              <w:end w:w="100" w:type="dxa"/>
            </w:tcMar>
          </w:tcPr>
          <w:p>
            <w:pPr>
              <w:keepLines/>
              <w:spacing w:after="0" w:line="252" w:lineRule="auto"/>
            </w:pPr>
            <w:r>
              <w:rPr>
                <w:rFonts w:ascii="Calibri" w:hAnsi="Calibri" w:eastAsia="Microsoft YaHei"/>
                <w:color w:val="0B2545"/>
                <w:sz w:val="14"/>
              </w:rPr>
              <w:t>E2</w:t>
            </w:r>
          </w:p>
        </w:tc>
        <w:tc>
          <w:tcPr>
            <w:tcW w:type="dxa" w:w="2900"/>
            <w:tcMar>
              <w:top w:w="45" w:type="dxa"/>
              <w:bottom w:w="45" w:type="dxa"/>
              <w:start w:w="100" w:type="dxa"/>
              <w:end w:w="100" w:type="dxa"/>
            </w:tcMar>
          </w:tcPr>
          <w:p>
            <w:pPr>
              <w:keepLines/>
              <w:spacing w:after="0" w:line="252" w:lineRule="auto"/>
            </w:pPr>
            <w:r>
              <w:rPr>
                <w:rFonts w:ascii="Calibri" w:hAnsi="Calibri" w:eastAsia="Microsoft YaHei"/>
                <w:color w:val="0B2545"/>
                <w:sz w:val="14"/>
              </w:rPr>
              <w:t>EAST divertor mock-up；planned/partial EAST integration</w:t>
            </w:r>
          </w:p>
        </w:tc>
      </w:tr>
      <w:tr>
        <w:trPr>
          <w:cantSplit/>
        </w:trPr>
        <w:tc>
          <w:tcPr>
            <w:tcW w:type="dxa" w:w="1000"/>
            <w:tcMar>
              <w:top w:w="45" w:type="dxa"/>
              <w:bottom w:w="45" w:type="dxa"/>
              <w:start w:w="100" w:type="dxa"/>
              <w:end w:w="100" w:type="dxa"/>
            </w:tcMar>
          </w:tcPr>
          <w:p>
            <w:pPr>
              <w:keepLines/>
              <w:spacing w:after="0" w:line="252" w:lineRule="auto"/>
            </w:pPr>
            <w:r>
              <w:rPr>
                <w:rFonts w:ascii="Calibri" w:hAnsi="Calibri" w:eastAsia="Microsoft YaHei"/>
                <w:color w:val="0B2545"/>
                <w:sz w:val="14"/>
              </w:rPr>
              <w:t>PDT-011</w:t>
            </w:r>
          </w:p>
        </w:tc>
        <w:tc>
          <w:tcPr>
            <w:tcW w:type="dxa" w:w="900"/>
            <w:tcMar>
              <w:top w:w="45" w:type="dxa"/>
              <w:bottom w:w="45" w:type="dxa"/>
              <w:start w:w="100" w:type="dxa"/>
              <w:end w:w="100" w:type="dxa"/>
            </w:tcMar>
          </w:tcPr>
          <w:p>
            <w:pPr>
              <w:keepLines/>
              <w:spacing w:after="0" w:line="252" w:lineRule="auto"/>
            </w:pPr>
            <w:r>
              <w:rPr>
                <w:rFonts w:ascii="Calibri" w:hAnsi="Calibri" w:eastAsia="Microsoft YaHei"/>
                <w:color w:val="0B2545"/>
                <w:sz w:val="14"/>
              </w:rPr>
              <w:t>DG8</w:t>
            </w:r>
          </w:p>
        </w:tc>
        <w:tc>
          <w:tcPr>
            <w:tcW w:type="dxa" w:w="3760"/>
            <w:tcMar>
              <w:top w:w="45" w:type="dxa"/>
              <w:bottom w:w="45" w:type="dxa"/>
              <w:start w:w="100" w:type="dxa"/>
              <w:end w:w="100" w:type="dxa"/>
            </w:tcMar>
          </w:tcPr>
          <w:p>
            <w:pPr>
              <w:keepLines/>
              <w:spacing w:after="0" w:line="252" w:lineRule="auto"/>
            </w:pPr>
            <w:r>
              <w:rPr>
                <w:rFonts w:ascii="Calibri" w:hAnsi="Calibri" w:eastAsia="Microsoft YaHei"/>
                <w:color w:val="0B2545"/>
                <w:sz w:val="14"/>
              </w:rPr>
              <w:t>聚变堆冷却水内漏的示踪气体—质量谱定位</w:t>
            </w:r>
          </w:p>
        </w:tc>
        <w:tc>
          <w:tcPr>
            <w:tcW w:type="dxa" w:w="800"/>
            <w:tcMar>
              <w:top w:w="45" w:type="dxa"/>
              <w:bottom w:w="45" w:type="dxa"/>
              <w:start w:w="100" w:type="dxa"/>
              <w:end w:w="100" w:type="dxa"/>
            </w:tcMar>
          </w:tcPr>
          <w:p>
            <w:pPr>
              <w:keepLines/>
              <w:spacing w:after="0" w:line="252" w:lineRule="auto"/>
            </w:pPr>
            <w:r>
              <w:rPr>
                <w:rFonts w:ascii="Calibri" w:hAnsi="Calibri" w:eastAsia="Microsoft YaHei"/>
                <w:color w:val="0B2545"/>
                <w:sz w:val="14"/>
              </w:rPr>
              <w:t>E2</w:t>
            </w:r>
          </w:p>
        </w:tc>
        <w:tc>
          <w:tcPr>
            <w:tcW w:type="dxa" w:w="2900"/>
            <w:tcMar>
              <w:top w:w="45" w:type="dxa"/>
              <w:bottom w:w="45" w:type="dxa"/>
              <w:start w:w="100" w:type="dxa"/>
              <w:end w:w="100" w:type="dxa"/>
            </w:tcMar>
          </w:tcPr>
          <w:p>
            <w:pPr>
              <w:keepLines/>
              <w:spacing w:after="0" w:line="252" w:lineRule="auto"/>
            </w:pPr>
            <w:r>
              <w:rPr>
                <w:rFonts w:ascii="Calibri" w:hAnsi="Calibri" w:eastAsia="Microsoft YaHei"/>
                <w:color w:val="0B2545"/>
                <w:sz w:val="14"/>
              </w:rPr>
              <w:t>ITER-relevant water-loop test</w:t>
            </w:r>
          </w:p>
        </w:tc>
      </w:tr>
      <w:tr>
        <w:trPr>
          <w:cantSplit/>
        </w:trPr>
        <w:tc>
          <w:tcPr>
            <w:tcW w:type="dxa" w:w="1000"/>
            <w:tcMar>
              <w:top w:w="45" w:type="dxa"/>
              <w:bottom w:w="45" w:type="dxa"/>
              <w:start w:w="100" w:type="dxa"/>
              <w:end w:w="100" w:type="dxa"/>
            </w:tcMar>
          </w:tcPr>
          <w:p>
            <w:pPr>
              <w:keepLines/>
              <w:spacing w:after="0" w:line="252" w:lineRule="auto"/>
            </w:pPr>
            <w:r>
              <w:rPr>
                <w:rFonts w:ascii="Calibri" w:hAnsi="Calibri" w:eastAsia="Microsoft YaHei"/>
                <w:color w:val="0B2545"/>
                <w:sz w:val="14"/>
              </w:rPr>
              <w:t>PDT-015</w:t>
            </w:r>
          </w:p>
        </w:tc>
        <w:tc>
          <w:tcPr>
            <w:tcW w:type="dxa" w:w="900"/>
            <w:tcMar>
              <w:top w:w="45" w:type="dxa"/>
              <w:bottom w:w="45" w:type="dxa"/>
              <w:start w:w="100" w:type="dxa"/>
              <w:end w:w="100" w:type="dxa"/>
            </w:tcMar>
          </w:tcPr>
          <w:p>
            <w:pPr>
              <w:keepLines/>
              <w:spacing w:after="0" w:line="252" w:lineRule="auto"/>
            </w:pPr>
            <w:r>
              <w:rPr>
                <w:rFonts w:ascii="Calibri" w:hAnsi="Calibri" w:eastAsia="Microsoft YaHei"/>
                <w:color w:val="0B2545"/>
                <w:sz w:val="14"/>
              </w:rPr>
              <w:t>DG8</w:t>
            </w:r>
          </w:p>
        </w:tc>
        <w:tc>
          <w:tcPr>
            <w:tcW w:type="dxa" w:w="3760"/>
            <w:tcMar>
              <w:top w:w="45" w:type="dxa"/>
              <w:bottom w:w="45" w:type="dxa"/>
              <w:start w:w="100" w:type="dxa"/>
              <w:end w:w="100" w:type="dxa"/>
            </w:tcMar>
          </w:tcPr>
          <w:p>
            <w:pPr>
              <w:keepLines/>
              <w:spacing w:after="0" w:line="252" w:lineRule="auto"/>
            </w:pPr>
            <w:r>
              <w:rPr>
                <w:rFonts w:ascii="Calibri" w:hAnsi="Calibri" w:eastAsia="Microsoft YaHei"/>
                <w:color w:val="0B2545"/>
                <w:sz w:val="14"/>
              </w:rPr>
              <w:t>ITER 在役远程视觉、计量与诊断维护</w:t>
            </w:r>
          </w:p>
        </w:tc>
        <w:tc>
          <w:tcPr>
            <w:tcW w:type="dxa" w:w="800"/>
            <w:tcMar>
              <w:top w:w="45" w:type="dxa"/>
              <w:bottom w:w="45" w:type="dxa"/>
              <w:start w:w="100" w:type="dxa"/>
              <w:end w:w="100" w:type="dxa"/>
            </w:tcMar>
          </w:tcPr>
          <w:p>
            <w:pPr>
              <w:keepLines/>
              <w:spacing w:after="0" w:line="252" w:lineRule="auto"/>
            </w:pPr>
            <w:r>
              <w:rPr>
                <w:rFonts w:ascii="Calibri" w:hAnsi="Calibri" w:eastAsia="Microsoft YaHei"/>
                <w:color w:val="0B2545"/>
                <w:sz w:val="14"/>
              </w:rPr>
              <w:t>E2</w:t>
            </w:r>
          </w:p>
        </w:tc>
        <w:tc>
          <w:tcPr>
            <w:tcW w:type="dxa" w:w="2900"/>
            <w:tcMar>
              <w:top w:w="45" w:type="dxa"/>
              <w:bottom w:w="45" w:type="dxa"/>
              <w:start w:w="100" w:type="dxa"/>
              <w:end w:w="100" w:type="dxa"/>
            </w:tcMar>
          </w:tcPr>
          <w:p>
            <w:pPr>
              <w:keepLines/>
              <w:spacing w:after="0" w:line="252" w:lineRule="auto"/>
            </w:pPr>
            <w:r>
              <w:rPr>
                <w:rFonts w:ascii="Calibri" w:hAnsi="Calibri" w:eastAsia="Microsoft YaHei"/>
                <w:color w:val="0B2545"/>
                <w:sz w:val="14"/>
              </w:rPr>
              <w:t>ITER remote handling prototypes；RACE mock-ups</w:t>
            </w:r>
          </w:p>
        </w:tc>
      </w:tr>
      <w:tr>
        <w:trPr>
          <w:cantSplit/>
        </w:trPr>
        <w:tc>
          <w:tcPr>
            <w:tcW w:type="dxa" w:w="1000"/>
            <w:tcMar>
              <w:top w:w="45" w:type="dxa"/>
              <w:bottom w:w="45" w:type="dxa"/>
              <w:start w:w="100" w:type="dxa"/>
              <w:end w:w="100" w:type="dxa"/>
            </w:tcMar>
          </w:tcPr>
          <w:p>
            <w:pPr>
              <w:keepLines/>
              <w:spacing w:after="0" w:line="252" w:lineRule="auto"/>
            </w:pPr>
            <w:r>
              <w:rPr>
                <w:rFonts w:ascii="Calibri" w:hAnsi="Calibri" w:eastAsia="Microsoft YaHei"/>
                <w:color w:val="0B2545"/>
                <w:sz w:val="14"/>
              </w:rPr>
              <w:t>DSI-009</w:t>
            </w:r>
          </w:p>
        </w:tc>
        <w:tc>
          <w:tcPr>
            <w:tcW w:type="dxa" w:w="900"/>
            <w:tcMar>
              <w:top w:w="45" w:type="dxa"/>
              <w:bottom w:w="45" w:type="dxa"/>
              <w:start w:w="100" w:type="dxa"/>
              <w:end w:w="100" w:type="dxa"/>
            </w:tcMar>
          </w:tcPr>
          <w:p>
            <w:pPr>
              <w:keepLines/>
              <w:spacing w:after="0" w:line="252" w:lineRule="auto"/>
            </w:pPr>
            <w:r>
              <w:rPr>
                <w:rFonts w:ascii="Calibri" w:hAnsi="Calibri" w:eastAsia="Microsoft YaHei"/>
                <w:color w:val="0B2545"/>
                <w:sz w:val="14"/>
              </w:rPr>
              <w:t>DG9</w:t>
            </w:r>
          </w:p>
        </w:tc>
        <w:tc>
          <w:tcPr>
            <w:tcW w:type="dxa" w:w="3760"/>
            <w:tcMar>
              <w:top w:w="45" w:type="dxa"/>
              <w:bottom w:w="45" w:type="dxa"/>
              <w:start w:w="100" w:type="dxa"/>
              <w:end w:w="100" w:type="dxa"/>
            </w:tcMar>
          </w:tcPr>
          <w:p>
            <w:pPr>
              <w:keepLines/>
              <w:spacing w:after="0" w:line="252" w:lineRule="auto"/>
            </w:pPr>
            <w:r>
              <w:rPr>
                <w:rFonts w:ascii="Calibri" w:hAnsi="Calibri" w:eastAsia="Microsoft YaHei"/>
                <w:color w:val="0B2545"/>
                <w:sz w:val="14"/>
              </w:rPr>
              <w:t>CHERAB–Raysect 三维光谱与辐射合成诊断</w:t>
            </w:r>
          </w:p>
        </w:tc>
        <w:tc>
          <w:tcPr>
            <w:tcW w:type="dxa" w:w="800"/>
            <w:tcMar>
              <w:top w:w="45" w:type="dxa"/>
              <w:bottom w:w="45" w:type="dxa"/>
              <w:start w:w="100" w:type="dxa"/>
              <w:end w:w="100" w:type="dxa"/>
            </w:tcMar>
          </w:tcPr>
          <w:p>
            <w:pPr>
              <w:keepLines/>
              <w:spacing w:after="0" w:line="252" w:lineRule="auto"/>
            </w:pPr>
            <w:r>
              <w:rPr>
                <w:rFonts w:ascii="Calibri" w:hAnsi="Calibri" w:eastAsia="Microsoft YaHei"/>
                <w:color w:val="0B2545"/>
                <w:sz w:val="14"/>
              </w:rPr>
              <w:t>E3</w:t>
            </w:r>
          </w:p>
        </w:tc>
        <w:tc>
          <w:tcPr>
            <w:tcW w:type="dxa" w:w="2900"/>
            <w:tcMar>
              <w:top w:w="45" w:type="dxa"/>
              <w:bottom w:w="45" w:type="dxa"/>
              <w:start w:w="100" w:type="dxa"/>
              <w:end w:w="100" w:type="dxa"/>
            </w:tcMar>
          </w:tcPr>
          <w:p>
            <w:pPr>
              <w:keepLines/>
              <w:spacing w:after="0" w:line="252" w:lineRule="auto"/>
            </w:pPr>
            <w:r>
              <w:rPr>
                <w:rFonts w:ascii="Calibri" w:hAnsi="Calibri" w:eastAsia="Microsoft YaHei"/>
                <w:color w:val="0B2545"/>
                <w:sz w:val="14"/>
              </w:rPr>
              <w:t>ASDEX Upgrade；JET；MAST Upgrade；ITER design studies</w:t>
            </w:r>
          </w:p>
        </w:tc>
      </w:tr>
      <w:tr>
        <w:trPr>
          <w:cantSplit/>
        </w:trPr>
        <w:tc>
          <w:tcPr>
            <w:tcW w:type="dxa" w:w="1000"/>
            <w:tcMar>
              <w:top w:w="45" w:type="dxa"/>
              <w:bottom w:w="45" w:type="dxa"/>
              <w:start w:w="100" w:type="dxa"/>
              <w:end w:w="100" w:type="dxa"/>
            </w:tcMar>
          </w:tcPr>
          <w:p>
            <w:pPr>
              <w:keepLines/>
              <w:spacing w:after="0" w:line="252" w:lineRule="auto"/>
            </w:pPr>
            <w:r>
              <w:rPr>
                <w:rFonts w:ascii="Calibri" w:hAnsi="Calibri" w:eastAsia="Microsoft YaHei"/>
                <w:color w:val="0B2545"/>
                <w:sz w:val="14"/>
              </w:rPr>
              <w:t>DSI-012</w:t>
            </w:r>
          </w:p>
        </w:tc>
        <w:tc>
          <w:tcPr>
            <w:tcW w:type="dxa" w:w="900"/>
            <w:tcMar>
              <w:top w:w="45" w:type="dxa"/>
              <w:bottom w:w="45" w:type="dxa"/>
              <w:start w:w="100" w:type="dxa"/>
              <w:end w:w="100" w:type="dxa"/>
            </w:tcMar>
          </w:tcPr>
          <w:p>
            <w:pPr>
              <w:keepLines/>
              <w:spacing w:after="0" w:line="252" w:lineRule="auto"/>
            </w:pPr>
            <w:r>
              <w:rPr>
                <w:rFonts w:ascii="Calibri" w:hAnsi="Calibri" w:eastAsia="Microsoft YaHei"/>
                <w:color w:val="0B2545"/>
                <w:sz w:val="14"/>
              </w:rPr>
              <w:t>DG9</w:t>
            </w:r>
          </w:p>
        </w:tc>
        <w:tc>
          <w:tcPr>
            <w:tcW w:type="dxa" w:w="3760"/>
            <w:tcMar>
              <w:top w:w="45" w:type="dxa"/>
              <w:bottom w:w="45" w:type="dxa"/>
              <w:start w:w="100" w:type="dxa"/>
              <w:end w:w="100" w:type="dxa"/>
            </w:tcMar>
          </w:tcPr>
          <w:p>
            <w:pPr>
              <w:keepLines/>
              <w:spacing w:after="0" w:line="252" w:lineRule="auto"/>
            </w:pPr>
            <w:r>
              <w:rPr>
                <w:rFonts w:ascii="Calibri" w:hAnsi="Calibri" w:eastAsia="Microsoft YaHei"/>
                <w:color w:val="0B2545"/>
                <w:sz w:val="14"/>
              </w:rPr>
              <w:t>SOFT 逃逸电子同步辐射合成诊断</w:t>
            </w:r>
          </w:p>
        </w:tc>
        <w:tc>
          <w:tcPr>
            <w:tcW w:type="dxa" w:w="800"/>
            <w:tcMar>
              <w:top w:w="45" w:type="dxa"/>
              <w:bottom w:w="45" w:type="dxa"/>
              <w:start w:w="100" w:type="dxa"/>
              <w:end w:w="100" w:type="dxa"/>
            </w:tcMar>
          </w:tcPr>
          <w:p>
            <w:pPr>
              <w:keepLines/>
              <w:spacing w:after="0" w:line="252" w:lineRule="auto"/>
            </w:pPr>
            <w:r>
              <w:rPr>
                <w:rFonts w:ascii="Calibri" w:hAnsi="Calibri" w:eastAsia="Microsoft YaHei"/>
                <w:color w:val="0B2545"/>
                <w:sz w:val="14"/>
              </w:rPr>
              <w:t>E3</w:t>
            </w:r>
          </w:p>
        </w:tc>
        <w:tc>
          <w:tcPr>
            <w:tcW w:type="dxa" w:w="2900"/>
            <w:tcMar>
              <w:top w:w="45" w:type="dxa"/>
              <w:bottom w:w="45" w:type="dxa"/>
              <w:start w:w="100" w:type="dxa"/>
              <w:end w:w="100" w:type="dxa"/>
            </w:tcMar>
          </w:tcPr>
          <w:p>
            <w:pPr>
              <w:keepLines/>
              <w:spacing w:after="0" w:line="252" w:lineRule="auto"/>
            </w:pPr>
            <w:r>
              <w:rPr>
                <w:rFonts w:ascii="Calibri" w:hAnsi="Calibri" w:eastAsia="Microsoft YaHei"/>
                <w:color w:val="0B2545"/>
                <w:sz w:val="14"/>
              </w:rPr>
              <w:t>Alcator C-Mod；TCV；ASDEX Upgrade；JT-60SA design；SPARC design；FTU；EAST</w:t>
            </w:r>
          </w:p>
        </w:tc>
      </w:tr>
      <w:tr>
        <w:trPr>
          <w:cantSplit/>
        </w:trPr>
        <w:tc>
          <w:tcPr>
            <w:tcW w:type="dxa" w:w="1000"/>
            <w:tcMar>
              <w:top w:w="45" w:type="dxa"/>
              <w:bottom w:w="45" w:type="dxa"/>
              <w:start w:w="100" w:type="dxa"/>
              <w:end w:w="100" w:type="dxa"/>
            </w:tcMar>
          </w:tcPr>
          <w:p>
            <w:pPr>
              <w:keepLines/>
              <w:spacing w:after="0" w:line="252" w:lineRule="auto"/>
            </w:pPr>
            <w:r>
              <w:rPr>
                <w:rFonts w:ascii="Calibri" w:hAnsi="Calibri" w:eastAsia="Microsoft YaHei"/>
                <w:color w:val="0B2545"/>
                <w:sz w:val="14"/>
              </w:rPr>
              <w:t>DSI-013</w:t>
            </w:r>
          </w:p>
        </w:tc>
        <w:tc>
          <w:tcPr>
            <w:tcW w:type="dxa" w:w="900"/>
            <w:tcMar>
              <w:top w:w="45" w:type="dxa"/>
              <w:bottom w:w="45" w:type="dxa"/>
              <w:start w:w="100" w:type="dxa"/>
              <w:end w:w="100" w:type="dxa"/>
            </w:tcMar>
          </w:tcPr>
          <w:p>
            <w:pPr>
              <w:keepLines/>
              <w:spacing w:after="0" w:line="252" w:lineRule="auto"/>
            </w:pPr>
            <w:r>
              <w:rPr>
                <w:rFonts w:ascii="Calibri" w:hAnsi="Calibri" w:eastAsia="Microsoft YaHei"/>
                <w:color w:val="0B2545"/>
                <w:sz w:val="14"/>
              </w:rPr>
              <w:t>DG9</w:t>
            </w:r>
          </w:p>
        </w:tc>
        <w:tc>
          <w:tcPr>
            <w:tcW w:type="dxa" w:w="3760"/>
            <w:tcMar>
              <w:top w:w="45" w:type="dxa"/>
              <w:bottom w:w="45" w:type="dxa"/>
              <w:start w:w="100" w:type="dxa"/>
              <w:end w:w="100" w:type="dxa"/>
            </w:tcMar>
          </w:tcPr>
          <w:p>
            <w:pPr>
              <w:keepLines/>
              <w:spacing w:after="0" w:line="252" w:lineRule="auto"/>
            </w:pPr>
            <w:r>
              <w:rPr>
                <w:rFonts w:ascii="Calibri" w:hAnsi="Calibri" w:eastAsia="Microsoft YaHei"/>
                <w:color w:val="0B2545"/>
                <w:sz w:val="14"/>
              </w:rPr>
              <w:t>ToFu 三维几何、辐射前向模型与层析工具箱</w:t>
            </w:r>
          </w:p>
        </w:tc>
        <w:tc>
          <w:tcPr>
            <w:tcW w:type="dxa" w:w="800"/>
            <w:tcMar>
              <w:top w:w="45" w:type="dxa"/>
              <w:bottom w:w="45" w:type="dxa"/>
              <w:start w:w="100" w:type="dxa"/>
              <w:end w:w="100" w:type="dxa"/>
            </w:tcMar>
          </w:tcPr>
          <w:p>
            <w:pPr>
              <w:keepLines/>
              <w:spacing w:after="0" w:line="252" w:lineRule="auto"/>
            </w:pPr>
            <w:r>
              <w:rPr>
                <w:rFonts w:ascii="Calibri" w:hAnsi="Calibri" w:eastAsia="Microsoft YaHei"/>
                <w:color w:val="0B2545"/>
                <w:sz w:val="14"/>
              </w:rPr>
              <w:t>E2</w:t>
            </w:r>
          </w:p>
        </w:tc>
        <w:tc>
          <w:tcPr>
            <w:tcW w:type="dxa" w:w="2900"/>
            <w:tcMar>
              <w:top w:w="45" w:type="dxa"/>
              <w:bottom w:w="45" w:type="dxa"/>
              <w:start w:w="100" w:type="dxa"/>
              <w:end w:w="100" w:type="dxa"/>
            </w:tcMar>
          </w:tcPr>
          <w:p>
            <w:pPr>
              <w:keepLines/>
              <w:spacing w:after="0" w:line="252" w:lineRule="auto"/>
            </w:pPr>
            <w:r>
              <w:rPr>
                <w:rFonts w:ascii="Calibri" w:hAnsi="Calibri" w:eastAsia="Microsoft YaHei"/>
                <w:color w:val="0B2545"/>
                <w:sz w:val="14"/>
              </w:rPr>
              <w:t>WEST；JET/ITER-oriented geometries；generic tokamaks and stellarators</w:t>
            </w:r>
          </w:p>
        </w:tc>
      </w:tr>
      <w:tr>
        <w:trPr>
          <w:cantSplit/>
        </w:trPr>
        <w:tc>
          <w:tcPr>
            <w:tcW w:type="dxa" w:w="1000"/>
            <w:tcMar>
              <w:top w:w="45" w:type="dxa"/>
              <w:bottom w:w="45" w:type="dxa"/>
              <w:start w:w="100" w:type="dxa"/>
              <w:end w:w="100" w:type="dxa"/>
            </w:tcMar>
          </w:tcPr>
          <w:p>
            <w:pPr>
              <w:keepLines/>
              <w:spacing w:after="0" w:line="252" w:lineRule="auto"/>
            </w:pPr>
            <w:r>
              <w:rPr>
                <w:rFonts w:ascii="Calibri" w:hAnsi="Calibri" w:eastAsia="Microsoft YaHei"/>
                <w:color w:val="0B2545"/>
                <w:sz w:val="14"/>
              </w:rPr>
              <w:t>DSI-021</w:t>
            </w:r>
          </w:p>
        </w:tc>
        <w:tc>
          <w:tcPr>
            <w:tcW w:type="dxa" w:w="900"/>
            <w:tcMar>
              <w:top w:w="45" w:type="dxa"/>
              <w:bottom w:w="45" w:type="dxa"/>
              <w:start w:w="100" w:type="dxa"/>
              <w:end w:w="100" w:type="dxa"/>
            </w:tcMar>
          </w:tcPr>
          <w:p>
            <w:pPr>
              <w:keepLines/>
              <w:spacing w:after="0" w:line="252" w:lineRule="auto"/>
            </w:pPr>
            <w:r>
              <w:rPr>
                <w:rFonts w:ascii="Calibri" w:hAnsi="Calibri" w:eastAsia="Microsoft YaHei"/>
                <w:color w:val="0B2545"/>
                <w:sz w:val="14"/>
              </w:rPr>
              <w:t>DG9</w:t>
            </w:r>
          </w:p>
        </w:tc>
        <w:tc>
          <w:tcPr>
            <w:tcW w:type="dxa" w:w="3760"/>
            <w:tcMar>
              <w:top w:w="45" w:type="dxa"/>
              <w:bottom w:w="45" w:type="dxa"/>
              <w:start w:w="100" w:type="dxa"/>
              <w:end w:w="100" w:type="dxa"/>
            </w:tcMar>
          </w:tcPr>
          <w:p>
            <w:pPr>
              <w:keepLines/>
              <w:spacing w:after="0" w:line="252" w:lineRule="auto"/>
            </w:pPr>
            <w:r>
              <w:rPr>
                <w:rFonts w:ascii="Calibri" w:hAnsi="Calibri" w:eastAsia="Microsoft YaHei"/>
                <w:color w:val="0B2545"/>
                <w:sz w:val="14"/>
              </w:rPr>
              <w:t>ScintSuite/FILDSIM 快离子损失探针合成诊断</w:t>
            </w:r>
          </w:p>
        </w:tc>
        <w:tc>
          <w:tcPr>
            <w:tcW w:type="dxa" w:w="800"/>
            <w:tcMar>
              <w:top w:w="45" w:type="dxa"/>
              <w:bottom w:w="45" w:type="dxa"/>
              <w:start w:w="100" w:type="dxa"/>
              <w:end w:w="100" w:type="dxa"/>
            </w:tcMar>
          </w:tcPr>
          <w:p>
            <w:pPr>
              <w:keepLines/>
              <w:spacing w:after="0" w:line="252" w:lineRule="auto"/>
            </w:pPr>
            <w:r>
              <w:rPr>
                <w:rFonts w:ascii="Calibri" w:hAnsi="Calibri" w:eastAsia="Microsoft YaHei"/>
                <w:color w:val="0B2545"/>
                <w:sz w:val="14"/>
              </w:rPr>
              <w:t>E3</w:t>
            </w:r>
          </w:p>
        </w:tc>
        <w:tc>
          <w:tcPr>
            <w:tcW w:type="dxa" w:w="2900"/>
            <w:tcMar>
              <w:top w:w="45" w:type="dxa"/>
              <w:bottom w:w="45" w:type="dxa"/>
              <w:start w:w="100" w:type="dxa"/>
              <w:end w:w="100" w:type="dxa"/>
            </w:tcMar>
          </w:tcPr>
          <w:p>
            <w:pPr>
              <w:keepLines/>
              <w:spacing w:after="0" w:line="252" w:lineRule="auto"/>
            </w:pPr>
            <w:r>
              <w:rPr>
                <w:rFonts w:ascii="Calibri" w:hAnsi="Calibri" w:eastAsia="Microsoft YaHei"/>
                <w:color w:val="0B2545"/>
                <w:sz w:val="14"/>
              </w:rPr>
              <w:t>ASDEX Upgrade；W7-X；DIII-D and other FILD-equipped devices</w:t>
            </w:r>
          </w:p>
        </w:tc>
      </w:tr>
      <w:tr>
        <w:trPr>
          <w:cantSplit/>
        </w:trPr>
        <w:tc>
          <w:tcPr>
            <w:tcW w:type="dxa" w:w="1000"/>
            <w:tcMar>
              <w:top w:w="45" w:type="dxa"/>
              <w:bottom w:w="45" w:type="dxa"/>
              <w:start w:w="100" w:type="dxa"/>
              <w:end w:w="100" w:type="dxa"/>
            </w:tcMar>
          </w:tcPr>
          <w:p>
            <w:pPr>
              <w:keepLines/>
              <w:spacing w:after="0" w:line="252" w:lineRule="auto"/>
            </w:pPr>
            <w:r>
              <w:rPr>
                <w:rFonts w:ascii="Calibri" w:hAnsi="Calibri" w:eastAsia="Microsoft YaHei"/>
                <w:color w:val="0B2545"/>
                <w:sz w:val="14"/>
              </w:rPr>
              <w:t>DSI-014</w:t>
            </w:r>
          </w:p>
        </w:tc>
        <w:tc>
          <w:tcPr>
            <w:tcW w:type="dxa" w:w="900"/>
            <w:tcMar>
              <w:top w:w="45" w:type="dxa"/>
              <w:bottom w:w="45" w:type="dxa"/>
              <w:start w:w="100" w:type="dxa"/>
              <w:end w:w="100" w:type="dxa"/>
            </w:tcMar>
          </w:tcPr>
          <w:p>
            <w:pPr>
              <w:keepLines/>
              <w:spacing w:after="0" w:line="252" w:lineRule="auto"/>
            </w:pPr>
            <w:r>
              <w:rPr>
                <w:rFonts w:ascii="Calibri" w:hAnsi="Calibri" w:eastAsia="Microsoft YaHei"/>
                <w:color w:val="0B2545"/>
                <w:sz w:val="14"/>
              </w:rPr>
              <w:t>DG10</w:t>
            </w:r>
          </w:p>
        </w:tc>
        <w:tc>
          <w:tcPr>
            <w:tcW w:type="dxa" w:w="3760"/>
            <w:tcMar>
              <w:top w:w="45" w:type="dxa"/>
              <w:bottom w:w="45" w:type="dxa"/>
              <w:start w:w="100" w:type="dxa"/>
              <w:end w:w="100" w:type="dxa"/>
            </w:tcMar>
          </w:tcPr>
          <w:p>
            <w:pPr>
              <w:keepLines/>
              <w:spacing w:after="0" w:line="252" w:lineRule="auto"/>
            </w:pPr>
            <w:r>
              <w:rPr>
                <w:rFonts w:ascii="Calibri" w:hAnsi="Calibri" w:eastAsia="Microsoft YaHei"/>
                <w:color w:val="0B2545"/>
                <w:sz w:val="14"/>
              </w:rPr>
              <w:t>TRIPPy 环形辐射视线与反演协议</w:t>
            </w:r>
          </w:p>
        </w:tc>
        <w:tc>
          <w:tcPr>
            <w:tcW w:type="dxa" w:w="800"/>
            <w:tcMar>
              <w:top w:w="45" w:type="dxa"/>
              <w:bottom w:w="45" w:type="dxa"/>
              <w:start w:w="100" w:type="dxa"/>
              <w:end w:w="100" w:type="dxa"/>
            </w:tcMar>
          </w:tcPr>
          <w:p>
            <w:pPr>
              <w:keepLines/>
              <w:spacing w:after="0" w:line="252" w:lineRule="auto"/>
            </w:pPr>
            <w:r>
              <w:rPr>
                <w:rFonts w:ascii="Calibri" w:hAnsi="Calibri" w:eastAsia="Microsoft YaHei"/>
                <w:color w:val="0B2545"/>
                <w:sz w:val="14"/>
              </w:rPr>
              <w:t>E3</w:t>
            </w:r>
          </w:p>
        </w:tc>
        <w:tc>
          <w:tcPr>
            <w:tcW w:type="dxa" w:w="2900"/>
            <w:tcMar>
              <w:top w:w="45" w:type="dxa"/>
              <w:bottom w:w="45" w:type="dxa"/>
              <w:start w:w="100" w:type="dxa"/>
              <w:end w:w="100" w:type="dxa"/>
            </w:tcMar>
          </w:tcPr>
          <w:p>
            <w:pPr>
              <w:keepLines/>
              <w:spacing w:after="0" w:line="252" w:lineRule="auto"/>
            </w:pPr>
            <w:r>
              <w:rPr>
                <w:rFonts w:ascii="Calibri" w:hAnsi="Calibri" w:eastAsia="Microsoft YaHei"/>
                <w:color w:val="0B2545"/>
                <w:sz w:val="14"/>
              </w:rPr>
              <w:t>Alcator C-Mod；NSTX-U</w:t>
            </w:r>
          </w:p>
        </w:tc>
      </w:tr>
      <w:tr>
        <w:trPr>
          <w:cantSplit/>
        </w:trPr>
        <w:tc>
          <w:tcPr>
            <w:tcW w:type="dxa" w:w="1000"/>
            <w:tcMar>
              <w:top w:w="45" w:type="dxa"/>
              <w:bottom w:w="45" w:type="dxa"/>
              <w:start w:w="100" w:type="dxa"/>
              <w:end w:w="100" w:type="dxa"/>
            </w:tcMar>
          </w:tcPr>
          <w:p>
            <w:pPr>
              <w:keepLines/>
              <w:spacing w:after="0" w:line="252" w:lineRule="auto"/>
            </w:pPr>
            <w:r>
              <w:rPr>
                <w:rFonts w:ascii="Calibri" w:hAnsi="Calibri" w:eastAsia="Microsoft YaHei"/>
                <w:color w:val="0B2545"/>
                <w:sz w:val="14"/>
              </w:rPr>
              <w:t>DSI-026</w:t>
            </w:r>
          </w:p>
        </w:tc>
        <w:tc>
          <w:tcPr>
            <w:tcW w:type="dxa" w:w="900"/>
            <w:tcMar>
              <w:top w:w="45" w:type="dxa"/>
              <w:bottom w:w="45" w:type="dxa"/>
              <w:start w:w="100" w:type="dxa"/>
              <w:end w:w="100" w:type="dxa"/>
            </w:tcMar>
          </w:tcPr>
          <w:p>
            <w:pPr>
              <w:keepLines/>
              <w:spacing w:after="0" w:line="252" w:lineRule="auto"/>
            </w:pPr>
            <w:r>
              <w:rPr>
                <w:rFonts w:ascii="Calibri" w:hAnsi="Calibri" w:eastAsia="Microsoft YaHei"/>
                <w:color w:val="0B2545"/>
                <w:sz w:val="14"/>
              </w:rPr>
              <w:t>DG10</w:t>
            </w:r>
          </w:p>
        </w:tc>
        <w:tc>
          <w:tcPr>
            <w:tcW w:type="dxa" w:w="3760"/>
            <w:tcMar>
              <w:top w:w="45" w:type="dxa"/>
              <w:bottom w:w="45" w:type="dxa"/>
              <w:start w:w="100" w:type="dxa"/>
              <w:end w:w="100" w:type="dxa"/>
            </w:tcMar>
          </w:tcPr>
          <w:p>
            <w:pPr>
              <w:keepLines/>
              <w:spacing w:after="0" w:line="252" w:lineRule="auto"/>
            </w:pPr>
            <w:r>
              <w:rPr>
                <w:rFonts w:ascii="Calibri" w:hAnsi="Calibri" w:eastAsia="Microsoft YaHei"/>
                <w:color w:val="0B2545"/>
                <w:sz w:val="14"/>
              </w:rPr>
              <w:t>Tomotok 辐射层析 Python 工具包</w:t>
            </w:r>
          </w:p>
        </w:tc>
        <w:tc>
          <w:tcPr>
            <w:tcW w:type="dxa" w:w="800"/>
            <w:tcMar>
              <w:top w:w="45" w:type="dxa"/>
              <w:bottom w:w="45" w:type="dxa"/>
              <w:start w:w="100" w:type="dxa"/>
              <w:end w:w="100" w:type="dxa"/>
            </w:tcMar>
          </w:tcPr>
          <w:p>
            <w:pPr>
              <w:keepLines/>
              <w:spacing w:after="0" w:line="252" w:lineRule="auto"/>
            </w:pPr>
            <w:r>
              <w:rPr>
                <w:rFonts w:ascii="Calibri" w:hAnsi="Calibri" w:eastAsia="Microsoft YaHei"/>
                <w:color w:val="0B2545"/>
                <w:sz w:val="14"/>
              </w:rPr>
              <w:t>E2</w:t>
            </w:r>
          </w:p>
        </w:tc>
        <w:tc>
          <w:tcPr>
            <w:tcW w:type="dxa" w:w="2900"/>
            <w:tcMar>
              <w:top w:w="45" w:type="dxa"/>
              <w:bottom w:w="45" w:type="dxa"/>
              <w:start w:w="100" w:type="dxa"/>
              <w:end w:w="100" w:type="dxa"/>
            </w:tcMar>
          </w:tcPr>
          <w:p>
            <w:pPr>
              <w:keepLines/>
              <w:spacing w:after="0" w:line="252" w:lineRule="auto"/>
            </w:pPr>
            <w:r>
              <w:rPr>
                <w:rFonts w:ascii="Calibri" w:hAnsi="Calibri" w:eastAsia="Microsoft YaHei"/>
                <w:color w:val="0B2545"/>
                <w:sz w:val="14"/>
              </w:rPr>
              <w:t>COMPASS and generic tokamaks</w:t>
            </w:r>
          </w:p>
        </w:tc>
      </w:tr>
    </w:tbl>
    <w:p>
      <w:pPr>
        <w:keepNext/>
        <w:pageBreakBefore/>
        <w:spacing w:before="0" w:after="100"/>
      </w:pPr>
      <w:r>
        <w:rPr>
          <w:rFonts w:ascii="Calibri" w:hAnsi="Calibri" w:eastAsia="Microsoft YaHei"/>
          <w:b/>
          <w:caps/>
          <w:color w:val="008C95"/>
          <w:sz w:val="17"/>
        </w:rPr>
        <w:t>13 / DG8 / ENGINEERING EQUIPMENT &amp; PLANT CONDITION</w:t>
      </w:r>
    </w:p>
    <w:p>
      <w:pPr>
        <w:pStyle w:val="Heading1"/>
      </w:pPr>
      <w:r>
        <w:t>工程设备与电厂状态监测</w:t>
      </w:r>
    </w:p>
    <w:tbl>
      <w:tblPr>
        <w:tblStyle w:val="TableGrid"/>
        <w:tblW w:type="dxa" w:w="9360"/>
        <w:jc w:val="left"/>
        <w:tblLayout w:type="fixed"/>
        <w:tblLook w:firstColumn="1" w:firstRow="1" w:lastColumn="0" w:lastRow="0" w:noHBand="0" w:noVBand="1" w:val="04A0"/>
        <w:tblInd w:w="120" w:type="dxa"/>
      </w:tblPr>
      <w:tblGrid>
        <w:gridCol w:w="9360"/>
      </w:tblGrid>
      <w:tr>
        <w:trPr>
          <w:cantSplit/>
        </w:trPr>
        <w:tc>
          <w:tcPr>
            <w:tcW w:type="dxa" w:w="9360"/>
            <w:tcMar>
              <w:top w:w="80" w:type="dxa"/>
              <w:bottom w:w="80" w:type="dxa"/>
              <w:start w:w="120" w:type="dxa"/>
              <w:end w:w="120" w:type="dxa"/>
            </w:tcMar>
            <w:vAlign w:val="center"/>
            <w:shd w:fill="F2F4F7"/>
          </w:tcPr>
          <w:p>
            <w:pPr>
              <w:keepNext/>
              <w:keepLines/>
              <w:spacing w:after="40"/>
            </w:pPr>
            <w:r>
              <w:rPr>
                <w:rFonts w:ascii="Calibri" w:hAnsi="Calibri" w:eastAsia="Microsoft YaHei"/>
                <w:b/>
                <w:color w:val="008C95"/>
                <w:sz w:val="17"/>
              </w:rPr>
              <w:t>CHAPTER SCOPE</w:t>
            </w:r>
          </w:p>
          <w:p>
            <w:pPr>
              <w:spacing w:after="0"/>
            </w:pPr>
            <w:r>
              <w:rPr>
                <w:rFonts w:ascii="Calibri" w:hAnsi="Calibri" w:eastAsia="Microsoft YaHei"/>
                <w:color w:val="0B2545"/>
                <w:sz w:val="20"/>
              </w:rPr>
              <w:t>本章全文展开 21 项主工作，并列出 13 项跨域关联工作。关联工作只在其主任务章节全文展开，避免重复计数。</w:t>
            </w:r>
          </w:p>
        </w:tc>
      </w:tr>
    </w:tbl>
    <w:p>
      <w:pPr>
        <w:spacing w:after="40"/>
      </w:pPr>
    </w:p>
    <w:p>
      <w:pPr>
        <w:pStyle w:val="Heading3"/>
        <w:keepNext/>
      </w:pPr>
      <w:r>
        <w:t>DG8.01  ITER Tokamak Systems Monitor 工程系统机器学习异常检测</w:t>
      </w:r>
    </w:p>
    <w:p>
      <w:pPr>
        <w:keepNext/>
        <w:spacing w:after="80"/>
      </w:pPr>
      <w:r>
        <w:rPr>
          <w:rFonts w:ascii="Calibri" w:hAnsi="Calibri" w:eastAsia="Microsoft YaHei"/>
          <w:i/>
          <w:color w:val="566573"/>
          <w:sz w:val="18"/>
        </w:rPr>
        <w:t>Machine-Learning Anomaly Detection in the ITER Tokamak Systems Monitor</w:t>
      </w:r>
    </w:p>
    <w:tbl>
      <w:tblPr>
        <w:tblStyle w:val="TableGrid"/>
        <w:tblW w:type="dxa" w:w="9360"/>
        <w:jc w:val="left"/>
        <w:tblLayout w:type="fixed"/>
        <w:tblLook w:firstColumn="1" w:firstRow="1" w:lastColumn="0" w:lastRow="0" w:noHBand="0" w:noVBand="1" w:val="04A0"/>
        <w:tblInd w:w="120" w:type="dxa"/>
      </w:tblPr>
      <w:tblGrid>
        <w:gridCol w:w="1200"/>
        <w:gridCol w:w="750"/>
        <w:gridCol w:w="750"/>
        <w:gridCol w:w="2100"/>
        <w:gridCol w:w="4560"/>
      </w:tblGrid>
      <w:tr>
        <w:trPr>
          <w:tblHeader w:val="true"/>
        </w:trPr>
        <w:tc>
          <w:tcPr>
            <w:tcW w:type="dxa" w:w="12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工作 ID</w:t>
            </w:r>
          </w:p>
        </w:tc>
        <w:tc>
          <w:tcPr>
            <w:tcW w:type="dxa" w:w="7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证据</w:t>
            </w:r>
          </w:p>
        </w:tc>
        <w:tc>
          <w:tcPr>
            <w:tcW w:type="dxa" w:w="7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部署</w:t>
            </w:r>
          </w:p>
        </w:tc>
        <w:tc>
          <w:tcPr>
            <w:tcW w:type="dxa" w:w="21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技术族</w:t>
            </w:r>
          </w:p>
        </w:tc>
        <w:tc>
          <w:tcPr>
            <w:tcW w:type="dxa" w:w="456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装置</w:t>
            </w:r>
          </w:p>
        </w:tc>
      </w:tr>
      <w:tr>
        <w:trPr>
          <w:cantSplit/>
        </w:trPr>
        <w:tc>
          <w:tcPr>
            <w:tcW w:type="dxa" w:w="1200"/>
          </w:tcPr>
          <w:p>
            <w:pPr>
              <w:keepLines/>
              <w:spacing w:after="0" w:line="276" w:lineRule="auto"/>
            </w:pPr>
            <w:r>
              <w:rPr>
                <w:rFonts w:ascii="Calibri" w:hAnsi="Calibri" w:eastAsia="Microsoft YaHei"/>
                <w:color w:val="0B2545"/>
                <w:sz w:val="15"/>
              </w:rPr>
              <w:t>DSI-035</w:t>
            </w:r>
          </w:p>
        </w:tc>
        <w:tc>
          <w:tcPr>
            <w:tcW w:type="dxa" w:w="750"/>
          </w:tcPr>
          <w:p>
            <w:pPr>
              <w:keepLines/>
              <w:spacing w:after="0" w:line="276" w:lineRule="auto"/>
            </w:pPr>
            <w:r>
              <w:rPr>
                <w:rFonts w:ascii="Calibri" w:hAnsi="Calibri" w:eastAsia="Microsoft YaHei"/>
                <w:color w:val="0B2545"/>
                <w:sz w:val="15"/>
              </w:rPr>
              <w:t>E2</w:t>
            </w:r>
          </w:p>
        </w:tc>
        <w:tc>
          <w:tcPr>
            <w:tcW w:type="dxa" w:w="750"/>
          </w:tcPr>
          <w:p>
            <w:pPr>
              <w:keepLines/>
              <w:spacing w:after="0" w:line="276" w:lineRule="auto"/>
            </w:pPr>
            <w:r>
              <w:rPr>
                <w:rFonts w:ascii="Calibri" w:hAnsi="Calibri" w:eastAsia="Microsoft YaHei"/>
                <w:color w:val="0B2545"/>
                <w:sz w:val="15"/>
              </w:rPr>
              <w:t>D2</w:t>
            </w:r>
          </w:p>
        </w:tc>
        <w:tc>
          <w:tcPr>
            <w:tcW w:type="dxa" w:w="2100"/>
          </w:tcPr>
          <w:p>
            <w:pPr>
              <w:keepLines/>
              <w:spacing w:after="0" w:line="276" w:lineRule="auto"/>
            </w:pPr>
            <w:r>
              <w:rPr>
                <w:rFonts w:ascii="Calibri" w:hAnsi="Calibri" w:eastAsia="Microsoft YaHei"/>
                <w:color w:val="0B2545"/>
                <w:sz w:val="15"/>
              </w:rPr>
              <w:t>COMPUTATIONAL</w:t>
            </w:r>
          </w:p>
        </w:tc>
        <w:tc>
          <w:tcPr>
            <w:tcW w:type="dxa" w:w="4560"/>
          </w:tcPr>
          <w:p>
            <w:pPr>
              <w:keepLines/>
              <w:spacing w:after="0" w:line="276" w:lineRule="auto"/>
            </w:pPr>
            <w:r>
              <w:rPr>
                <w:rFonts w:ascii="Calibri" w:hAnsi="Calibri" w:eastAsia="Microsoft YaHei"/>
                <w:color w:val="0B2545"/>
                <w:sz w:val="15"/>
              </w:rPr>
              <w:t>ITER Tokamak Systems Monitor (pre-operational software and prototype-data context)</w:t>
            </w:r>
          </w:p>
        </w:tc>
      </w:tr>
    </w:tbl>
    <w:p>
      <w:pPr>
        <w:spacing w:before="0" w:after="60"/>
      </w:pPr>
    </w:p>
    <w:p>
      <w:pPr>
        <w:widowControl/>
      </w:pPr>
      <w:r>
        <w:rPr>
          <w:rFonts w:ascii="Calibri" w:hAnsi="Calibri" w:eastAsia="Microsoft YaHei"/>
          <w:b/>
          <w:color w:val="1F4D78"/>
        </w:rPr>
        <w:t>解决问题：</w:t>
      </w:r>
      <w:r>
        <w:rPr>
          <w:rFonts w:ascii="Calibri" w:hAnsi="Calibri" w:eastAsia="Microsoft YaHei"/>
        </w:rPr>
        <w:t>ITER 将有数千个工程与运行通道，异常可能表现为未越过传统阈值的跨通道漂移、短时偏离或整脉冲模式变化，人工逐通道诊断不可扩展。</w:t>
      </w:r>
    </w:p>
    <w:p>
      <w:pPr>
        <w:widowControl/>
      </w:pPr>
      <w:r>
        <w:rPr>
          <w:rFonts w:ascii="Calibri" w:hAnsi="Calibri" w:eastAsia="Microsoft YaHei"/>
          <w:b/>
          <w:color w:val="1F4D78"/>
        </w:rPr>
        <w:t>测量原理：</w:t>
      </w:r>
      <w:r>
        <w:rPr>
          <w:rFonts w:ascii="Calibri" w:hAnsi="Calibri" w:eastAsia="Microsoft YaHei"/>
        </w:rPr>
        <w:t>Tokamak Systems Monitor 在统一 MonApp/AlgorithmAdapter 接口中运行 Python 异常算法：一类对完整回旋管脉冲做降维与聚类，另一类以物理模型上下文条件化可逆神经网络，定位磁体电源电压的短时异常。</w:t>
      </w:r>
    </w:p>
    <w:p>
      <w:pPr>
        <w:widowControl/>
      </w:pPr>
      <w:r>
        <w:rPr>
          <w:rFonts w:ascii="Calibri" w:hAnsi="Calibri" w:eastAsia="Microsoft YaHei"/>
          <w:b/>
          <w:color w:val="1F4D78"/>
        </w:rPr>
        <w:t>测量产品：</w:t>
      </w:r>
      <w:r>
        <w:rPr>
          <w:rFonts w:ascii="Calibri" w:hAnsi="Calibri" w:eastAsia="Microsoft YaHei"/>
        </w:rPr>
        <w:t>anomaly score；pulse cluster / atypical-cycle label；time-localised voltage deviation；engineering health warning；expert review state</w:t>
      </w:r>
    </w:p>
    <w:p>
      <w:pPr>
        <w:widowControl/>
      </w:pPr>
      <w:r>
        <w:rPr>
          <w:rFonts w:ascii="Calibri" w:hAnsi="Calibri" w:eastAsia="Microsoft YaHei"/>
          <w:b/>
          <w:color w:val="1F4D78"/>
        </w:rPr>
        <w:t>时空分辨与覆盖：</w:t>
      </w:r>
      <w:r>
        <w:rPr>
          <w:rFonts w:ascii="Calibri" w:hAnsi="Calibri" w:eastAsia="Microsoft YaHei"/>
        </w:rPr>
        <w:t>时间：因装置、采集和分析链而异；原始来源未给出统一数值。；空间：由视线、几何和反演设定；原始来源未给出统一数值。</w:t>
      </w:r>
    </w:p>
    <w:p>
      <w:pPr>
        <w:widowControl/>
      </w:pPr>
      <w:r>
        <w:rPr>
          <w:rFonts w:ascii="Calibri" w:hAnsi="Calibri" w:eastAsia="Microsoft YaHei"/>
          <w:b/>
          <w:color w:val="1F4D78"/>
        </w:rPr>
        <w:t>仪器与传感器：</w:t>
      </w:r>
      <w:r>
        <w:rPr>
          <w:rFonts w:ascii="Calibri" w:hAnsi="Calibri" w:eastAsia="Microsoft YaHei"/>
        </w:rPr>
        <w:t>gyrotron collector thermocouples；magnet power-supply voltage and command channels；TSM C++ MonApp / AlgorithmAdapter；Python tsmadkit / tsmadalg processes；EPICS PON, DAN and UDA interfaces</w:t>
      </w:r>
    </w:p>
    <w:p>
      <w:pPr>
        <w:widowControl/>
      </w:pPr>
      <w:r>
        <w:rPr>
          <w:rFonts w:ascii="Calibri" w:hAnsi="Calibri" w:eastAsia="Microsoft YaHei"/>
          <w:b/>
          <w:color w:val="1F4D78"/>
        </w:rPr>
        <w:t>标定与质量：</w:t>
      </w:r>
      <w:r>
        <w:rPr>
          <w:rFonts w:ascii="Calibri" w:hAnsi="Calibri" w:eastAsia="Microsoft YaHei"/>
        </w:rPr>
        <w:t>健康模型需要正常运行基线、模型/硬件版本、维护事件和专家标注；阈值应随调试阶段、误报代价与工况漂移重新标定，且不得替代独立报警和保护阈值。</w:t>
      </w:r>
    </w:p>
    <w:p>
      <w:pPr>
        <w:widowControl/>
      </w:pPr>
      <w:r>
        <w:rPr>
          <w:rFonts w:ascii="Calibri" w:hAnsi="Calibri" w:eastAsia="Microsoft YaHei"/>
          <w:b/>
          <w:color w:val="1F4D78"/>
        </w:rPr>
        <w:t>反演与分析：</w:t>
      </w:r>
      <w:r>
        <w:rPr>
          <w:rFonts w:ascii="Calibri" w:hAnsi="Calibri" w:eastAsia="Microsoft YaHei"/>
        </w:rPr>
        <w:t>anomaly detection；health monitoring；maintenance decision support</w:t>
      </w:r>
    </w:p>
    <w:p>
      <w:pPr>
        <w:widowControl/>
      </w:pPr>
      <w:r>
        <w:rPr>
          <w:rFonts w:ascii="Calibri" w:hAnsi="Calibri" w:eastAsia="Microsoft YaHei"/>
          <w:b/>
          <w:color w:val="1F4D78"/>
        </w:rPr>
        <w:t>验证与应用：</w:t>
      </w:r>
      <w:r>
        <w:rPr>
          <w:rFonts w:ascii="Calibri" w:hAnsi="Calibri" w:eastAsia="Microsoft YaHei"/>
        </w:rPr>
        <w:t>2026 同行评审论文给出已实现的软件接口，并以欧洲回旋管原型脉冲和磁体电源模型/信号展示两类算法；ITER 仍处于投运前，完整专家反馈、事件数据库和长期运行部署尚未完成。</w:t>
      </w:r>
    </w:p>
    <w:p>
      <w:pPr>
        <w:widowControl/>
      </w:pPr>
      <w:r>
        <w:rPr>
          <w:rFonts w:ascii="Calibri" w:hAnsi="Calibri" w:eastAsia="Microsoft YaHei"/>
          <w:b/>
          <w:color w:val="1F4D78"/>
        </w:rPr>
        <w:t>局限与边界：</w:t>
      </w:r>
      <w:r>
        <w:rPr>
          <w:rFonts w:ascii="Calibri" w:hAnsi="Calibri" w:eastAsia="Microsoft YaHei"/>
        </w:rPr>
        <w:t>当前证据是预运行原型与案例验证，不是 ITER 常规运行或安全资格；训练域覆盖、OOD、误报、网络安全、专家复核闭环和模型更新治理仍待投运验证。</w:t>
      </w:r>
    </w:p>
    <w:tbl>
      <w:tblPr>
        <w:tblStyle w:val="TableGrid"/>
        <w:tblW w:type="dxa" w:w="9360"/>
        <w:jc w:val="left"/>
        <w:tblLayout w:type="fixed"/>
        <w:tblLook w:firstColumn="1" w:firstRow="1" w:lastColumn="0" w:lastRow="0" w:noHBand="0" w:noVBand="1" w:val="04A0"/>
        <w:tblInd w:w="120" w:type="dxa"/>
      </w:tblPr>
      <w:tblGrid>
        <w:gridCol w:w="9360"/>
      </w:tblGrid>
      <w:tr>
        <w:trPr>
          <w:cantSplit/>
        </w:trPr>
        <w:tc>
          <w:tcPr>
            <w:tcW w:type="dxa" w:w="9360"/>
            <w:tcMar>
              <w:top w:w="80" w:type="dxa"/>
              <w:bottom w:w="80" w:type="dxa"/>
              <w:start w:w="120" w:type="dxa"/>
              <w:end w:w="120" w:type="dxa"/>
            </w:tcMar>
            <w:vAlign w:val="center"/>
            <w:shd w:fill="EEF7F7"/>
          </w:tcPr>
          <w:p>
            <w:pPr>
              <w:keepNext/>
              <w:keepLines/>
              <w:spacing w:after="40"/>
            </w:pPr>
            <w:r>
              <w:rPr>
                <w:rFonts w:ascii="Calibri" w:hAnsi="Calibri" w:eastAsia="Microsoft YaHei"/>
                <w:b/>
                <w:color w:val="008C95"/>
                <w:sz w:val="17"/>
              </w:rPr>
              <w:t>DIGITAL-TWIN RELEVANCE</w:t>
            </w:r>
          </w:p>
          <w:p>
            <w:pPr>
              <w:spacing w:after="0"/>
            </w:pPr>
            <w:r>
              <w:rPr>
                <w:rFonts w:ascii="Calibri" w:hAnsi="Calibri" w:eastAsia="Microsoft YaHei"/>
                <w:color w:val="0B2545"/>
                <w:sz w:val="20"/>
              </w:rPr>
              <w:t>它展示了资产健康孪生应有的稳定执行契约、异构数据接入、标准化结果和专家反馈接口，但输出只能作为操作员早期预警，不能绕过 CODAC 报警、机器保护或核安全链。</w:t>
            </w:r>
          </w:p>
        </w:tc>
      </w:tr>
    </w:tbl>
    <w:p>
      <w:pPr>
        <w:spacing w:after="40"/>
      </w:pPr>
    </w:p>
    <w:tbl>
      <w:tblPr>
        <w:tblStyle w:val="TableGrid"/>
        <w:tblW w:type="dxa" w:w="9360"/>
        <w:jc w:val="left"/>
        <w:tblLayout w:type="fixed"/>
        <w:tblLook w:firstColumn="1" w:firstRow="1" w:lastColumn="0" w:lastRow="0" w:noHBand="0" w:noVBand="1" w:val="04A0"/>
        <w:tblInd w:w="120" w:type="dxa"/>
      </w:tblPr>
      <w:tblGrid>
        <w:gridCol w:w="850"/>
        <w:gridCol w:w="2500"/>
        <w:gridCol w:w="1600"/>
        <w:gridCol w:w="2300"/>
        <w:gridCol w:w="2110"/>
      </w:tblGrid>
      <w:tr>
        <w:trPr>
          <w:tblHeader w:val="true"/>
        </w:trPr>
        <w:tc>
          <w:tcPr>
            <w:tcW w:type="dxa" w:w="8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年份/类型</w:t>
            </w:r>
          </w:p>
        </w:tc>
        <w:tc>
          <w:tcPr>
            <w:tcW w:type="dxa" w:w="25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论文或软件</w:t>
            </w:r>
          </w:p>
        </w:tc>
        <w:tc>
          <w:tcPr>
            <w:tcW w:type="dxa" w:w="16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期刊/开放性</w:t>
            </w:r>
          </w:p>
        </w:tc>
        <w:tc>
          <w:tcPr>
            <w:tcW w:type="dxa" w:w="23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来源类型/关系</w:t>
            </w:r>
          </w:p>
        </w:tc>
        <w:tc>
          <w:tcPr>
            <w:tcW w:type="dxa" w:w="211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链接</w:t>
            </w:r>
          </w:p>
        </w:tc>
      </w:tr>
      <w:tr>
        <w:trPr>
          <w:cantSplit/>
        </w:trPr>
        <w:tc>
          <w:tcPr>
            <w:tcW w:type="dxa" w:w="850"/>
          </w:tcPr>
          <w:p>
            <w:pPr>
              <w:keepLines/>
              <w:spacing w:after="0" w:line="276" w:lineRule="auto"/>
            </w:pPr>
            <w:r>
              <w:rPr>
                <w:rFonts w:ascii="Calibri" w:hAnsi="Calibri" w:eastAsia="Microsoft YaHei"/>
                <w:color w:val="0B2545"/>
                <w:sz w:val="14"/>
              </w:rPr>
              <w:t>2026</w:t>
            </w:r>
          </w:p>
        </w:tc>
        <w:tc>
          <w:tcPr>
            <w:tcW w:type="dxa" w:w="2500"/>
          </w:tcPr>
          <w:p>
            <w:pPr>
              <w:keepLines/>
              <w:spacing w:after="0" w:line="276" w:lineRule="auto"/>
            </w:pPr>
            <w:r>
              <w:rPr>
                <w:rFonts w:ascii="Calibri" w:hAnsi="Calibri" w:eastAsia="Microsoft YaHei"/>
                <w:color w:val="0B2545"/>
                <w:sz w:val="14"/>
              </w:rPr>
              <w:t>Design and implementation of machine learning-based anomaly detection in the ITER Tokamak Systems Monitor</w:t>
            </w:r>
          </w:p>
        </w:tc>
        <w:tc>
          <w:tcPr>
            <w:tcW w:type="dxa" w:w="1600"/>
          </w:tcPr>
          <w:p>
            <w:pPr>
              <w:keepLines/>
              <w:spacing w:after="0" w:line="276" w:lineRule="auto"/>
            </w:pPr>
            <w:r>
              <w:rPr>
                <w:rFonts w:ascii="Calibri" w:hAnsi="Calibri" w:eastAsia="Microsoft YaHei"/>
                <w:color w:val="0B2545"/>
                <w:sz w:val="14"/>
              </w:rPr>
              <w:t>Frontiers in Physics</w:t>
            </w:r>
          </w:p>
        </w:tc>
        <w:tc>
          <w:tcPr>
            <w:tcW w:type="dxa" w:w="2300"/>
          </w:tcPr>
          <w:p>
            <w:pPr>
              <w:keepLines/>
              <w:spacing w:after="0" w:line="276" w:lineRule="auto"/>
            </w:pPr>
            <w:r>
              <w:rPr>
                <w:rFonts w:ascii="Calibri" w:hAnsi="Calibri" w:eastAsia="Microsoft YaHei"/>
                <w:color w:val="0B2545"/>
                <w:sz w:val="14"/>
              </w:rPr>
              <w:t>peer-reviewed primary ITER-oriented method report</w:t>
            </w:r>
          </w:p>
        </w:tc>
        <w:tc>
          <w:tcPr>
            <w:tcW w:type="dxa" w:w="2110"/>
          </w:tcPr>
          <w:p>
            <w:pPr>
              <w:keepLines/>
              <w:spacing w:after="0" w:line="276" w:lineRule="auto"/>
            </w:pPr>
            <w:hyperlink r:id="rId128">
              <w:r>
                <w:rPr>
                  <w:rFonts w:ascii="Calibri" w:hAnsi="Calibri" w:eastAsia="Microsoft YaHei"/>
                  <w:color w:val="008C95"/>
                  <w:u w:val="single"/>
                </w:rPr>
                <w:t>打开原始来源 ↗</w:t>
              </w:r>
            </w:hyperlink>
          </w:p>
        </w:tc>
      </w:tr>
      <w:tr>
        <w:trPr>
          <w:cantSplit/>
        </w:trPr>
        <w:tc>
          <w:tcPr>
            <w:tcW w:type="dxa" w:w="850"/>
          </w:tcPr>
          <w:p>
            <w:pPr>
              <w:keepLines/>
              <w:spacing w:after="0" w:line="276" w:lineRule="auto"/>
            </w:pPr>
            <w:r>
              <w:rPr>
                <w:rFonts w:ascii="Calibri" w:hAnsi="Calibri" w:eastAsia="Microsoft YaHei"/>
                <w:color w:val="0B2545"/>
                <w:sz w:val="14"/>
              </w:rPr>
              <w:t>软件</w:t>
            </w:r>
          </w:p>
        </w:tc>
        <w:tc>
          <w:tcPr>
            <w:tcW w:type="dxa" w:w="2500"/>
          </w:tcPr>
          <w:p>
            <w:pPr>
              <w:keepLines/>
              <w:spacing w:after="0" w:line="276" w:lineRule="auto"/>
            </w:pPr>
            <w:r>
              <w:rPr>
                <w:rFonts w:ascii="Calibri" w:hAnsi="Calibri" w:eastAsia="Microsoft YaHei"/>
                <w:color w:val="0B2545"/>
                <w:sz w:val="14"/>
              </w:rPr>
              <w:t>ITER TSM tsmadkit / tsmadalg implementation</w:t>
            </w:r>
          </w:p>
        </w:tc>
        <w:tc>
          <w:tcPr>
            <w:tcW w:type="dxa" w:w="1600"/>
          </w:tcPr>
          <w:p>
            <w:pPr>
              <w:keepLines/>
              <w:spacing w:after="0" w:line="276" w:lineRule="auto"/>
            </w:pPr>
            <w:r>
              <w:rPr>
                <w:rFonts w:ascii="Calibri" w:hAnsi="Calibri" w:eastAsia="Microsoft YaHei"/>
                <w:color w:val="0B2545"/>
                <w:sz w:val="14"/>
              </w:rPr>
              <w:t>not-public</w:t>
            </w:r>
          </w:p>
        </w:tc>
        <w:tc>
          <w:tcPr>
            <w:tcW w:type="dxa" w:w="2300"/>
          </w:tcPr>
          <w:p>
            <w:pPr>
              <w:keepLines/>
              <w:spacing w:after="0" w:line="276" w:lineRule="auto"/>
            </w:pPr>
            <w:r>
              <w:rPr>
                <w:rFonts w:ascii="Calibri" w:hAnsi="Calibri" w:eastAsia="Microsoft YaHei"/>
                <w:color w:val="0B2545"/>
                <w:sz w:val="14"/>
              </w:rPr>
              <w:t>论文明确说明 TSM、tsmadkit 与 tsmadalg 为 ITER Organization 专有知识产权，提交时不能公开。</w:t>
            </w:r>
          </w:p>
        </w:tc>
        <w:tc>
          <w:tcPr>
            <w:tcW w:type="dxa" w:w="2110"/>
          </w:tcPr>
          <w:p>
            <w:pPr>
              <w:keepLines/>
              <w:spacing w:after="0" w:line="276" w:lineRule="auto"/>
            </w:pPr>
            <w:r>
              <w:rPr>
                <w:rFonts w:ascii="Calibri" w:hAnsi="Calibri" w:eastAsia="Microsoft YaHei"/>
                <w:color w:val="0B2545"/>
                <w:sz w:val="14"/>
              </w:rPr>
              <w:t>未公开</w:t>
            </w:r>
          </w:p>
        </w:tc>
      </w:tr>
    </w:tbl>
    <w:p>
      <w:pPr>
        <w:spacing w:before="0" w:after="60"/>
      </w:pPr>
    </w:p>
    <w:p>
      <w:pPr>
        <w:pStyle w:val="Heading3"/>
        <w:keepNext/>
      </w:pPr>
      <w:r>
        <w:t>DG8.02  ITER 超导磁体多通道失超探测与抗噪监视</w:t>
      </w:r>
    </w:p>
    <w:p>
      <w:pPr>
        <w:keepNext/>
        <w:spacing w:after="80"/>
      </w:pPr>
      <w:r>
        <w:rPr>
          <w:rFonts w:ascii="Calibri" w:hAnsi="Calibri" w:eastAsia="Microsoft YaHei"/>
          <w:i/>
          <w:color w:val="566573"/>
          <w:sz w:val="18"/>
        </w:rPr>
        <w:t>Multi-channel quench detection and noise rejection for ITER superconducting magnets</w:t>
      </w:r>
    </w:p>
    <w:tbl>
      <w:tblPr>
        <w:tblStyle w:val="TableGrid"/>
        <w:tblW w:type="dxa" w:w="9360"/>
        <w:jc w:val="left"/>
        <w:tblLayout w:type="fixed"/>
        <w:tblLook w:firstColumn="1" w:firstRow="1" w:lastColumn="0" w:lastRow="0" w:noHBand="0" w:noVBand="1" w:val="04A0"/>
        <w:tblInd w:w="120" w:type="dxa"/>
      </w:tblPr>
      <w:tblGrid>
        <w:gridCol w:w="1200"/>
        <w:gridCol w:w="750"/>
        <w:gridCol w:w="750"/>
        <w:gridCol w:w="2100"/>
        <w:gridCol w:w="4560"/>
      </w:tblGrid>
      <w:tr>
        <w:trPr>
          <w:tblHeader w:val="true"/>
        </w:trPr>
        <w:tc>
          <w:tcPr>
            <w:tcW w:type="dxa" w:w="12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工作 ID</w:t>
            </w:r>
          </w:p>
        </w:tc>
        <w:tc>
          <w:tcPr>
            <w:tcW w:type="dxa" w:w="7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证据</w:t>
            </w:r>
          </w:p>
        </w:tc>
        <w:tc>
          <w:tcPr>
            <w:tcW w:type="dxa" w:w="7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部署</w:t>
            </w:r>
          </w:p>
        </w:tc>
        <w:tc>
          <w:tcPr>
            <w:tcW w:type="dxa" w:w="21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技术族</w:t>
            </w:r>
          </w:p>
        </w:tc>
        <w:tc>
          <w:tcPr>
            <w:tcW w:type="dxa" w:w="456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装置</w:t>
            </w:r>
          </w:p>
        </w:tc>
      </w:tr>
      <w:tr>
        <w:trPr>
          <w:cantSplit/>
        </w:trPr>
        <w:tc>
          <w:tcPr>
            <w:tcW w:type="dxa" w:w="1200"/>
          </w:tcPr>
          <w:p>
            <w:pPr>
              <w:keepLines/>
              <w:spacing w:after="0" w:line="276" w:lineRule="auto"/>
            </w:pPr>
            <w:r>
              <w:rPr>
                <w:rFonts w:ascii="Calibri" w:hAnsi="Calibri" w:eastAsia="Microsoft YaHei"/>
                <w:color w:val="0B2545"/>
                <w:sz w:val="15"/>
              </w:rPr>
              <w:t>PDT-001</w:t>
            </w:r>
          </w:p>
        </w:tc>
        <w:tc>
          <w:tcPr>
            <w:tcW w:type="dxa" w:w="750"/>
          </w:tcPr>
          <w:p>
            <w:pPr>
              <w:keepLines/>
              <w:spacing w:after="0" w:line="276" w:lineRule="auto"/>
            </w:pPr>
            <w:r>
              <w:rPr>
                <w:rFonts w:ascii="Calibri" w:hAnsi="Calibri" w:eastAsia="Microsoft YaHei"/>
                <w:color w:val="0B2545"/>
                <w:sz w:val="15"/>
              </w:rPr>
              <w:t>E2</w:t>
            </w:r>
          </w:p>
        </w:tc>
        <w:tc>
          <w:tcPr>
            <w:tcW w:type="dxa" w:w="750"/>
          </w:tcPr>
          <w:p>
            <w:pPr>
              <w:keepLines/>
              <w:spacing w:after="0" w:line="276" w:lineRule="auto"/>
            </w:pPr>
            <w:r>
              <w:rPr>
                <w:rFonts w:ascii="Calibri" w:hAnsi="Calibri" w:eastAsia="Microsoft YaHei"/>
                <w:color w:val="0B2545"/>
                <w:sz w:val="15"/>
              </w:rPr>
              <w:t>D3</w:t>
            </w:r>
          </w:p>
        </w:tc>
        <w:tc>
          <w:tcPr>
            <w:tcW w:type="dxa" w:w="2100"/>
          </w:tcPr>
          <w:p>
            <w:pPr>
              <w:keepLines/>
              <w:spacing w:after="0" w:line="276" w:lineRule="auto"/>
            </w:pPr>
            <w:r>
              <w:rPr>
                <w:rFonts w:ascii="Calibri" w:hAnsi="Calibri" w:eastAsia="Microsoft YaHei"/>
                <w:color w:val="0B2545"/>
                <w:sz w:val="15"/>
              </w:rPr>
              <w:t>ENGINEERING_SENSOR；COMPUTATIONAL</w:t>
            </w:r>
          </w:p>
        </w:tc>
        <w:tc>
          <w:tcPr>
            <w:tcW w:type="dxa" w:w="4560"/>
          </w:tcPr>
          <w:p>
            <w:pPr>
              <w:keepLines/>
              <w:spacing w:after="0" w:line="276" w:lineRule="auto"/>
            </w:pPr>
            <w:r>
              <w:rPr>
                <w:rFonts w:ascii="Calibri" w:hAnsi="Calibri" w:eastAsia="Microsoft YaHei"/>
                <w:color w:val="0B2545"/>
                <w:sz w:val="15"/>
              </w:rPr>
              <w:t>ITER</w:t>
            </w:r>
          </w:p>
        </w:tc>
      </w:tr>
    </w:tbl>
    <w:p>
      <w:pPr>
        <w:spacing w:before="0" w:after="60"/>
      </w:pPr>
    </w:p>
    <w:p>
      <w:pPr>
        <w:widowControl/>
      </w:pPr>
      <w:r>
        <w:rPr>
          <w:rFonts w:ascii="Calibri" w:hAnsi="Calibri" w:eastAsia="Microsoft YaHei"/>
          <w:b/>
          <w:color w:val="1F4D78"/>
        </w:rPr>
        <w:t>解决问题：</w:t>
      </w:r>
      <w:r>
        <w:rPr>
          <w:rFonts w:ascii="Calibri" w:hAnsi="Calibri" w:eastAsia="Microsoft YaHei"/>
        </w:rPr>
        <w:t>大型超导线圈储能高，正常爬流的感应电压、强电磁噪声和长电缆可能掩盖小电阻电压；发现过迟会造成局部过热与绝缘损伤。</w:t>
      </w:r>
    </w:p>
    <w:p>
      <w:pPr>
        <w:widowControl/>
      </w:pPr>
      <w:r>
        <w:rPr>
          <w:rFonts w:ascii="Calibri" w:hAnsi="Calibri" w:eastAsia="Microsoft YaHei"/>
          <w:b/>
          <w:color w:val="1F4D78"/>
        </w:rPr>
        <w:t>测量原理：</w:t>
      </w:r>
      <w:r>
        <w:rPr>
          <w:rFonts w:ascii="Calibri" w:hAnsi="Calibri" w:eastAsia="Microsoft YaHei"/>
        </w:rPr>
        <w:t>利用差分/桥式电压比较、冗余电压抽头、光隔离和高压信号调理监视正常区形成；把探测器状态、原始波形和触发阈值送至独立失超保护链。ITER 官方资料说明约三千个失超探测传感器的量级。</w:t>
      </w:r>
    </w:p>
    <w:p>
      <w:pPr>
        <w:widowControl/>
      </w:pPr>
      <w:r>
        <w:rPr>
          <w:rFonts w:ascii="Calibri" w:hAnsi="Calibri" w:eastAsia="Microsoft YaHei"/>
          <w:b/>
          <w:color w:val="1F4D78"/>
        </w:rPr>
        <w:t>测量产品：</w:t>
      </w:r>
      <w:r>
        <w:rPr>
          <w:rFonts w:ascii="Calibri" w:hAnsi="Calibri" w:eastAsia="Microsoft YaHei"/>
        </w:rPr>
        <w:t>线圈差分/桥路电压 [V]；线圈电流 [A]；局部温度 [K]；冷却回路压力 [Pa]；失超状态与触发时刻</w:t>
      </w:r>
    </w:p>
    <w:p>
      <w:pPr>
        <w:widowControl/>
      </w:pPr>
      <w:r>
        <w:rPr>
          <w:rFonts w:ascii="Calibri" w:hAnsi="Calibri" w:eastAsia="Microsoft YaHei"/>
          <w:b/>
          <w:color w:val="1F4D78"/>
        </w:rPr>
        <w:t>时空分辨与覆盖：</w:t>
      </w:r>
      <w:r>
        <w:rPr>
          <w:rFonts w:ascii="Calibri" w:hAnsi="Calibri" w:eastAsia="Microsoft YaHei"/>
        </w:rPr>
        <w:t>时间：毫秒至秒，取决于线圈、正常区传播、滤波和保护动作；空间：由视线、几何和反演设定；原始来源未给出统一数值。</w:t>
      </w:r>
    </w:p>
    <w:p>
      <w:pPr>
        <w:widowControl/>
      </w:pPr>
      <w:r>
        <w:rPr>
          <w:rFonts w:ascii="Calibri" w:hAnsi="Calibri" w:eastAsia="Microsoft YaHei"/>
          <w:b/>
          <w:color w:val="1F4D78"/>
        </w:rPr>
        <w:t>仪器与传感器：</w:t>
      </w:r>
      <w:r>
        <w:rPr>
          <w:rFonts w:ascii="Calibri" w:hAnsi="Calibri" w:eastAsia="Microsoft YaHei"/>
        </w:rPr>
        <w:t>voltage taps；bridge circuits；current transducers；temperature/pressure sensors；high-voltage optical isolation</w:t>
      </w:r>
    </w:p>
    <w:p>
      <w:pPr>
        <w:widowControl/>
      </w:pPr>
      <w:r>
        <w:rPr>
          <w:rFonts w:ascii="Calibri" w:hAnsi="Calibri" w:eastAsia="Microsoft YaHei"/>
          <w:b/>
          <w:color w:val="1F4D78"/>
        </w:rPr>
        <w:t>标定与质量：</w:t>
      </w:r>
      <w:r>
        <w:rPr>
          <w:rFonts w:ascii="Calibri" w:hAnsi="Calibri" w:eastAsia="Microsoft YaHei"/>
        </w:rPr>
        <w:t>采用已知电压注入、桥路平衡、通道共模抑制测试和受控加热/模拟失超校核；阈值、滤波与配置需版本化。</w:t>
      </w:r>
    </w:p>
    <w:p>
      <w:pPr>
        <w:widowControl/>
      </w:pPr>
      <w:r>
        <w:rPr>
          <w:rFonts w:ascii="Calibri" w:hAnsi="Calibri" w:eastAsia="Microsoft YaHei"/>
          <w:b/>
          <w:color w:val="1F4D78"/>
        </w:rPr>
        <w:t>反演与分析：</w:t>
      </w:r>
      <w:r>
        <w:rPr>
          <w:rFonts w:ascii="Calibri" w:hAnsi="Calibri" w:eastAsia="Microsoft YaHei"/>
        </w:rPr>
        <w:t>桥路残差、持续时间、双通道符合和磁体状态机共同判定；最终保护动作保持在独立安全链。</w:t>
      </w:r>
    </w:p>
    <w:p>
      <w:pPr>
        <w:widowControl/>
      </w:pPr>
      <w:r>
        <w:rPr>
          <w:rFonts w:ascii="Calibri" w:hAnsi="Calibri" w:eastAsia="Microsoft YaHei"/>
          <w:b/>
          <w:color w:val="1F4D78"/>
        </w:rPr>
        <w:t>验证与应用：</w:t>
      </w:r>
      <w:r>
        <w:rPr>
          <w:rFonts w:ascii="Calibri" w:hAnsi="Calibri" w:eastAsia="Microsoft YaHei"/>
        </w:rPr>
        <w:t>传感器、电子学和信号调理的设计/样机/资格试验；尚无 ITER 磁体系统长期运行统计。</w:t>
      </w:r>
    </w:p>
    <w:p>
      <w:pPr>
        <w:widowControl/>
      </w:pPr>
      <w:r>
        <w:rPr>
          <w:rFonts w:ascii="Calibri" w:hAnsi="Calibri" w:eastAsia="Microsoft YaHei"/>
          <w:b/>
          <w:color w:val="1F4D78"/>
        </w:rPr>
        <w:t>局限与边界：</w:t>
      </w:r>
      <w:r>
        <w:rPr>
          <w:rFonts w:ascii="Calibri" w:hAnsi="Calibri" w:eastAsia="Microsoft YaHei"/>
        </w:rPr>
        <w:t>电压阈值受 ramp rate、耦合和噪声影响；仅测电压难定位 HTS 慢传播热点；诊断触发与最终 QPC 安全职责必须隔离。</w:t>
      </w:r>
    </w:p>
    <w:tbl>
      <w:tblPr>
        <w:tblStyle w:val="TableGrid"/>
        <w:tblW w:type="dxa" w:w="9360"/>
        <w:jc w:val="left"/>
        <w:tblLayout w:type="fixed"/>
        <w:tblLook w:firstColumn="1" w:firstRow="1" w:lastColumn="0" w:lastRow="0" w:noHBand="0" w:noVBand="1" w:val="04A0"/>
        <w:tblInd w:w="120" w:type="dxa"/>
      </w:tblPr>
      <w:tblGrid>
        <w:gridCol w:w="9360"/>
      </w:tblGrid>
      <w:tr>
        <w:trPr>
          <w:cantSplit/>
        </w:trPr>
        <w:tc>
          <w:tcPr>
            <w:tcW w:type="dxa" w:w="9360"/>
            <w:tcMar>
              <w:top w:w="80" w:type="dxa"/>
              <w:bottom w:w="80" w:type="dxa"/>
              <w:start w:w="120" w:type="dxa"/>
              <w:end w:w="120" w:type="dxa"/>
            </w:tcMar>
            <w:vAlign w:val="center"/>
            <w:shd w:fill="EEF7F7"/>
          </w:tcPr>
          <w:p>
            <w:pPr>
              <w:keepNext/>
              <w:keepLines/>
              <w:spacing w:after="40"/>
            </w:pPr>
            <w:r>
              <w:rPr>
                <w:rFonts w:ascii="Calibri" w:hAnsi="Calibri" w:eastAsia="Microsoft YaHei"/>
                <w:b/>
                <w:color w:val="008C95"/>
                <w:sz w:val="17"/>
              </w:rPr>
              <w:t>DIGITAL-TWIN RELEVANCE</w:t>
            </w:r>
          </w:p>
          <w:p>
            <w:pPr>
              <w:spacing w:after="0"/>
            </w:pPr>
            <w:r>
              <w:rPr>
                <w:rFonts w:ascii="Calibri" w:hAnsi="Calibri" w:eastAsia="Microsoft YaHei"/>
                <w:color w:val="0B2545"/>
                <w:sz w:val="20"/>
              </w:rPr>
              <w:t>孪生应同步电磁—热—水力模型、传感器残差、阈值版本和保护动作回放，形成磁体健康数字线程。</w:t>
            </w:r>
          </w:p>
        </w:tc>
      </w:tr>
    </w:tbl>
    <w:p>
      <w:pPr>
        <w:spacing w:after="40"/>
      </w:pPr>
    </w:p>
    <w:tbl>
      <w:tblPr>
        <w:tblStyle w:val="TableGrid"/>
        <w:tblW w:type="dxa" w:w="9360"/>
        <w:jc w:val="left"/>
        <w:tblLayout w:type="fixed"/>
        <w:tblLook w:firstColumn="1" w:firstRow="1" w:lastColumn="0" w:lastRow="0" w:noHBand="0" w:noVBand="1" w:val="04A0"/>
        <w:tblInd w:w="120" w:type="dxa"/>
      </w:tblPr>
      <w:tblGrid>
        <w:gridCol w:w="850"/>
        <w:gridCol w:w="2500"/>
        <w:gridCol w:w="1600"/>
        <w:gridCol w:w="2300"/>
        <w:gridCol w:w="2110"/>
      </w:tblGrid>
      <w:tr>
        <w:trPr>
          <w:tblHeader w:val="true"/>
        </w:trPr>
        <w:tc>
          <w:tcPr>
            <w:tcW w:type="dxa" w:w="8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年份/类型</w:t>
            </w:r>
          </w:p>
        </w:tc>
        <w:tc>
          <w:tcPr>
            <w:tcW w:type="dxa" w:w="25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论文或软件</w:t>
            </w:r>
          </w:p>
        </w:tc>
        <w:tc>
          <w:tcPr>
            <w:tcW w:type="dxa" w:w="16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期刊/开放性</w:t>
            </w:r>
          </w:p>
        </w:tc>
        <w:tc>
          <w:tcPr>
            <w:tcW w:type="dxa" w:w="23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来源类型/关系</w:t>
            </w:r>
          </w:p>
        </w:tc>
        <w:tc>
          <w:tcPr>
            <w:tcW w:type="dxa" w:w="211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链接</w:t>
            </w:r>
          </w:p>
        </w:tc>
      </w:tr>
      <w:tr>
        <w:trPr>
          <w:cantSplit/>
        </w:trPr>
        <w:tc>
          <w:tcPr>
            <w:tcW w:type="dxa" w:w="850"/>
          </w:tcPr>
          <w:p>
            <w:pPr>
              <w:keepLines/>
              <w:spacing w:after="0" w:line="276" w:lineRule="auto"/>
            </w:pPr>
            <w:r>
              <w:rPr>
                <w:rFonts w:ascii="Calibri" w:hAnsi="Calibri" w:eastAsia="Microsoft YaHei"/>
                <w:color w:val="0B2545"/>
                <w:sz w:val="14"/>
              </w:rPr>
              <w:t>2013</w:t>
            </w:r>
          </w:p>
        </w:tc>
        <w:tc>
          <w:tcPr>
            <w:tcW w:type="dxa" w:w="2500"/>
          </w:tcPr>
          <w:p>
            <w:pPr>
              <w:keepLines/>
              <w:spacing w:after="0" w:line="276" w:lineRule="auto"/>
            </w:pPr>
            <w:r>
              <w:rPr>
                <w:rFonts w:ascii="Calibri" w:hAnsi="Calibri" w:eastAsia="Microsoft YaHei"/>
                <w:color w:val="0B2545"/>
                <w:sz w:val="14"/>
              </w:rPr>
              <w:t>3,000 sensors for detecting the quench</w:t>
            </w:r>
          </w:p>
        </w:tc>
        <w:tc>
          <w:tcPr>
            <w:tcW w:type="dxa" w:w="1600"/>
          </w:tcPr>
          <w:p>
            <w:pPr>
              <w:keepLines/>
              <w:spacing w:after="0" w:line="276" w:lineRule="auto"/>
            </w:pPr>
            <w:r>
              <w:rPr>
                <w:rFonts w:ascii="Calibri" w:hAnsi="Calibri" w:eastAsia="Microsoft YaHei"/>
                <w:color w:val="0B2545"/>
                <w:sz w:val="14"/>
              </w:rPr>
              <w:t>原始论文 / 官方来源</w:t>
            </w:r>
          </w:p>
        </w:tc>
        <w:tc>
          <w:tcPr>
            <w:tcW w:type="dxa" w:w="2300"/>
          </w:tcPr>
          <w:p>
            <w:pPr>
              <w:keepLines/>
              <w:spacing w:after="0" w:line="276" w:lineRule="auto"/>
            </w:pPr>
            <w:r>
              <w:rPr>
                <w:rFonts w:ascii="Calibri" w:hAnsi="Calibri" w:eastAsia="Microsoft YaHei"/>
                <w:color w:val="0B2545"/>
                <w:sz w:val="14"/>
              </w:rPr>
              <w:t>official ITER engineering report</w:t>
            </w:r>
          </w:p>
        </w:tc>
        <w:tc>
          <w:tcPr>
            <w:tcW w:type="dxa" w:w="2110"/>
          </w:tcPr>
          <w:p>
            <w:pPr>
              <w:keepLines/>
              <w:spacing w:after="0" w:line="276" w:lineRule="auto"/>
            </w:pPr>
            <w:hyperlink r:id="rId129">
              <w:r>
                <w:rPr>
                  <w:rFonts w:ascii="Calibri" w:hAnsi="Calibri" w:eastAsia="Microsoft YaHei"/>
                  <w:color w:val="008C95"/>
                  <w:u w:val="single"/>
                </w:rPr>
                <w:t>打开原始来源 ↗</w:t>
              </w:r>
            </w:hyperlink>
          </w:p>
        </w:tc>
      </w:tr>
      <w:tr>
        <w:trPr>
          <w:cantSplit/>
        </w:trPr>
        <w:tc>
          <w:tcPr>
            <w:tcW w:type="dxa" w:w="850"/>
          </w:tcPr>
          <w:p>
            <w:pPr>
              <w:keepLines/>
              <w:spacing w:after="0" w:line="276" w:lineRule="auto"/>
            </w:pPr>
            <w:r>
              <w:rPr>
                <w:rFonts w:ascii="Calibri" w:hAnsi="Calibri" w:eastAsia="Microsoft YaHei"/>
                <w:color w:val="0B2545"/>
                <w:sz w:val="14"/>
              </w:rPr>
              <w:t>2016</w:t>
            </w:r>
          </w:p>
        </w:tc>
        <w:tc>
          <w:tcPr>
            <w:tcW w:type="dxa" w:w="2500"/>
          </w:tcPr>
          <w:p>
            <w:pPr>
              <w:keepLines/>
              <w:spacing w:after="0" w:line="276" w:lineRule="auto"/>
            </w:pPr>
            <w:r>
              <w:rPr>
                <w:rFonts w:ascii="Calibri" w:hAnsi="Calibri" w:eastAsia="Microsoft YaHei"/>
                <w:color w:val="0B2545"/>
                <w:sz w:val="14"/>
              </w:rPr>
              <w:t>A High Voltage Signal Conditioner for the Quench Detection System of the ITER Superconducting Magnet</w:t>
            </w:r>
          </w:p>
        </w:tc>
        <w:tc>
          <w:tcPr>
            <w:tcW w:type="dxa" w:w="1600"/>
          </w:tcPr>
          <w:p>
            <w:pPr>
              <w:keepLines/>
              <w:spacing w:after="0" w:line="276" w:lineRule="auto"/>
            </w:pPr>
            <w:r>
              <w:rPr>
                <w:rFonts w:ascii="Calibri" w:hAnsi="Calibri" w:eastAsia="Microsoft YaHei"/>
                <w:color w:val="0B2545"/>
                <w:sz w:val="14"/>
              </w:rPr>
              <w:t>原始论文 / 官方来源</w:t>
            </w:r>
          </w:p>
        </w:tc>
        <w:tc>
          <w:tcPr>
            <w:tcW w:type="dxa" w:w="2300"/>
          </w:tcPr>
          <w:p>
            <w:pPr>
              <w:keepLines/>
              <w:spacing w:after="0" w:line="276" w:lineRule="auto"/>
            </w:pPr>
            <w:r>
              <w:rPr>
                <w:rFonts w:ascii="Calibri" w:hAnsi="Calibri" w:eastAsia="Microsoft YaHei"/>
                <w:color w:val="0B2545"/>
                <w:sz w:val="14"/>
              </w:rPr>
              <w:t>peer-reviewed engineering paper</w:t>
            </w:r>
          </w:p>
        </w:tc>
        <w:tc>
          <w:tcPr>
            <w:tcW w:type="dxa" w:w="2110"/>
          </w:tcPr>
          <w:p>
            <w:pPr>
              <w:keepLines/>
              <w:spacing w:after="0" w:line="276" w:lineRule="auto"/>
            </w:pPr>
            <w:hyperlink r:id="rId130">
              <w:r>
                <w:rPr>
                  <w:rFonts w:ascii="Calibri" w:hAnsi="Calibri" w:eastAsia="Microsoft YaHei"/>
                  <w:color w:val="008C95"/>
                  <w:u w:val="single"/>
                </w:rPr>
                <w:t>打开原始来源 ↗</w:t>
              </w:r>
            </w:hyperlink>
          </w:p>
        </w:tc>
      </w:tr>
      <w:tr>
        <w:trPr>
          <w:cantSplit/>
        </w:trPr>
        <w:tc>
          <w:tcPr>
            <w:tcW w:type="dxa" w:w="850"/>
          </w:tcPr>
          <w:p>
            <w:pPr>
              <w:keepLines/>
              <w:spacing w:after="0" w:line="276" w:lineRule="auto"/>
            </w:pPr>
            <w:r>
              <w:rPr>
                <w:rFonts w:ascii="Calibri" w:hAnsi="Calibri" w:eastAsia="Microsoft YaHei"/>
                <w:color w:val="0B2545"/>
                <w:sz w:val="14"/>
              </w:rPr>
              <w:t>软件</w:t>
            </w:r>
          </w:p>
        </w:tc>
        <w:tc>
          <w:tcPr>
            <w:tcW w:type="dxa" w:w="2500"/>
          </w:tcPr>
          <w:p>
            <w:pPr>
              <w:keepLines/>
              <w:spacing w:after="0" w:line="276" w:lineRule="auto"/>
            </w:pPr>
            <w:r>
              <w:rPr>
                <w:rFonts w:ascii="Calibri" w:hAnsi="Calibri" w:eastAsia="Microsoft YaHei"/>
                <w:color w:val="0B2545"/>
                <w:sz w:val="14"/>
              </w:rPr>
              <w:t>ITER QDS production logic/configuration</w:t>
            </w:r>
          </w:p>
        </w:tc>
        <w:tc>
          <w:tcPr>
            <w:tcW w:type="dxa" w:w="1600"/>
          </w:tcPr>
          <w:p>
            <w:pPr>
              <w:keepLines/>
              <w:spacing w:after="0" w:line="276" w:lineRule="auto"/>
            </w:pPr>
            <w:r>
              <w:rPr>
                <w:rFonts w:ascii="Calibri" w:hAnsi="Calibri" w:eastAsia="Microsoft YaHei"/>
                <w:color w:val="0B2545"/>
                <w:sz w:val="14"/>
              </w:rPr>
              <w:t>not-public</w:t>
            </w:r>
          </w:p>
        </w:tc>
        <w:tc>
          <w:tcPr>
            <w:tcW w:type="dxa" w:w="2300"/>
          </w:tcPr>
          <w:p>
            <w:pPr>
              <w:keepLines/>
              <w:spacing w:after="0" w:line="276" w:lineRule="auto"/>
            </w:pPr>
            <w:r>
              <w:rPr>
                <w:rFonts w:ascii="Calibri" w:hAnsi="Calibri" w:eastAsia="Microsoft YaHei"/>
                <w:color w:val="0B2545"/>
                <w:sz w:val="14"/>
              </w:rPr>
              <w:t>公开文献描述功能与资格方法，未发现生产仓库。</w:t>
            </w:r>
          </w:p>
        </w:tc>
        <w:tc>
          <w:tcPr>
            <w:tcW w:type="dxa" w:w="2110"/>
          </w:tcPr>
          <w:p>
            <w:pPr>
              <w:keepLines/>
              <w:spacing w:after="0" w:line="276" w:lineRule="auto"/>
            </w:pPr>
            <w:r>
              <w:rPr>
                <w:rFonts w:ascii="Calibri" w:hAnsi="Calibri" w:eastAsia="Microsoft YaHei"/>
                <w:color w:val="0B2545"/>
                <w:sz w:val="14"/>
              </w:rPr>
              <w:t>未公开</w:t>
            </w:r>
          </w:p>
        </w:tc>
      </w:tr>
    </w:tbl>
    <w:p>
      <w:pPr>
        <w:spacing w:before="0" w:after="60"/>
      </w:pPr>
    </w:p>
    <w:p>
      <w:pPr>
        <w:pStyle w:val="Heading3"/>
        <w:keepNext/>
      </w:pPr>
      <w:r>
        <w:t>DG8.03  JT-60SA 磁体—低温联合状态监测与失超保护调试</w:t>
      </w:r>
    </w:p>
    <w:p>
      <w:pPr>
        <w:keepNext/>
        <w:spacing w:after="80"/>
      </w:pPr>
      <w:r>
        <w:rPr>
          <w:rFonts w:ascii="Calibri" w:hAnsi="Calibri" w:eastAsia="Microsoft YaHei"/>
          <w:i/>
          <w:color w:val="566573"/>
          <w:sz w:val="18"/>
        </w:rPr>
        <w:t>Integrated magnet-cryogenic monitoring and quench protection commissioning on JT-60SA</w:t>
      </w:r>
    </w:p>
    <w:tbl>
      <w:tblPr>
        <w:tblStyle w:val="TableGrid"/>
        <w:tblW w:type="dxa" w:w="9360"/>
        <w:jc w:val="left"/>
        <w:tblLayout w:type="fixed"/>
        <w:tblLook w:firstColumn="1" w:firstRow="1" w:lastColumn="0" w:lastRow="0" w:noHBand="0" w:noVBand="1" w:val="04A0"/>
        <w:tblInd w:w="120" w:type="dxa"/>
      </w:tblPr>
      <w:tblGrid>
        <w:gridCol w:w="1200"/>
        <w:gridCol w:w="750"/>
        <w:gridCol w:w="750"/>
        <w:gridCol w:w="2100"/>
        <w:gridCol w:w="4560"/>
      </w:tblGrid>
      <w:tr>
        <w:trPr>
          <w:tblHeader w:val="true"/>
        </w:trPr>
        <w:tc>
          <w:tcPr>
            <w:tcW w:type="dxa" w:w="12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工作 ID</w:t>
            </w:r>
          </w:p>
        </w:tc>
        <w:tc>
          <w:tcPr>
            <w:tcW w:type="dxa" w:w="7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证据</w:t>
            </w:r>
          </w:p>
        </w:tc>
        <w:tc>
          <w:tcPr>
            <w:tcW w:type="dxa" w:w="7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部署</w:t>
            </w:r>
          </w:p>
        </w:tc>
        <w:tc>
          <w:tcPr>
            <w:tcW w:type="dxa" w:w="21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技术族</w:t>
            </w:r>
          </w:p>
        </w:tc>
        <w:tc>
          <w:tcPr>
            <w:tcW w:type="dxa" w:w="456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装置</w:t>
            </w:r>
          </w:p>
        </w:tc>
      </w:tr>
      <w:tr>
        <w:trPr>
          <w:cantSplit/>
        </w:trPr>
        <w:tc>
          <w:tcPr>
            <w:tcW w:type="dxa" w:w="1200"/>
          </w:tcPr>
          <w:p>
            <w:pPr>
              <w:keepLines/>
              <w:spacing w:after="0" w:line="276" w:lineRule="auto"/>
            </w:pPr>
            <w:r>
              <w:rPr>
                <w:rFonts w:ascii="Calibri" w:hAnsi="Calibri" w:eastAsia="Microsoft YaHei"/>
                <w:color w:val="0B2545"/>
                <w:sz w:val="15"/>
              </w:rPr>
              <w:t>PDT-002</w:t>
            </w:r>
          </w:p>
        </w:tc>
        <w:tc>
          <w:tcPr>
            <w:tcW w:type="dxa" w:w="750"/>
          </w:tcPr>
          <w:p>
            <w:pPr>
              <w:keepLines/>
              <w:spacing w:after="0" w:line="276" w:lineRule="auto"/>
            </w:pPr>
            <w:r>
              <w:rPr>
                <w:rFonts w:ascii="Calibri" w:hAnsi="Calibri" w:eastAsia="Microsoft YaHei"/>
                <w:color w:val="0B2545"/>
                <w:sz w:val="15"/>
              </w:rPr>
              <w:t>E3</w:t>
            </w:r>
          </w:p>
        </w:tc>
        <w:tc>
          <w:tcPr>
            <w:tcW w:type="dxa" w:w="750"/>
          </w:tcPr>
          <w:p>
            <w:pPr>
              <w:keepLines/>
              <w:spacing w:after="0" w:line="276" w:lineRule="auto"/>
            </w:pPr>
            <w:r>
              <w:rPr>
                <w:rFonts w:ascii="Calibri" w:hAnsi="Calibri" w:eastAsia="Microsoft YaHei"/>
                <w:color w:val="0B2545"/>
                <w:sz w:val="15"/>
              </w:rPr>
              <w:t>D3</w:t>
            </w:r>
          </w:p>
        </w:tc>
        <w:tc>
          <w:tcPr>
            <w:tcW w:type="dxa" w:w="2100"/>
          </w:tcPr>
          <w:p>
            <w:pPr>
              <w:keepLines/>
              <w:spacing w:after="0" w:line="276" w:lineRule="auto"/>
            </w:pPr>
            <w:r>
              <w:rPr>
                <w:rFonts w:ascii="Calibri" w:hAnsi="Calibri" w:eastAsia="Microsoft YaHei"/>
                <w:color w:val="0B2545"/>
                <w:sz w:val="15"/>
              </w:rPr>
              <w:t>ENGINEERING_SENSOR；COMPUTATIONAL</w:t>
            </w:r>
          </w:p>
        </w:tc>
        <w:tc>
          <w:tcPr>
            <w:tcW w:type="dxa" w:w="4560"/>
          </w:tcPr>
          <w:p>
            <w:pPr>
              <w:keepLines/>
              <w:spacing w:after="0" w:line="276" w:lineRule="auto"/>
            </w:pPr>
            <w:r>
              <w:rPr>
                <w:rFonts w:ascii="Calibri" w:hAnsi="Calibri" w:eastAsia="Microsoft YaHei"/>
                <w:color w:val="0B2545"/>
                <w:sz w:val="15"/>
              </w:rPr>
              <w:t>JT-60SA</w:t>
            </w:r>
          </w:p>
        </w:tc>
      </w:tr>
    </w:tbl>
    <w:p>
      <w:pPr>
        <w:spacing w:before="0" w:after="60"/>
      </w:pPr>
    </w:p>
    <w:p>
      <w:pPr>
        <w:widowControl/>
      </w:pPr>
      <w:r>
        <w:rPr>
          <w:rFonts w:ascii="Calibri" w:hAnsi="Calibri" w:eastAsia="Microsoft YaHei"/>
          <w:b/>
          <w:color w:val="1F4D78"/>
        </w:rPr>
        <w:t>解决问题：</w:t>
      </w:r>
      <w:r>
        <w:rPr>
          <w:rFonts w:ascii="Calibri" w:hAnsi="Calibri" w:eastAsia="Microsoft YaHei"/>
        </w:rPr>
        <w:t>磁体快放电/失超既威胁线圈，也给低温回路带来瞬态热负荷和压力上升；保护阈值过于保守又造成超过一天的恢复代价。</w:t>
      </w:r>
    </w:p>
    <w:p>
      <w:pPr>
        <w:widowControl/>
      </w:pPr>
      <w:r>
        <w:rPr>
          <w:rFonts w:ascii="Calibri" w:hAnsi="Calibri" w:eastAsia="Microsoft YaHei"/>
          <w:b/>
          <w:color w:val="1F4D78"/>
        </w:rPr>
        <w:t>测量原理：</w:t>
      </w:r>
      <w:r>
        <w:rPr>
          <w:rFonts w:ascii="Calibri" w:hAnsi="Calibri" w:eastAsia="Microsoft YaHei"/>
        </w:rPr>
        <w:t>Magnet Controller 采集温度、压力和质量流量并控制氦流；相邻 TF 线圈桥式比较探测电阻增长，双路冗余触发 QPC；commissioning 通过受控加热线圈、分级电流和 pyrobreaker 试验验证链路。</w:t>
      </w:r>
    </w:p>
    <w:p>
      <w:pPr>
        <w:widowControl/>
      </w:pPr>
      <w:r>
        <w:rPr>
          <w:rFonts w:ascii="Calibri" w:hAnsi="Calibri" w:eastAsia="Microsoft YaHei"/>
          <w:b/>
          <w:color w:val="1F4D78"/>
        </w:rPr>
        <w:t>测量产品：</w:t>
      </w:r>
      <w:r>
        <w:rPr>
          <w:rFonts w:ascii="Calibri" w:hAnsi="Calibri" w:eastAsia="Microsoft YaHei"/>
        </w:rPr>
        <w:t>线圈差分电压 [V]；线圈电流 [A]；氦温度 [K]；压力 [Pa]；质量流量 [kg/s]；阀门与保护状态</w:t>
      </w:r>
    </w:p>
    <w:p>
      <w:pPr>
        <w:widowControl/>
      </w:pPr>
      <w:r>
        <w:rPr>
          <w:rFonts w:ascii="Calibri" w:hAnsi="Calibri" w:eastAsia="Microsoft YaHei"/>
          <w:b/>
          <w:color w:val="1F4D78"/>
        </w:rPr>
        <w:t>时空分辨与覆盖：</w:t>
      </w:r>
      <w:r>
        <w:rPr>
          <w:rFonts w:ascii="Calibri" w:hAnsi="Calibri" w:eastAsia="Microsoft YaHei"/>
        </w:rPr>
        <w:t>时间：快速失超触发为毫秒—秒；低温恢复为小时—天；空间：由视线、几何和反演设定；原始来源未给出统一数值。</w:t>
      </w:r>
    </w:p>
    <w:p>
      <w:pPr>
        <w:widowControl/>
      </w:pPr>
      <w:r>
        <w:rPr>
          <w:rFonts w:ascii="Calibri" w:hAnsi="Calibri" w:eastAsia="Microsoft YaHei"/>
          <w:b/>
          <w:color w:val="1F4D78"/>
        </w:rPr>
        <w:t>仪器与传感器：</w:t>
      </w:r>
      <w:r>
        <w:rPr>
          <w:rFonts w:ascii="Calibri" w:hAnsi="Calibri" w:eastAsia="Microsoft YaHei"/>
        </w:rPr>
        <w:t>coil differential voltage；cryogenic temperature；pressure；mass flow；valve state</w:t>
      </w:r>
    </w:p>
    <w:p>
      <w:pPr>
        <w:widowControl/>
      </w:pPr>
      <w:r>
        <w:rPr>
          <w:rFonts w:ascii="Calibri" w:hAnsi="Calibri" w:eastAsia="Microsoft YaHei"/>
          <w:b/>
          <w:color w:val="1F4D78"/>
        </w:rPr>
        <w:t>标定与质量：</w:t>
      </w:r>
      <w:r>
        <w:rPr>
          <w:rFonts w:ascii="Calibri" w:hAnsi="Calibri" w:eastAsia="Microsoft YaHei"/>
        </w:rPr>
        <w:t>以受控加热线圈、桥路逐对触发、分级通流、pyrobreaker 与压力卸放试验校核端到端链路。</w:t>
      </w:r>
    </w:p>
    <w:p>
      <w:pPr>
        <w:widowControl/>
      </w:pPr>
      <w:r>
        <w:rPr>
          <w:rFonts w:ascii="Calibri" w:hAnsi="Calibri" w:eastAsia="Microsoft YaHei"/>
          <w:b/>
          <w:color w:val="1F4D78"/>
        </w:rPr>
        <w:t>反演与分析：</w:t>
      </w:r>
      <w:r>
        <w:rPr>
          <w:rFonts w:ascii="Calibri" w:hAnsi="Calibri" w:eastAsia="Microsoft YaHei"/>
        </w:rPr>
        <w:t>桥式电阻增长判据与低温温压流趋势联合解释，并由冗余状态机触发 QPC。</w:t>
      </w:r>
    </w:p>
    <w:p>
      <w:pPr>
        <w:widowControl/>
      </w:pPr>
      <w:r>
        <w:rPr>
          <w:rFonts w:ascii="Calibri" w:hAnsi="Calibri" w:eastAsia="Microsoft YaHei"/>
          <w:b/>
          <w:color w:val="1F4D78"/>
        </w:rPr>
        <w:t>验证与应用：</w:t>
      </w:r>
      <w:r>
        <w:rPr>
          <w:rFonts w:ascii="Calibri" w:hAnsi="Calibri" w:eastAsia="Microsoft YaHei"/>
        </w:rPr>
        <w:t>真实磁体 commissioning：9 对失超探测器逐对触发、15 kA pyrobreaker 试验、低温压力卸放检查。</w:t>
      </w:r>
    </w:p>
    <w:p>
      <w:pPr>
        <w:widowControl/>
      </w:pPr>
      <w:r>
        <w:rPr>
          <w:rFonts w:ascii="Calibri" w:hAnsi="Calibri" w:eastAsia="Microsoft YaHei"/>
          <w:b/>
          <w:color w:val="1F4D78"/>
        </w:rPr>
        <w:t>局限与边界：</w:t>
      </w:r>
      <w:r>
        <w:rPr>
          <w:rFonts w:ascii="Calibri" w:hAnsi="Calibri" w:eastAsia="Microsoft YaHei"/>
        </w:rPr>
        <w:t>commissioning 的受控触发覆盖有限，不能代替多年运行统计；模型阈值依赖 FLOWER/HEATER/SUPERMAGNET 假设和传感器校准。</w:t>
      </w:r>
    </w:p>
    <w:tbl>
      <w:tblPr>
        <w:tblStyle w:val="TableGrid"/>
        <w:tblW w:type="dxa" w:w="9360"/>
        <w:jc w:val="left"/>
        <w:tblLayout w:type="fixed"/>
        <w:tblLook w:firstColumn="1" w:firstRow="1" w:lastColumn="0" w:lastRow="0" w:noHBand="0" w:noVBand="1" w:val="04A0"/>
        <w:tblInd w:w="120" w:type="dxa"/>
      </w:tblPr>
      <w:tblGrid>
        <w:gridCol w:w="9360"/>
      </w:tblGrid>
      <w:tr>
        <w:trPr>
          <w:cantSplit/>
        </w:trPr>
        <w:tc>
          <w:tcPr>
            <w:tcW w:type="dxa" w:w="9360"/>
            <w:tcMar>
              <w:top w:w="80" w:type="dxa"/>
              <w:bottom w:w="80" w:type="dxa"/>
              <w:start w:w="120" w:type="dxa"/>
              <w:end w:w="120" w:type="dxa"/>
            </w:tcMar>
            <w:vAlign w:val="center"/>
            <w:shd w:fill="EEF7F7"/>
          </w:tcPr>
          <w:p>
            <w:pPr>
              <w:keepNext/>
              <w:keepLines/>
              <w:spacing w:after="40"/>
            </w:pPr>
            <w:r>
              <w:rPr>
                <w:rFonts w:ascii="Calibri" w:hAnsi="Calibri" w:eastAsia="Microsoft YaHei"/>
                <w:b/>
                <w:color w:val="008C95"/>
                <w:sz w:val="17"/>
              </w:rPr>
              <w:t>DIGITAL-TWIN RELEVANCE</w:t>
            </w:r>
          </w:p>
          <w:p>
            <w:pPr>
              <w:spacing w:after="0"/>
            </w:pPr>
            <w:r>
              <w:rPr>
                <w:rFonts w:ascii="Calibri" w:hAnsi="Calibri" w:eastAsia="Microsoft YaHei"/>
                <w:color w:val="0B2545"/>
                <w:sz w:val="20"/>
              </w:rPr>
              <w:t>是快电保护、慢低温动态和维护恢复成本共同进入孪生决策的典型案例。</w:t>
            </w:r>
          </w:p>
        </w:tc>
      </w:tr>
    </w:tbl>
    <w:p>
      <w:pPr>
        <w:spacing w:after="40"/>
      </w:pPr>
    </w:p>
    <w:tbl>
      <w:tblPr>
        <w:tblStyle w:val="TableGrid"/>
        <w:tblW w:type="dxa" w:w="9360"/>
        <w:jc w:val="left"/>
        <w:tblLayout w:type="fixed"/>
        <w:tblLook w:firstColumn="1" w:firstRow="1" w:lastColumn="0" w:lastRow="0" w:noHBand="0" w:noVBand="1" w:val="04A0"/>
        <w:tblInd w:w="120" w:type="dxa"/>
      </w:tblPr>
      <w:tblGrid>
        <w:gridCol w:w="850"/>
        <w:gridCol w:w="2500"/>
        <w:gridCol w:w="1600"/>
        <w:gridCol w:w="2300"/>
        <w:gridCol w:w="2110"/>
      </w:tblGrid>
      <w:tr>
        <w:trPr>
          <w:tblHeader w:val="true"/>
        </w:trPr>
        <w:tc>
          <w:tcPr>
            <w:tcW w:type="dxa" w:w="8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年份/类型</w:t>
            </w:r>
          </w:p>
        </w:tc>
        <w:tc>
          <w:tcPr>
            <w:tcW w:type="dxa" w:w="25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论文或软件</w:t>
            </w:r>
          </w:p>
        </w:tc>
        <w:tc>
          <w:tcPr>
            <w:tcW w:type="dxa" w:w="16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期刊/开放性</w:t>
            </w:r>
          </w:p>
        </w:tc>
        <w:tc>
          <w:tcPr>
            <w:tcW w:type="dxa" w:w="23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来源类型/关系</w:t>
            </w:r>
          </w:p>
        </w:tc>
        <w:tc>
          <w:tcPr>
            <w:tcW w:type="dxa" w:w="211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链接</w:t>
            </w:r>
          </w:p>
        </w:tc>
      </w:tr>
      <w:tr>
        <w:trPr>
          <w:cantSplit/>
        </w:trPr>
        <w:tc>
          <w:tcPr>
            <w:tcW w:type="dxa" w:w="850"/>
          </w:tcPr>
          <w:p>
            <w:pPr>
              <w:keepLines/>
              <w:spacing w:after="0" w:line="276" w:lineRule="auto"/>
            </w:pPr>
            <w:r>
              <w:rPr>
                <w:rFonts w:ascii="Calibri" w:hAnsi="Calibri" w:eastAsia="Microsoft YaHei"/>
                <w:color w:val="0B2545"/>
                <w:sz w:val="14"/>
              </w:rPr>
              <w:t>2019</w:t>
            </w:r>
          </w:p>
        </w:tc>
        <w:tc>
          <w:tcPr>
            <w:tcW w:type="dxa" w:w="2500"/>
          </w:tcPr>
          <w:p>
            <w:pPr>
              <w:keepLines/>
              <w:spacing w:after="0" w:line="276" w:lineRule="auto"/>
            </w:pPr>
            <w:r>
              <w:rPr>
                <w:rFonts w:ascii="Calibri" w:hAnsi="Calibri" w:eastAsia="Microsoft YaHei"/>
                <w:color w:val="0B2545"/>
                <w:sz w:val="14"/>
              </w:rPr>
              <w:t>Monitoring and control of the magnet system of JT-60SA</w:t>
            </w:r>
          </w:p>
        </w:tc>
        <w:tc>
          <w:tcPr>
            <w:tcW w:type="dxa" w:w="1600"/>
          </w:tcPr>
          <w:p>
            <w:pPr>
              <w:keepLines/>
              <w:spacing w:after="0" w:line="276" w:lineRule="auto"/>
            </w:pPr>
            <w:r>
              <w:rPr>
                <w:rFonts w:ascii="Calibri" w:hAnsi="Calibri" w:eastAsia="Microsoft YaHei"/>
                <w:color w:val="0B2545"/>
                <w:sz w:val="14"/>
              </w:rPr>
              <w:t>Fusion Engineering and Design</w:t>
            </w:r>
          </w:p>
        </w:tc>
        <w:tc>
          <w:tcPr>
            <w:tcW w:type="dxa" w:w="2300"/>
          </w:tcPr>
          <w:p>
            <w:pPr>
              <w:keepLines/>
              <w:spacing w:after="0" w:line="276" w:lineRule="auto"/>
            </w:pPr>
            <w:r>
              <w:rPr>
                <w:rFonts w:ascii="Calibri" w:hAnsi="Calibri" w:eastAsia="Microsoft YaHei"/>
                <w:color w:val="0B2545"/>
                <w:sz w:val="14"/>
              </w:rPr>
              <w:t>peer-reviewed design/commissioning paper</w:t>
            </w:r>
          </w:p>
        </w:tc>
        <w:tc>
          <w:tcPr>
            <w:tcW w:type="dxa" w:w="2110"/>
          </w:tcPr>
          <w:p>
            <w:pPr>
              <w:keepLines/>
              <w:spacing w:after="0" w:line="276" w:lineRule="auto"/>
            </w:pPr>
            <w:hyperlink r:id="rId131">
              <w:r>
                <w:rPr>
                  <w:rFonts w:ascii="Calibri" w:hAnsi="Calibri" w:eastAsia="Microsoft YaHei"/>
                  <w:color w:val="008C95"/>
                  <w:u w:val="single"/>
                </w:rPr>
                <w:t>打开原始来源 ↗</w:t>
              </w:r>
            </w:hyperlink>
          </w:p>
        </w:tc>
      </w:tr>
      <w:tr>
        <w:trPr>
          <w:cantSplit/>
        </w:trPr>
        <w:tc>
          <w:tcPr>
            <w:tcW w:type="dxa" w:w="850"/>
          </w:tcPr>
          <w:p>
            <w:pPr>
              <w:keepLines/>
              <w:spacing w:after="0" w:line="276" w:lineRule="auto"/>
            </w:pPr>
            <w:r>
              <w:rPr>
                <w:rFonts w:ascii="Calibri" w:hAnsi="Calibri" w:eastAsia="Microsoft YaHei"/>
                <w:color w:val="0B2545"/>
                <w:sz w:val="14"/>
              </w:rPr>
              <w:t>2023</w:t>
            </w:r>
          </w:p>
        </w:tc>
        <w:tc>
          <w:tcPr>
            <w:tcW w:type="dxa" w:w="2500"/>
          </w:tcPr>
          <w:p>
            <w:pPr>
              <w:keepLines/>
              <w:spacing w:after="0" w:line="276" w:lineRule="auto"/>
            </w:pPr>
            <w:r>
              <w:rPr>
                <w:rFonts w:ascii="Calibri" w:hAnsi="Calibri" w:eastAsia="Microsoft YaHei"/>
                <w:color w:val="0B2545"/>
                <w:sz w:val="14"/>
              </w:rPr>
              <w:t>Toroidal field magnet energized</w:t>
            </w:r>
          </w:p>
        </w:tc>
        <w:tc>
          <w:tcPr>
            <w:tcW w:type="dxa" w:w="1600"/>
          </w:tcPr>
          <w:p>
            <w:pPr>
              <w:keepLines/>
              <w:spacing w:after="0" w:line="276" w:lineRule="auto"/>
            </w:pPr>
            <w:r>
              <w:rPr>
                <w:rFonts w:ascii="Calibri" w:hAnsi="Calibri" w:eastAsia="Microsoft YaHei"/>
                <w:color w:val="0B2545"/>
                <w:sz w:val="14"/>
              </w:rPr>
              <w:t>原始论文 / 官方来源</w:t>
            </w:r>
          </w:p>
        </w:tc>
        <w:tc>
          <w:tcPr>
            <w:tcW w:type="dxa" w:w="2300"/>
          </w:tcPr>
          <w:p>
            <w:pPr>
              <w:keepLines/>
              <w:spacing w:after="0" w:line="276" w:lineRule="auto"/>
            </w:pPr>
            <w:r>
              <w:rPr>
                <w:rFonts w:ascii="Calibri" w:hAnsi="Calibri" w:eastAsia="Microsoft YaHei"/>
                <w:color w:val="0B2545"/>
                <w:sz w:val="14"/>
              </w:rPr>
              <w:t>official commissioning report</w:t>
            </w:r>
          </w:p>
        </w:tc>
        <w:tc>
          <w:tcPr>
            <w:tcW w:type="dxa" w:w="2110"/>
          </w:tcPr>
          <w:p>
            <w:pPr>
              <w:keepLines/>
              <w:spacing w:after="0" w:line="276" w:lineRule="auto"/>
            </w:pPr>
            <w:hyperlink r:id="rId132">
              <w:r>
                <w:rPr>
                  <w:rFonts w:ascii="Calibri" w:hAnsi="Calibri" w:eastAsia="Microsoft YaHei"/>
                  <w:color w:val="008C95"/>
                  <w:u w:val="single"/>
                </w:rPr>
                <w:t>打开原始来源 ↗</w:t>
              </w:r>
            </w:hyperlink>
          </w:p>
        </w:tc>
      </w:tr>
      <w:tr>
        <w:trPr>
          <w:cantSplit/>
        </w:trPr>
        <w:tc>
          <w:tcPr>
            <w:tcW w:type="dxa" w:w="850"/>
          </w:tcPr>
          <w:p>
            <w:pPr>
              <w:keepLines/>
              <w:spacing w:after="0" w:line="276" w:lineRule="auto"/>
            </w:pPr>
            <w:r>
              <w:rPr>
                <w:rFonts w:ascii="Calibri" w:hAnsi="Calibri" w:eastAsia="Microsoft YaHei"/>
                <w:color w:val="0B2545"/>
                <w:sz w:val="14"/>
              </w:rPr>
              <w:t>软件</w:t>
            </w:r>
          </w:p>
        </w:tc>
        <w:tc>
          <w:tcPr>
            <w:tcW w:type="dxa" w:w="2500"/>
          </w:tcPr>
          <w:p>
            <w:pPr>
              <w:keepLines/>
              <w:spacing w:after="0" w:line="276" w:lineRule="auto"/>
            </w:pPr>
            <w:r>
              <w:rPr>
                <w:rFonts w:ascii="Calibri" w:hAnsi="Calibri" w:eastAsia="Microsoft YaHei"/>
                <w:color w:val="0B2545"/>
                <w:sz w:val="14"/>
              </w:rPr>
              <w:t>JT-60SA Magnet Controller/QPC logic</w:t>
            </w:r>
          </w:p>
        </w:tc>
        <w:tc>
          <w:tcPr>
            <w:tcW w:type="dxa" w:w="1600"/>
          </w:tcPr>
          <w:p>
            <w:pPr>
              <w:keepLines/>
              <w:spacing w:after="0" w:line="276" w:lineRule="auto"/>
            </w:pPr>
            <w:r>
              <w:rPr>
                <w:rFonts w:ascii="Calibri" w:hAnsi="Calibri" w:eastAsia="Microsoft YaHei"/>
                <w:color w:val="0B2545"/>
                <w:sz w:val="14"/>
              </w:rPr>
              <w:t>not-public</w:t>
            </w:r>
          </w:p>
        </w:tc>
        <w:tc>
          <w:tcPr>
            <w:tcW w:type="dxa" w:w="2300"/>
          </w:tcPr>
          <w:p>
            <w:pPr>
              <w:keepLines/>
              <w:spacing w:after="0" w:line="276" w:lineRule="auto"/>
            </w:pPr>
            <w:r>
              <w:rPr>
                <w:rFonts w:ascii="Calibri" w:hAnsi="Calibri" w:eastAsia="Microsoft YaHei"/>
                <w:color w:val="0B2545"/>
                <w:sz w:val="14"/>
              </w:rPr>
              <w:t>生产逻辑与阈值未公开。</w:t>
            </w:r>
          </w:p>
        </w:tc>
        <w:tc>
          <w:tcPr>
            <w:tcW w:type="dxa" w:w="2110"/>
          </w:tcPr>
          <w:p>
            <w:pPr>
              <w:keepLines/>
              <w:spacing w:after="0" w:line="276" w:lineRule="auto"/>
            </w:pPr>
            <w:r>
              <w:rPr>
                <w:rFonts w:ascii="Calibri" w:hAnsi="Calibri" w:eastAsia="Microsoft YaHei"/>
                <w:color w:val="0B2545"/>
                <w:sz w:val="14"/>
              </w:rPr>
              <w:t>未公开</w:t>
            </w:r>
          </w:p>
        </w:tc>
      </w:tr>
    </w:tbl>
    <w:p>
      <w:pPr>
        <w:spacing w:before="0" w:after="60"/>
      </w:pPr>
    </w:p>
    <w:p>
      <w:pPr>
        <w:pStyle w:val="Heading3"/>
        <w:keepNext/>
      </w:pPr>
      <w:r>
        <w:t>DG8.04  EAST 超导线圈出口温度技术诊断与安全联锁</w:t>
      </w:r>
    </w:p>
    <w:p>
      <w:pPr>
        <w:keepNext/>
        <w:spacing w:after="80"/>
      </w:pPr>
      <w:r>
        <w:rPr>
          <w:rFonts w:ascii="Calibri" w:hAnsi="Calibri" w:eastAsia="Microsoft YaHei"/>
          <w:i/>
          <w:color w:val="566573"/>
          <w:sz w:val="18"/>
        </w:rPr>
        <w:t>EAST superconducting-coil outlet temperature diagnostics and interlock</w:t>
      </w:r>
    </w:p>
    <w:tbl>
      <w:tblPr>
        <w:tblStyle w:val="TableGrid"/>
        <w:tblW w:type="dxa" w:w="9360"/>
        <w:jc w:val="left"/>
        <w:tblLayout w:type="fixed"/>
        <w:tblLook w:firstColumn="1" w:firstRow="1" w:lastColumn="0" w:lastRow="0" w:noHBand="0" w:noVBand="1" w:val="04A0"/>
        <w:tblInd w:w="120" w:type="dxa"/>
      </w:tblPr>
      <w:tblGrid>
        <w:gridCol w:w="1200"/>
        <w:gridCol w:w="750"/>
        <w:gridCol w:w="750"/>
        <w:gridCol w:w="2100"/>
        <w:gridCol w:w="4560"/>
      </w:tblGrid>
      <w:tr>
        <w:trPr>
          <w:tblHeader w:val="true"/>
        </w:trPr>
        <w:tc>
          <w:tcPr>
            <w:tcW w:type="dxa" w:w="12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工作 ID</w:t>
            </w:r>
          </w:p>
        </w:tc>
        <w:tc>
          <w:tcPr>
            <w:tcW w:type="dxa" w:w="7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证据</w:t>
            </w:r>
          </w:p>
        </w:tc>
        <w:tc>
          <w:tcPr>
            <w:tcW w:type="dxa" w:w="7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部署</w:t>
            </w:r>
          </w:p>
        </w:tc>
        <w:tc>
          <w:tcPr>
            <w:tcW w:type="dxa" w:w="21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技术族</w:t>
            </w:r>
          </w:p>
        </w:tc>
        <w:tc>
          <w:tcPr>
            <w:tcW w:type="dxa" w:w="456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装置</w:t>
            </w:r>
          </w:p>
        </w:tc>
      </w:tr>
      <w:tr>
        <w:trPr>
          <w:cantSplit/>
        </w:trPr>
        <w:tc>
          <w:tcPr>
            <w:tcW w:type="dxa" w:w="1200"/>
          </w:tcPr>
          <w:p>
            <w:pPr>
              <w:keepLines/>
              <w:spacing w:after="0" w:line="276" w:lineRule="auto"/>
            </w:pPr>
            <w:r>
              <w:rPr>
                <w:rFonts w:ascii="Calibri" w:hAnsi="Calibri" w:eastAsia="Microsoft YaHei"/>
                <w:color w:val="0B2545"/>
                <w:sz w:val="15"/>
              </w:rPr>
              <w:t>PDT-003</w:t>
            </w:r>
          </w:p>
        </w:tc>
        <w:tc>
          <w:tcPr>
            <w:tcW w:type="dxa" w:w="750"/>
          </w:tcPr>
          <w:p>
            <w:pPr>
              <w:keepLines/>
              <w:spacing w:after="0" w:line="276" w:lineRule="auto"/>
            </w:pPr>
            <w:r>
              <w:rPr>
                <w:rFonts w:ascii="Calibri" w:hAnsi="Calibri" w:eastAsia="Microsoft YaHei"/>
                <w:color w:val="0B2545"/>
                <w:sz w:val="15"/>
              </w:rPr>
              <w:t>E4</w:t>
            </w:r>
          </w:p>
        </w:tc>
        <w:tc>
          <w:tcPr>
            <w:tcW w:type="dxa" w:w="750"/>
          </w:tcPr>
          <w:p>
            <w:pPr>
              <w:keepLines/>
              <w:spacing w:after="0" w:line="276" w:lineRule="auto"/>
            </w:pPr>
            <w:r>
              <w:rPr>
                <w:rFonts w:ascii="Calibri" w:hAnsi="Calibri" w:eastAsia="Microsoft YaHei"/>
                <w:color w:val="0B2545"/>
                <w:sz w:val="15"/>
              </w:rPr>
              <w:t>D4</w:t>
            </w:r>
          </w:p>
        </w:tc>
        <w:tc>
          <w:tcPr>
            <w:tcW w:type="dxa" w:w="2100"/>
          </w:tcPr>
          <w:p>
            <w:pPr>
              <w:keepLines/>
              <w:spacing w:after="0" w:line="276" w:lineRule="auto"/>
            </w:pPr>
            <w:r>
              <w:rPr>
                <w:rFonts w:ascii="Calibri" w:hAnsi="Calibri" w:eastAsia="Microsoft YaHei"/>
                <w:color w:val="0B2545"/>
                <w:sz w:val="15"/>
              </w:rPr>
              <w:t>ENGINEERING_SENSOR；COMPUTATIONAL</w:t>
            </w:r>
          </w:p>
        </w:tc>
        <w:tc>
          <w:tcPr>
            <w:tcW w:type="dxa" w:w="4560"/>
          </w:tcPr>
          <w:p>
            <w:pPr>
              <w:keepLines/>
              <w:spacing w:after="0" w:line="276" w:lineRule="auto"/>
            </w:pPr>
            <w:r>
              <w:rPr>
                <w:rFonts w:ascii="Calibri" w:hAnsi="Calibri" w:eastAsia="Microsoft YaHei"/>
                <w:color w:val="0B2545"/>
                <w:sz w:val="15"/>
              </w:rPr>
              <w:t>EAST</w:t>
            </w:r>
          </w:p>
        </w:tc>
      </w:tr>
    </w:tbl>
    <w:p>
      <w:pPr>
        <w:spacing w:before="0" w:after="60"/>
      </w:pPr>
    </w:p>
    <w:p>
      <w:pPr>
        <w:widowControl/>
      </w:pPr>
      <w:r>
        <w:rPr>
          <w:rFonts w:ascii="Calibri" w:hAnsi="Calibri" w:eastAsia="Microsoft YaHei"/>
          <w:b/>
          <w:color w:val="1F4D78"/>
        </w:rPr>
        <w:t>解决问题：</w:t>
      </w:r>
      <w:r>
        <w:rPr>
          <w:rFonts w:ascii="Calibri" w:hAnsi="Calibri" w:eastAsia="Microsoft YaHei"/>
        </w:rPr>
        <w:t>超导线圈氦/氮出口温度异常可指示冷却不足或热负荷失常，需要连续采集并在阈值越界时触发保护。</w:t>
      </w:r>
    </w:p>
    <w:p>
      <w:pPr>
        <w:widowControl/>
      </w:pPr>
      <w:r>
        <w:rPr>
          <w:rFonts w:ascii="Calibri" w:hAnsi="Calibri" w:eastAsia="Microsoft YaHei"/>
          <w:b/>
          <w:color w:val="1F4D78"/>
        </w:rPr>
        <w:t>测量原理：</w:t>
      </w:r>
      <w:r>
        <w:rPr>
          <w:rFonts w:ascii="Calibri" w:hAnsi="Calibri" w:eastAsia="Microsoft YaHei"/>
        </w:rPr>
        <w:t>PXI 采集氮温，Lake Shore 224 采集氦温；支持连续和脉冲采集，数据写入 MySQL/MDSplus，并向低温系统发布状态、向安全联锁输出故障。</w:t>
      </w:r>
    </w:p>
    <w:p>
      <w:pPr>
        <w:widowControl/>
      </w:pPr>
      <w:r>
        <w:rPr>
          <w:rFonts w:ascii="Calibri" w:hAnsi="Calibri" w:eastAsia="Microsoft YaHei"/>
          <w:b/>
          <w:color w:val="1F4D78"/>
        </w:rPr>
        <w:t>测量产品：</w:t>
      </w:r>
      <w:r>
        <w:rPr>
          <w:rFonts w:ascii="Calibri" w:hAnsi="Calibri" w:eastAsia="Microsoft YaHei"/>
        </w:rPr>
        <w:t>氦出口温度 [K]；氮出口温度 [K]；通道质量状态；故障/联锁状态</w:t>
      </w:r>
    </w:p>
    <w:p>
      <w:pPr>
        <w:widowControl/>
      </w:pPr>
      <w:r>
        <w:rPr>
          <w:rFonts w:ascii="Calibri" w:hAnsi="Calibri" w:eastAsia="Microsoft YaHei"/>
          <w:b/>
          <w:color w:val="1F4D78"/>
        </w:rPr>
        <w:t>时空分辨与覆盖：</w:t>
      </w:r>
      <w:r>
        <w:rPr>
          <w:rFonts w:ascii="Calibri" w:hAnsi="Calibri" w:eastAsia="Microsoft YaHei"/>
        </w:rPr>
        <w:t>时间：连续慢监控叠加脉冲归档；阈值响应以设备热惯性为准；空间：由视线、几何和反演设定；原始来源未给出统一数值。</w:t>
      </w:r>
    </w:p>
    <w:p>
      <w:pPr>
        <w:widowControl/>
      </w:pPr>
      <w:r>
        <w:rPr>
          <w:rFonts w:ascii="Calibri" w:hAnsi="Calibri" w:eastAsia="Microsoft YaHei"/>
          <w:b/>
          <w:color w:val="1F4D78"/>
        </w:rPr>
        <w:t>仪器与传感器：</w:t>
      </w:r>
      <w:r>
        <w:rPr>
          <w:rFonts w:ascii="Calibri" w:hAnsi="Calibri" w:eastAsia="Microsoft YaHei"/>
        </w:rPr>
        <w:t>cryogenic temperature sensors；PXI DAQ；Lake Shore monitors；status/fault I/O</w:t>
      </w:r>
    </w:p>
    <w:p>
      <w:pPr>
        <w:widowControl/>
      </w:pPr>
      <w:r>
        <w:rPr>
          <w:rFonts w:ascii="Calibri" w:hAnsi="Calibri" w:eastAsia="Microsoft YaHei"/>
          <w:b/>
          <w:color w:val="1F4D78"/>
        </w:rPr>
        <w:t>标定与质量：</w:t>
      </w:r>
      <w:r>
        <w:rPr>
          <w:rFonts w:ascii="Calibri" w:hAnsi="Calibri" w:eastAsia="Microsoft YaHei"/>
        </w:rPr>
        <w:t>温度传感器与采集链按参考温标校准，并通过连续/脉冲采集比对、通道零漂和联锁注入试验确认。</w:t>
      </w:r>
    </w:p>
    <w:p>
      <w:pPr>
        <w:widowControl/>
      </w:pPr>
      <w:r>
        <w:rPr>
          <w:rFonts w:ascii="Calibri" w:hAnsi="Calibri" w:eastAsia="Microsoft YaHei"/>
          <w:b/>
          <w:color w:val="1F4D78"/>
        </w:rPr>
        <w:t>反演与分析：</w:t>
      </w:r>
      <w:r>
        <w:rPr>
          <w:rFonts w:ascii="Calibri" w:hAnsi="Calibri" w:eastAsia="Microsoft YaHei"/>
        </w:rPr>
        <w:t>量程、变化率和阈值规则生成设备健康标志，并将故障发布给低温系统和独立联锁。</w:t>
      </w:r>
    </w:p>
    <w:p>
      <w:pPr>
        <w:widowControl/>
      </w:pPr>
      <w:r>
        <w:rPr>
          <w:rFonts w:ascii="Calibri" w:hAnsi="Calibri" w:eastAsia="Microsoft YaHei"/>
          <w:b/>
          <w:color w:val="1F4D78"/>
        </w:rPr>
        <w:t>验证与应用：</w:t>
      </w:r>
      <w:r>
        <w:rPr>
          <w:rFonts w:ascii="Calibri" w:hAnsi="Calibri" w:eastAsia="Microsoft YaHei"/>
        </w:rPr>
        <w:t>论文报告系统在 2018 EAST 装置实验 campaign 在线使用；早期磁体工程调试亦记录技术诊断/保护。</w:t>
      </w:r>
    </w:p>
    <w:p>
      <w:pPr>
        <w:widowControl/>
      </w:pPr>
      <w:r>
        <w:rPr>
          <w:rFonts w:ascii="Calibri" w:hAnsi="Calibri" w:eastAsia="Microsoft YaHei"/>
          <w:b/>
          <w:color w:val="1F4D78"/>
        </w:rPr>
        <w:t>局限与边界：</w:t>
      </w:r>
      <w:r>
        <w:rPr>
          <w:rFonts w:ascii="Calibri" w:hAnsi="Calibri" w:eastAsia="Microsoft YaHei"/>
        </w:rPr>
        <w:t>出口温度是系统级滞后观测，不能独立定位局部热点；阈值、传感器漂移和通信故障需要独立诊断。</w:t>
      </w:r>
    </w:p>
    <w:tbl>
      <w:tblPr>
        <w:tblStyle w:val="TableGrid"/>
        <w:tblW w:type="dxa" w:w="9360"/>
        <w:jc w:val="left"/>
        <w:tblLayout w:type="fixed"/>
        <w:tblLook w:firstColumn="1" w:firstRow="1" w:lastColumn="0" w:lastRow="0" w:noHBand="0" w:noVBand="1" w:val="04A0"/>
        <w:tblInd w:w="120" w:type="dxa"/>
      </w:tblPr>
      <w:tblGrid>
        <w:gridCol w:w="9360"/>
      </w:tblGrid>
      <w:tr>
        <w:trPr>
          <w:cantSplit/>
        </w:trPr>
        <w:tc>
          <w:tcPr>
            <w:tcW w:type="dxa" w:w="9360"/>
            <w:tcMar>
              <w:top w:w="80" w:type="dxa"/>
              <w:bottom w:w="80" w:type="dxa"/>
              <w:start w:w="120" w:type="dxa"/>
              <w:end w:w="120" w:type="dxa"/>
            </w:tcMar>
            <w:vAlign w:val="center"/>
            <w:shd w:fill="EEF7F7"/>
          </w:tcPr>
          <w:p>
            <w:pPr>
              <w:keepNext/>
              <w:keepLines/>
              <w:spacing w:after="40"/>
            </w:pPr>
            <w:r>
              <w:rPr>
                <w:rFonts w:ascii="Calibri" w:hAnsi="Calibri" w:eastAsia="Microsoft YaHei"/>
                <w:b/>
                <w:color w:val="008C95"/>
                <w:sz w:val="17"/>
              </w:rPr>
              <w:t>DIGITAL-TWIN RELEVANCE</w:t>
            </w:r>
          </w:p>
          <w:p>
            <w:pPr>
              <w:spacing w:after="0"/>
            </w:pPr>
            <w:r>
              <w:rPr>
                <w:rFonts w:ascii="Calibri" w:hAnsi="Calibri" w:eastAsia="Microsoft YaHei"/>
                <w:color w:val="0B2545"/>
                <w:sz w:val="20"/>
              </w:rPr>
              <w:t>适合把热水力模型、传感器健康和联锁事件统一回放，验证异常提前量和误报代价。</w:t>
            </w:r>
          </w:p>
        </w:tc>
      </w:tr>
    </w:tbl>
    <w:p>
      <w:pPr>
        <w:spacing w:after="40"/>
      </w:pPr>
    </w:p>
    <w:tbl>
      <w:tblPr>
        <w:tblStyle w:val="TableGrid"/>
        <w:tblW w:type="dxa" w:w="9360"/>
        <w:jc w:val="left"/>
        <w:tblLayout w:type="fixed"/>
        <w:tblLook w:firstColumn="1" w:firstRow="1" w:lastColumn="0" w:lastRow="0" w:noHBand="0" w:noVBand="1" w:val="04A0"/>
        <w:tblInd w:w="120" w:type="dxa"/>
      </w:tblPr>
      <w:tblGrid>
        <w:gridCol w:w="850"/>
        <w:gridCol w:w="2500"/>
        <w:gridCol w:w="1600"/>
        <w:gridCol w:w="2300"/>
        <w:gridCol w:w="2110"/>
      </w:tblGrid>
      <w:tr>
        <w:trPr>
          <w:tblHeader w:val="true"/>
        </w:trPr>
        <w:tc>
          <w:tcPr>
            <w:tcW w:type="dxa" w:w="8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年份/类型</w:t>
            </w:r>
          </w:p>
        </w:tc>
        <w:tc>
          <w:tcPr>
            <w:tcW w:type="dxa" w:w="25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论文或软件</w:t>
            </w:r>
          </w:p>
        </w:tc>
        <w:tc>
          <w:tcPr>
            <w:tcW w:type="dxa" w:w="16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期刊/开放性</w:t>
            </w:r>
          </w:p>
        </w:tc>
        <w:tc>
          <w:tcPr>
            <w:tcW w:type="dxa" w:w="23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来源类型/关系</w:t>
            </w:r>
          </w:p>
        </w:tc>
        <w:tc>
          <w:tcPr>
            <w:tcW w:type="dxa" w:w="211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链接</w:t>
            </w:r>
          </w:p>
        </w:tc>
      </w:tr>
      <w:tr>
        <w:trPr>
          <w:cantSplit/>
        </w:trPr>
        <w:tc>
          <w:tcPr>
            <w:tcW w:type="dxa" w:w="850"/>
          </w:tcPr>
          <w:p>
            <w:pPr>
              <w:keepLines/>
              <w:spacing w:after="0" w:line="276" w:lineRule="auto"/>
            </w:pPr>
            <w:r>
              <w:rPr>
                <w:rFonts w:ascii="Calibri" w:hAnsi="Calibri" w:eastAsia="Microsoft YaHei"/>
                <w:color w:val="0B2545"/>
                <w:sz w:val="14"/>
              </w:rPr>
              <w:t>2018</w:t>
            </w:r>
          </w:p>
        </w:tc>
        <w:tc>
          <w:tcPr>
            <w:tcW w:type="dxa" w:w="2500"/>
          </w:tcPr>
          <w:p>
            <w:pPr>
              <w:keepLines/>
              <w:spacing w:after="0" w:line="276" w:lineRule="auto"/>
            </w:pPr>
            <w:r>
              <w:rPr>
                <w:rFonts w:ascii="Calibri" w:hAnsi="Calibri" w:eastAsia="Microsoft YaHei"/>
                <w:color w:val="0B2545"/>
                <w:sz w:val="14"/>
              </w:rPr>
              <w:t>The Design of Data Acquisition System for EAST Technical Diagnostic System</w:t>
            </w:r>
          </w:p>
        </w:tc>
        <w:tc>
          <w:tcPr>
            <w:tcW w:type="dxa" w:w="1600"/>
          </w:tcPr>
          <w:p>
            <w:pPr>
              <w:keepLines/>
              <w:spacing w:after="0" w:line="276" w:lineRule="auto"/>
            </w:pPr>
            <w:r>
              <w:rPr>
                <w:rFonts w:ascii="Calibri" w:hAnsi="Calibri" w:eastAsia="Microsoft YaHei"/>
                <w:color w:val="0B2545"/>
                <w:sz w:val="14"/>
              </w:rPr>
              <w:t>原始论文 / 官方来源</w:t>
            </w:r>
          </w:p>
        </w:tc>
        <w:tc>
          <w:tcPr>
            <w:tcW w:type="dxa" w:w="2300"/>
          </w:tcPr>
          <w:p>
            <w:pPr>
              <w:keepLines/>
              <w:spacing w:after="0" w:line="276" w:lineRule="auto"/>
            </w:pPr>
            <w:r>
              <w:rPr>
                <w:rFonts w:ascii="Calibri" w:hAnsi="Calibri" w:eastAsia="Microsoft YaHei"/>
                <w:color w:val="0B2545"/>
                <w:sz w:val="14"/>
              </w:rPr>
              <w:t>facility-team technical paper</w:t>
            </w:r>
          </w:p>
        </w:tc>
        <w:tc>
          <w:tcPr>
            <w:tcW w:type="dxa" w:w="2110"/>
          </w:tcPr>
          <w:p>
            <w:pPr>
              <w:keepLines/>
              <w:spacing w:after="0" w:line="276" w:lineRule="auto"/>
            </w:pPr>
            <w:hyperlink r:id="rId133">
              <w:r>
                <w:rPr>
                  <w:rFonts w:ascii="Calibri" w:hAnsi="Calibri" w:eastAsia="Microsoft YaHei"/>
                  <w:color w:val="008C95"/>
                  <w:u w:val="single"/>
                </w:rPr>
                <w:t>打开原始来源 ↗</w:t>
              </w:r>
            </w:hyperlink>
          </w:p>
        </w:tc>
      </w:tr>
      <w:tr>
        <w:trPr>
          <w:cantSplit/>
        </w:trPr>
        <w:tc>
          <w:tcPr>
            <w:tcW w:type="dxa" w:w="850"/>
          </w:tcPr>
          <w:p>
            <w:pPr>
              <w:keepLines/>
              <w:spacing w:after="0" w:line="276" w:lineRule="auto"/>
            </w:pPr>
            <w:r>
              <w:rPr>
                <w:rFonts w:ascii="Calibri" w:hAnsi="Calibri" w:eastAsia="Microsoft YaHei"/>
                <w:color w:val="0B2545"/>
                <w:sz w:val="14"/>
              </w:rPr>
              <w:t>2010</w:t>
            </w:r>
          </w:p>
        </w:tc>
        <w:tc>
          <w:tcPr>
            <w:tcW w:type="dxa" w:w="2500"/>
          </w:tcPr>
          <w:p>
            <w:pPr>
              <w:keepLines/>
              <w:spacing w:after="0" w:line="276" w:lineRule="auto"/>
            </w:pPr>
            <w:r>
              <w:rPr>
                <w:rFonts w:ascii="Calibri" w:hAnsi="Calibri" w:eastAsia="Microsoft YaHei"/>
                <w:color w:val="0B2545"/>
                <w:sz w:val="14"/>
              </w:rPr>
              <w:t>Technical diagnosis system for EAST tokamak</w:t>
            </w:r>
          </w:p>
        </w:tc>
        <w:tc>
          <w:tcPr>
            <w:tcW w:type="dxa" w:w="1600"/>
          </w:tcPr>
          <w:p>
            <w:pPr>
              <w:keepLines/>
              <w:spacing w:after="0" w:line="276" w:lineRule="auto"/>
            </w:pPr>
            <w:r>
              <w:rPr>
                <w:rFonts w:ascii="Calibri" w:hAnsi="Calibri" w:eastAsia="Microsoft YaHei"/>
                <w:color w:val="0B2545"/>
                <w:sz w:val="14"/>
              </w:rPr>
              <w:t>原始论文 / 官方来源</w:t>
            </w:r>
          </w:p>
        </w:tc>
        <w:tc>
          <w:tcPr>
            <w:tcW w:type="dxa" w:w="2300"/>
          </w:tcPr>
          <w:p>
            <w:pPr>
              <w:keepLines/>
              <w:spacing w:after="0" w:line="276" w:lineRule="auto"/>
            </w:pPr>
            <w:r>
              <w:rPr>
                <w:rFonts w:ascii="Calibri" w:hAnsi="Calibri" w:eastAsia="Microsoft YaHei"/>
                <w:color w:val="0B2545"/>
                <w:sz w:val="14"/>
              </w:rPr>
              <w:t>peer-reviewed system paper</w:t>
            </w:r>
          </w:p>
        </w:tc>
        <w:tc>
          <w:tcPr>
            <w:tcW w:type="dxa" w:w="2110"/>
          </w:tcPr>
          <w:p>
            <w:pPr>
              <w:keepLines/>
              <w:spacing w:after="0" w:line="276" w:lineRule="auto"/>
            </w:pPr>
            <w:hyperlink r:id="rId134">
              <w:r>
                <w:rPr>
                  <w:rFonts w:ascii="Calibri" w:hAnsi="Calibri" w:eastAsia="Microsoft YaHei"/>
                  <w:color w:val="008C95"/>
                  <w:u w:val="single"/>
                </w:rPr>
                <w:t>打开原始来源 ↗</w:t>
              </w:r>
            </w:hyperlink>
          </w:p>
        </w:tc>
      </w:tr>
      <w:tr>
        <w:trPr>
          <w:cantSplit/>
        </w:trPr>
        <w:tc>
          <w:tcPr>
            <w:tcW w:type="dxa" w:w="850"/>
          </w:tcPr>
          <w:p>
            <w:pPr>
              <w:keepLines/>
              <w:spacing w:after="0" w:line="276" w:lineRule="auto"/>
            </w:pPr>
            <w:r>
              <w:rPr>
                <w:rFonts w:ascii="Calibri" w:hAnsi="Calibri" w:eastAsia="Microsoft YaHei"/>
                <w:color w:val="0B2545"/>
                <w:sz w:val="14"/>
              </w:rPr>
              <w:t>软件</w:t>
            </w:r>
          </w:p>
        </w:tc>
        <w:tc>
          <w:tcPr>
            <w:tcW w:type="dxa" w:w="2500"/>
          </w:tcPr>
          <w:p>
            <w:pPr>
              <w:keepLines/>
              <w:spacing w:after="0" w:line="276" w:lineRule="auto"/>
            </w:pPr>
            <w:r>
              <w:rPr>
                <w:rFonts w:ascii="Calibri" w:hAnsi="Calibri" w:eastAsia="Microsoft YaHei"/>
                <w:color w:val="0B2545"/>
                <w:sz w:val="14"/>
              </w:rPr>
              <w:t>EAST TDS DAQ/interlock application</w:t>
            </w:r>
          </w:p>
        </w:tc>
        <w:tc>
          <w:tcPr>
            <w:tcW w:type="dxa" w:w="1600"/>
          </w:tcPr>
          <w:p>
            <w:pPr>
              <w:keepLines/>
              <w:spacing w:after="0" w:line="276" w:lineRule="auto"/>
            </w:pPr>
            <w:r>
              <w:rPr>
                <w:rFonts w:ascii="Calibri" w:hAnsi="Calibri" w:eastAsia="Microsoft YaHei"/>
                <w:color w:val="0B2545"/>
                <w:sz w:val="14"/>
              </w:rPr>
              <w:t>not-public</w:t>
            </w:r>
          </w:p>
        </w:tc>
        <w:tc>
          <w:tcPr>
            <w:tcW w:type="dxa" w:w="2300"/>
          </w:tcPr>
          <w:p>
            <w:pPr>
              <w:keepLines/>
              <w:spacing w:after="0" w:line="276" w:lineRule="auto"/>
            </w:pPr>
            <w:r>
              <w:rPr>
                <w:rFonts w:ascii="Calibri" w:hAnsi="Calibri" w:eastAsia="Microsoft YaHei"/>
                <w:color w:val="0B2545"/>
                <w:sz w:val="14"/>
              </w:rPr>
              <w:t>论文描述架构，生产配置未公开。</w:t>
            </w:r>
          </w:p>
        </w:tc>
        <w:tc>
          <w:tcPr>
            <w:tcW w:type="dxa" w:w="2110"/>
          </w:tcPr>
          <w:p>
            <w:pPr>
              <w:keepLines/>
              <w:spacing w:after="0" w:line="276" w:lineRule="auto"/>
            </w:pPr>
            <w:r>
              <w:rPr>
                <w:rFonts w:ascii="Calibri" w:hAnsi="Calibri" w:eastAsia="Microsoft YaHei"/>
                <w:color w:val="0B2545"/>
                <w:sz w:val="14"/>
              </w:rPr>
              <w:t>未公开</w:t>
            </w:r>
          </w:p>
        </w:tc>
      </w:tr>
    </w:tbl>
    <w:p>
      <w:pPr>
        <w:spacing w:before="0" w:after="60"/>
      </w:pPr>
    </w:p>
    <w:p>
      <w:pPr>
        <w:pStyle w:val="Heading3"/>
        <w:keepNext/>
      </w:pPr>
      <w:r>
        <w:t>DG8.05  WEST 红外壁监视到射频功率退让的实时闭环</w:t>
      </w:r>
    </w:p>
    <w:p>
      <w:pPr>
        <w:keepNext/>
        <w:spacing w:after="80"/>
      </w:pPr>
      <w:r>
        <w:rPr>
          <w:rFonts w:ascii="Calibri" w:hAnsi="Calibri" w:eastAsia="Microsoft YaHei"/>
          <w:i/>
          <w:color w:val="566573"/>
          <w:sz w:val="18"/>
        </w:rPr>
        <w:t>WEST infrared wall monitoring and RF power fallback loop</w:t>
      </w:r>
    </w:p>
    <w:tbl>
      <w:tblPr>
        <w:tblStyle w:val="TableGrid"/>
        <w:tblW w:type="dxa" w:w="9360"/>
        <w:jc w:val="left"/>
        <w:tblLayout w:type="fixed"/>
        <w:tblLook w:firstColumn="1" w:firstRow="1" w:lastColumn="0" w:lastRow="0" w:noHBand="0" w:noVBand="1" w:val="04A0"/>
        <w:tblInd w:w="120" w:type="dxa"/>
      </w:tblPr>
      <w:tblGrid>
        <w:gridCol w:w="1200"/>
        <w:gridCol w:w="750"/>
        <w:gridCol w:w="750"/>
        <w:gridCol w:w="2100"/>
        <w:gridCol w:w="4560"/>
      </w:tblGrid>
      <w:tr>
        <w:trPr>
          <w:tblHeader w:val="true"/>
        </w:trPr>
        <w:tc>
          <w:tcPr>
            <w:tcW w:type="dxa" w:w="12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工作 ID</w:t>
            </w:r>
          </w:p>
        </w:tc>
        <w:tc>
          <w:tcPr>
            <w:tcW w:type="dxa" w:w="7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证据</w:t>
            </w:r>
          </w:p>
        </w:tc>
        <w:tc>
          <w:tcPr>
            <w:tcW w:type="dxa" w:w="7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部署</w:t>
            </w:r>
          </w:p>
        </w:tc>
        <w:tc>
          <w:tcPr>
            <w:tcW w:type="dxa" w:w="21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技术族</w:t>
            </w:r>
          </w:p>
        </w:tc>
        <w:tc>
          <w:tcPr>
            <w:tcW w:type="dxa" w:w="456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装置</w:t>
            </w:r>
          </w:p>
        </w:tc>
      </w:tr>
      <w:tr>
        <w:trPr>
          <w:cantSplit/>
        </w:trPr>
        <w:tc>
          <w:tcPr>
            <w:tcW w:type="dxa" w:w="1200"/>
          </w:tcPr>
          <w:p>
            <w:pPr>
              <w:keepLines/>
              <w:spacing w:after="0" w:line="276" w:lineRule="auto"/>
            </w:pPr>
            <w:r>
              <w:rPr>
                <w:rFonts w:ascii="Calibri" w:hAnsi="Calibri" w:eastAsia="Microsoft YaHei"/>
                <w:color w:val="0B2545"/>
                <w:sz w:val="15"/>
              </w:rPr>
              <w:t>PDT-004</w:t>
            </w:r>
          </w:p>
        </w:tc>
        <w:tc>
          <w:tcPr>
            <w:tcW w:type="dxa" w:w="750"/>
          </w:tcPr>
          <w:p>
            <w:pPr>
              <w:keepLines/>
              <w:spacing w:after="0" w:line="276" w:lineRule="auto"/>
            </w:pPr>
            <w:r>
              <w:rPr>
                <w:rFonts w:ascii="Calibri" w:hAnsi="Calibri" w:eastAsia="Microsoft YaHei"/>
                <w:color w:val="0B2545"/>
                <w:sz w:val="15"/>
              </w:rPr>
              <w:t>E4</w:t>
            </w:r>
          </w:p>
        </w:tc>
        <w:tc>
          <w:tcPr>
            <w:tcW w:type="dxa" w:w="750"/>
          </w:tcPr>
          <w:p>
            <w:pPr>
              <w:keepLines/>
              <w:spacing w:after="0" w:line="276" w:lineRule="auto"/>
            </w:pPr>
            <w:r>
              <w:rPr>
                <w:rFonts w:ascii="Calibri" w:hAnsi="Calibri" w:eastAsia="Microsoft YaHei"/>
                <w:color w:val="0B2545"/>
                <w:sz w:val="15"/>
              </w:rPr>
              <w:t>D4</w:t>
            </w:r>
          </w:p>
        </w:tc>
        <w:tc>
          <w:tcPr>
            <w:tcW w:type="dxa" w:w="2100"/>
          </w:tcPr>
          <w:p>
            <w:pPr>
              <w:keepLines/>
              <w:spacing w:after="0" w:line="276" w:lineRule="auto"/>
            </w:pPr>
            <w:r>
              <w:rPr>
                <w:rFonts w:ascii="Calibri" w:hAnsi="Calibri" w:eastAsia="Microsoft YaHei"/>
                <w:color w:val="0B2545"/>
                <w:sz w:val="15"/>
              </w:rPr>
              <w:t>OPTICAL；COMPUTATIONAL</w:t>
            </w:r>
          </w:p>
        </w:tc>
        <w:tc>
          <w:tcPr>
            <w:tcW w:type="dxa" w:w="4560"/>
          </w:tcPr>
          <w:p>
            <w:pPr>
              <w:keepLines/>
              <w:spacing w:after="0" w:line="276" w:lineRule="auto"/>
            </w:pPr>
            <w:r>
              <w:rPr>
                <w:rFonts w:ascii="Calibri" w:hAnsi="Calibri" w:eastAsia="Microsoft YaHei"/>
                <w:color w:val="0B2545"/>
                <w:sz w:val="15"/>
              </w:rPr>
              <w:t>WEST</w:t>
            </w:r>
          </w:p>
        </w:tc>
      </w:tr>
    </w:tbl>
    <w:p>
      <w:pPr>
        <w:spacing w:before="0" w:after="60"/>
      </w:pPr>
    </w:p>
    <w:p>
      <w:pPr>
        <w:widowControl/>
      </w:pPr>
      <w:r>
        <w:rPr>
          <w:rFonts w:ascii="Calibri" w:hAnsi="Calibri" w:eastAsia="Microsoft YaHei"/>
          <w:b/>
          <w:color w:val="1F4D78"/>
        </w:rPr>
        <w:t>解决问题：</w:t>
      </w:r>
      <w:r>
        <w:rPr>
          <w:rFonts w:ascii="Calibri" w:hAnsi="Calibri" w:eastAsia="Microsoft YaHei"/>
        </w:rPr>
        <w:t>长脉冲钨环境中局部热点、弧光或对准偏差可快速损坏 PFC，需要从多相机影像识别超温并协调多个 RF 执行器。</w:t>
      </w:r>
    </w:p>
    <w:p>
      <w:pPr>
        <w:widowControl/>
      </w:pPr>
      <w:r>
        <w:rPr>
          <w:rFonts w:ascii="Calibri" w:hAnsi="Calibri" w:eastAsia="Microsoft YaHei"/>
          <w:b/>
          <w:color w:val="1F4D78"/>
        </w:rPr>
        <w:t>测量原理：</w:t>
      </w:r>
      <w:r>
        <w:rPr>
          <w:rFonts w:ascii="Calibri" w:hAnsi="Calibri" w:eastAsia="Microsoft YaHei"/>
        </w:rPr>
        <w:t>实时 IR 采集、ROI/几何映射、温度阈值与事件分类将告警送入 Wall Monitoring System，再由 PCS 执行功率退让/停止；离线用合成 IR 和热模型解释反射/发射率。</w:t>
      </w:r>
    </w:p>
    <w:p>
      <w:pPr>
        <w:widowControl/>
      </w:pPr>
      <w:r>
        <w:rPr>
          <w:rFonts w:ascii="Calibri" w:hAnsi="Calibri" w:eastAsia="Microsoft YaHei"/>
          <w:b/>
          <w:color w:val="1F4D78"/>
        </w:rPr>
        <w:t>测量产品：</w:t>
      </w:r>
      <w:r>
        <w:rPr>
          <w:rFonts w:ascii="Calibri" w:hAnsi="Calibri" w:eastAsia="Microsoft YaHei"/>
        </w:rPr>
        <w:t>PFC 表面温度 [K]；热点位置 [pixel/mm]；ROI 最大温度 [K]；功率退让请求与时刻</w:t>
      </w:r>
    </w:p>
    <w:p>
      <w:pPr>
        <w:widowControl/>
      </w:pPr>
      <w:r>
        <w:rPr>
          <w:rFonts w:ascii="Calibri" w:hAnsi="Calibri" w:eastAsia="Microsoft YaHei"/>
          <w:b/>
          <w:color w:val="1F4D78"/>
        </w:rPr>
        <w:t>时空分辨与覆盖：</w:t>
      </w:r>
      <w:r>
        <w:rPr>
          <w:rFonts w:ascii="Calibri" w:hAnsi="Calibri" w:eastAsia="Microsoft YaHei"/>
        </w:rPr>
        <w:t>时间：视频帧至 10–100 ms 决策；PFC 热扩散为更慢尺度；空间：由视线、几何和反演设定；原始来源未给出统一数值。</w:t>
      </w:r>
    </w:p>
    <w:p>
      <w:pPr>
        <w:widowControl/>
      </w:pPr>
      <w:r>
        <w:rPr>
          <w:rFonts w:ascii="Calibri" w:hAnsi="Calibri" w:eastAsia="Microsoft YaHei"/>
          <w:b/>
          <w:color w:val="1F4D78"/>
        </w:rPr>
        <w:t>仪器与传感器：</w:t>
      </w:r>
      <w:r>
        <w:rPr>
          <w:rFonts w:ascii="Calibri" w:hAnsi="Calibri" w:eastAsia="Microsoft YaHei"/>
        </w:rPr>
        <w:t>wide-angle IR cameras；high-resolution endoscope；camera health/status；RF actuator state</w:t>
      </w:r>
    </w:p>
    <w:p>
      <w:pPr>
        <w:widowControl/>
      </w:pPr>
      <w:r>
        <w:rPr>
          <w:rFonts w:ascii="Calibri" w:hAnsi="Calibri" w:eastAsia="Microsoft YaHei"/>
          <w:b/>
          <w:color w:val="1F4D78"/>
        </w:rPr>
        <w:t>标定与质量：</w:t>
      </w:r>
      <w:r>
        <w:rPr>
          <w:rFonts w:ascii="Calibri" w:hAnsi="Calibri" w:eastAsia="Microsoft YaHei"/>
        </w:rPr>
        <w:t>使用黑体/参考温源、相机非均匀性修正、视线几何配准和材料发射率假设；每次光学或壁状态变化后复核。</w:t>
      </w:r>
    </w:p>
    <w:p>
      <w:pPr>
        <w:widowControl/>
      </w:pPr>
      <w:r>
        <w:rPr>
          <w:rFonts w:ascii="Calibri" w:hAnsi="Calibri" w:eastAsia="Microsoft YaHei"/>
          <w:b/>
          <w:color w:val="1F4D78"/>
        </w:rPr>
        <w:t>反演与分析：</w:t>
      </w:r>
      <w:r>
        <w:rPr>
          <w:rFonts w:ascii="Calibri" w:hAnsi="Calibri" w:eastAsia="Microsoft YaHei"/>
        </w:rPr>
        <w:t>实时 ROI、热点连通域和持续时间判据生成经质量门控的功率退让请求。</w:t>
      </w:r>
    </w:p>
    <w:p>
      <w:pPr>
        <w:widowControl/>
      </w:pPr>
      <w:r>
        <w:rPr>
          <w:rFonts w:ascii="Calibri" w:hAnsi="Calibri" w:eastAsia="Microsoft YaHei"/>
          <w:b/>
          <w:color w:val="1F4D78"/>
        </w:rPr>
        <w:t>验证与应用：</w:t>
      </w:r>
      <w:r>
        <w:rPr>
          <w:rFonts w:ascii="Calibri" w:hAnsi="Calibri" w:eastAsia="Microsoft YaHei"/>
        </w:rPr>
        <w:t>WEST C4 campaign 真机实时运行与反馈；论文报告触发统计但不代表全机安全可用率。</w:t>
      </w:r>
    </w:p>
    <w:p>
      <w:pPr>
        <w:widowControl/>
      </w:pPr>
      <w:r>
        <w:rPr>
          <w:rFonts w:ascii="Calibri" w:hAnsi="Calibri" w:eastAsia="Microsoft YaHei"/>
          <w:b/>
          <w:color w:val="1F4D78"/>
        </w:rPr>
        <w:t>局限与边界：</w:t>
      </w:r>
      <w:r>
        <w:rPr>
          <w:rFonts w:ascii="Calibri" w:hAnsi="Calibri" w:eastAsia="Microsoft YaHei"/>
        </w:rPr>
        <w:t>金属反射、发射率变化、沉积、遮挡和坏像素会造成假热点/漏检；阈值闭环不等于可证明安全。</w:t>
      </w:r>
    </w:p>
    <w:tbl>
      <w:tblPr>
        <w:tblStyle w:val="TableGrid"/>
        <w:tblW w:type="dxa" w:w="9360"/>
        <w:jc w:val="left"/>
        <w:tblLayout w:type="fixed"/>
        <w:tblLook w:firstColumn="1" w:firstRow="1" w:lastColumn="0" w:lastRow="0" w:noHBand="0" w:noVBand="1" w:val="04A0"/>
        <w:tblInd w:w="120" w:type="dxa"/>
      </w:tblPr>
      <w:tblGrid>
        <w:gridCol w:w="9360"/>
      </w:tblGrid>
      <w:tr>
        <w:trPr>
          <w:cantSplit/>
        </w:trPr>
        <w:tc>
          <w:tcPr>
            <w:tcW w:type="dxa" w:w="9360"/>
            <w:tcMar>
              <w:top w:w="80" w:type="dxa"/>
              <w:bottom w:w="80" w:type="dxa"/>
              <w:start w:w="120" w:type="dxa"/>
              <w:end w:w="120" w:type="dxa"/>
            </w:tcMar>
            <w:vAlign w:val="center"/>
            <w:shd w:fill="EEF7F7"/>
          </w:tcPr>
          <w:p>
            <w:pPr>
              <w:keepNext/>
              <w:keepLines/>
              <w:spacing w:after="40"/>
            </w:pPr>
            <w:r>
              <w:rPr>
                <w:rFonts w:ascii="Calibri" w:hAnsi="Calibri" w:eastAsia="Microsoft YaHei"/>
                <w:b/>
                <w:color w:val="008C95"/>
                <w:sz w:val="17"/>
              </w:rPr>
              <w:t>DIGITAL-TWIN RELEVANCE</w:t>
            </w:r>
          </w:p>
          <w:p>
            <w:pPr>
              <w:spacing w:after="0"/>
            </w:pPr>
            <w:r>
              <w:rPr>
                <w:rFonts w:ascii="Calibri" w:hAnsi="Calibri" w:eastAsia="Microsoft YaHei"/>
                <w:color w:val="0B2545"/>
                <w:sz w:val="20"/>
              </w:rPr>
              <w:t>要求几何光学、热模型、相机标定和执行器日志共用同一配置版本，是工程—物理孪生关键接口。</w:t>
            </w:r>
          </w:p>
        </w:tc>
      </w:tr>
    </w:tbl>
    <w:p>
      <w:pPr>
        <w:spacing w:after="40"/>
      </w:pPr>
    </w:p>
    <w:tbl>
      <w:tblPr>
        <w:tblStyle w:val="TableGrid"/>
        <w:tblW w:type="dxa" w:w="9360"/>
        <w:jc w:val="left"/>
        <w:tblLayout w:type="fixed"/>
        <w:tblLook w:firstColumn="1" w:firstRow="1" w:lastColumn="0" w:lastRow="0" w:noHBand="0" w:noVBand="1" w:val="04A0"/>
        <w:tblInd w:w="120" w:type="dxa"/>
      </w:tblPr>
      <w:tblGrid>
        <w:gridCol w:w="850"/>
        <w:gridCol w:w="2500"/>
        <w:gridCol w:w="1600"/>
        <w:gridCol w:w="2300"/>
        <w:gridCol w:w="2110"/>
      </w:tblGrid>
      <w:tr>
        <w:trPr>
          <w:tblHeader w:val="true"/>
        </w:trPr>
        <w:tc>
          <w:tcPr>
            <w:tcW w:type="dxa" w:w="8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年份/类型</w:t>
            </w:r>
          </w:p>
        </w:tc>
        <w:tc>
          <w:tcPr>
            <w:tcW w:type="dxa" w:w="25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论文或软件</w:t>
            </w:r>
          </w:p>
        </w:tc>
        <w:tc>
          <w:tcPr>
            <w:tcW w:type="dxa" w:w="16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期刊/开放性</w:t>
            </w:r>
          </w:p>
        </w:tc>
        <w:tc>
          <w:tcPr>
            <w:tcW w:type="dxa" w:w="23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来源类型/关系</w:t>
            </w:r>
          </w:p>
        </w:tc>
        <w:tc>
          <w:tcPr>
            <w:tcW w:type="dxa" w:w="211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链接</w:t>
            </w:r>
          </w:p>
        </w:tc>
      </w:tr>
      <w:tr>
        <w:trPr>
          <w:cantSplit/>
        </w:trPr>
        <w:tc>
          <w:tcPr>
            <w:tcW w:type="dxa" w:w="850"/>
          </w:tcPr>
          <w:p>
            <w:pPr>
              <w:keepLines/>
              <w:spacing w:after="0" w:line="276" w:lineRule="auto"/>
            </w:pPr>
            <w:r>
              <w:rPr>
                <w:rFonts w:ascii="Calibri" w:hAnsi="Calibri" w:eastAsia="Microsoft YaHei"/>
                <w:color w:val="0B2545"/>
                <w:sz w:val="14"/>
              </w:rPr>
              <w:t>2021</w:t>
            </w:r>
          </w:p>
        </w:tc>
        <w:tc>
          <w:tcPr>
            <w:tcW w:type="dxa" w:w="2500"/>
          </w:tcPr>
          <w:p>
            <w:pPr>
              <w:keepLines/>
              <w:spacing w:after="0" w:line="276" w:lineRule="auto"/>
            </w:pPr>
            <w:r>
              <w:rPr>
                <w:rFonts w:ascii="Calibri" w:hAnsi="Calibri" w:eastAsia="Microsoft YaHei"/>
                <w:color w:val="0B2545"/>
                <w:sz w:val="14"/>
              </w:rPr>
              <w:t>WEST operation with real time feed back control based on wall component temperature toward machine protection in a steady state tungsten environment</w:t>
            </w:r>
          </w:p>
        </w:tc>
        <w:tc>
          <w:tcPr>
            <w:tcW w:type="dxa" w:w="1600"/>
          </w:tcPr>
          <w:p>
            <w:pPr>
              <w:keepLines/>
              <w:spacing w:after="0" w:line="276" w:lineRule="auto"/>
            </w:pPr>
            <w:r>
              <w:rPr>
                <w:rFonts w:ascii="Calibri" w:hAnsi="Calibri" w:eastAsia="Microsoft YaHei"/>
                <w:color w:val="0B2545"/>
                <w:sz w:val="14"/>
              </w:rPr>
              <w:t>原始论文 / 官方来源</w:t>
            </w:r>
          </w:p>
        </w:tc>
        <w:tc>
          <w:tcPr>
            <w:tcW w:type="dxa" w:w="2300"/>
          </w:tcPr>
          <w:p>
            <w:pPr>
              <w:keepLines/>
              <w:spacing w:after="0" w:line="276" w:lineRule="auto"/>
            </w:pPr>
            <w:r>
              <w:rPr>
                <w:rFonts w:ascii="Calibri" w:hAnsi="Calibri" w:eastAsia="Microsoft YaHei"/>
                <w:color w:val="0B2545"/>
                <w:sz w:val="14"/>
              </w:rPr>
              <w:t>primary device-operation paper</w:t>
            </w:r>
          </w:p>
        </w:tc>
        <w:tc>
          <w:tcPr>
            <w:tcW w:type="dxa" w:w="2110"/>
          </w:tcPr>
          <w:p>
            <w:pPr>
              <w:keepLines/>
              <w:spacing w:after="0" w:line="276" w:lineRule="auto"/>
            </w:pPr>
            <w:hyperlink r:id="rId135">
              <w:r>
                <w:rPr>
                  <w:rFonts w:ascii="Calibri" w:hAnsi="Calibri" w:eastAsia="Microsoft YaHei"/>
                  <w:color w:val="008C95"/>
                  <w:u w:val="single"/>
                </w:rPr>
                <w:t>打开原始来源 ↗</w:t>
              </w:r>
            </w:hyperlink>
          </w:p>
        </w:tc>
      </w:tr>
      <w:tr>
        <w:trPr>
          <w:cantSplit/>
        </w:trPr>
        <w:tc>
          <w:tcPr>
            <w:tcW w:type="dxa" w:w="850"/>
          </w:tcPr>
          <w:p>
            <w:pPr>
              <w:keepLines/>
              <w:spacing w:after="0" w:line="276" w:lineRule="auto"/>
            </w:pPr>
            <w:r>
              <w:rPr>
                <w:rFonts w:ascii="Calibri" w:hAnsi="Calibri" w:eastAsia="Microsoft YaHei"/>
                <w:color w:val="0B2545"/>
                <w:sz w:val="14"/>
              </w:rPr>
              <w:t>软件</w:t>
            </w:r>
          </w:p>
        </w:tc>
        <w:tc>
          <w:tcPr>
            <w:tcW w:type="dxa" w:w="2500"/>
          </w:tcPr>
          <w:p>
            <w:pPr>
              <w:keepLines/>
              <w:spacing w:after="0" w:line="276" w:lineRule="auto"/>
            </w:pPr>
            <w:r>
              <w:rPr>
                <w:rFonts w:ascii="Calibri" w:hAnsi="Calibri" w:eastAsia="Microsoft YaHei"/>
                <w:color w:val="0B2545"/>
                <w:sz w:val="14"/>
              </w:rPr>
              <w:t>WEST WMS</w:t>
            </w:r>
          </w:p>
        </w:tc>
        <w:tc>
          <w:tcPr>
            <w:tcW w:type="dxa" w:w="1600"/>
          </w:tcPr>
          <w:p>
            <w:pPr>
              <w:keepLines/>
              <w:spacing w:after="0" w:line="276" w:lineRule="auto"/>
            </w:pPr>
            <w:r>
              <w:rPr>
                <w:rFonts w:ascii="Calibri" w:hAnsi="Calibri" w:eastAsia="Microsoft YaHei"/>
                <w:color w:val="0B2545"/>
                <w:sz w:val="14"/>
              </w:rPr>
              <w:t>not-public</w:t>
            </w:r>
          </w:p>
        </w:tc>
        <w:tc>
          <w:tcPr>
            <w:tcW w:type="dxa" w:w="2300"/>
          </w:tcPr>
          <w:p>
            <w:pPr>
              <w:keepLines/>
              <w:spacing w:after="0" w:line="276" w:lineRule="auto"/>
            </w:pPr>
            <w:r>
              <w:rPr>
                <w:rFonts w:ascii="Calibri" w:hAnsi="Calibri" w:eastAsia="Microsoft YaHei"/>
                <w:color w:val="0B2545"/>
                <w:sz w:val="14"/>
              </w:rPr>
              <w:t>生产图像处理、ROI 和 PCS 配置未公开。</w:t>
            </w:r>
          </w:p>
        </w:tc>
        <w:tc>
          <w:tcPr>
            <w:tcW w:type="dxa" w:w="2110"/>
          </w:tcPr>
          <w:p>
            <w:pPr>
              <w:keepLines/>
              <w:spacing w:after="0" w:line="276" w:lineRule="auto"/>
            </w:pPr>
            <w:r>
              <w:rPr>
                <w:rFonts w:ascii="Calibri" w:hAnsi="Calibri" w:eastAsia="Microsoft YaHei"/>
                <w:color w:val="0B2545"/>
                <w:sz w:val="14"/>
              </w:rPr>
              <w:t>未公开</w:t>
            </w:r>
          </w:p>
        </w:tc>
      </w:tr>
    </w:tbl>
    <w:p>
      <w:pPr>
        <w:spacing w:before="0" w:after="60"/>
      </w:pPr>
    </w:p>
    <w:p>
      <w:pPr>
        <w:pStyle w:val="Heading3"/>
        <w:keepNext/>
      </w:pPr>
      <w:r>
        <w:t>DG8.06  WEST 下偏滤器 FBG 多点温度长期监测</w:t>
      </w:r>
    </w:p>
    <w:p>
      <w:pPr>
        <w:keepNext/>
        <w:spacing w:after="80"/>
      </w:pPr>
      <w:r>
        <w:rPr>
          <w:rFonts w:ascii="Calibri" w:hAnsi="Calibri" w:eastAsia="Microsoft YaHei"/>
          <w:i/>
          <w:color w:val="566573"/>
          <w:sz w:val="18"/>
        </w:rPr>
        <w:t>Long-term multiplexed FBG temperature monitoring in the WEST lower divertor</w:t>
      </w:r>
    </w:p>
    <w:tbl>
      <w:tblPr>
        <w:tblStyle w:val="TableGrid"/>
        <w:tblW w:type="dxa" w:w="9360"/>
        <w:jc w:val="left"/>
        <w:tblLayout w:type="fixed"/>
        <w:tblLook w:firstColumn="1" w:firstRow="1" w:lastColumn="0" w:lastRow="0" w:noHBand="0" w:noVBand="1" w:val="04A0"/>
        <w:tblInd w:w="120" w:type="dxa"/>
      </w:tblPr>
      <w:tblGrid>
        <w:gridCol w:w="1200"/>
        <w:gridCol w:w="750"/>
        <w:gridCol w:w="750"/>
        <w:gridCol w:w="2100"/>
        <w:gridCol w:w="4560"/>
      </w:tblGrid>
      <w:tr>
        <w:trPr>
          <w:tblHeader w:val="true"/>
        </w:trPr>
        <w:tc>
          <w:tcPr>
            <w:tcW w:type="dxa" w:w="12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工作 ID</w:t>
            </w:r>
          </w:p>
        </w:tc>
        <w:tc>
          <w:tcPr>
            <w:tcW w:type="dxa" w:w="7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证据</w:t>
            </w:r>
          </w:p>
        </w:tc>
        <w:tc>
          <w:tcPr>
            <w:tcW w:type="dxa" w:w="7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部署</w:t>
            </w:r>
          </w:p>
        </w:tc>
        <w:tc>
          <w:tcPr>
            <w:tcW w:type="dxa" w:w="21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技术族</w:t>
            </w:r>
          </w:p>
        </w:tc>
        <w:tc>
          <w:tcPr>
            <w:tcW w:type="dxa" w:w="456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装置</w:t>
            </w:r>
          </w:p>
        </w:tc>
      </w:tr>
      <w:tr>
        <w:trPr>
          <w:cantSplit/>
        </w:trPr>
        <w:tc>
          <w:tcPr>
            <w:tcW w:type="dxa" w:w="1200"/>
          </w:tcPr>
          <w:p>
            <w:pPr>
              <w:keepLines/>
              <w:spacing w:after="0" w:line="276" w:lineRule="auto"/>
            </w:pPr>
            <w:r>
              <w:rPr>
                <w:rFonts w:ascii="Calibri" w:hAnsi="Calibri" w:eastAsia="Microsoft YaHei"/>
                <w:color w:val="0B2545"/>
                <w:sz w:val="15"/>
              </w:rPr>
              <w:t>PDT-005</w:t>
            </w:r>
          </w:p>
        </w:tc>
        <w:tc>
          <w:tcPr>
            <w:tcW w:type="dxa" w:w="750"/>
          </w:tcPr>
          <w:p>
            <w:pPr>
              <w:keepLines/>
              <w:spacing w:after="0" w:line="276" w:lineRule="auto"/>
            </w:pPr>
            <w:r>
              <w:rPr>
                <w:rFonts w:ascii="Calibri" w:hAnsi="Calibri" w:eastAsia="Microsoft YaHei"/>
                <w:color w:val="0B2545"/>
                <w:sz w:val="15"/>
              </w:rPr>
              <w:t>E4</w:t>
            </w:r>
          </w:p>
        </w:tc>
        <w:tc>
          <w:tcPr>
            <w:tcW w:type="dxa" w:w="750"/>
          </w:tcPr>
          <w:p>
            <w:pPr>
              <w:keepLines/>
              <w:spacing w:after="0" w:line="276" w:lineRule="auto"/>
            </w:pPr>
            <w:r>
              <w:rPr>
                <w:rFonts w:ascii="Calibri" w:hAnsi="Calibri" w:eastAsia="Microsoft YaHei"/>
                <w:color w:val="0B2545"/>
                <w:sz w:val="15"/>
              </w:rPr>
              <w:t>D4</w:t>
            </w:r>
          </w:p>
        </w:tc>
        <w:tc>
          <w:tcPr>
            <w:tcW w:type="dxa" w:w="2100"/>
          </w:tcPr>
          <w:p>
            <w:pPr>
              <w:keepLines/>
              <w:spacing w:after="0" w:line="276" w:lineRule="auto"/>
            </w:pPr>
            <w:r>
              <w:rPr>
                <w:rFonts w:ascii="Calibri" w:hAnsi="Calibri" w:eastAsia="Microsoft YaHei"/>
                <w:color w:val="0B2545"/>
                <w:sz w:val="15"/>
              </w:rPr>
              <w:t>ENGINEERING_SENSOR</w:t>
            </w:r>
          </w:p>
        </w:tc>
        <w:tc>
          <w:tcPr>
            <w:tcW w:type="dxa" w:w="4560"/>
          </w:tcPr>
          <w:p>
            <w:pPr>
              <w:keepLines/>
              <w:spacing w:after="0" w:line="276" w:lineRule="auto"/>
            </w:pPr>
            <w:r>
              <w:rPr>
                <w:rFonts w:ascii="Calibri" w:hAnsi="Calibri" w:eastAsia="Microsoft YaHei"/>
                <w:color w:val="0B2545"/>
                <w:sz w:val="15"/>
              </w:rPr>
              <w:t>WEST</w:t>
            </w:r>
          </w:p>
        </w:tc>
      </w:tr>
    </w:tbl>
    <w:p>
      <w:pPr>
        <w:spacing w:before="0" w:after="60"/>
      </w:pPr>
    </w:p>
    <w:p>
      <w:pPr>
        <w:widowControl/>
      </w:pPr>
      <w:r>
        <w:rPr>
          <w:rFonts w:ascii="Calibri" w:hAnsi="Calibri" w:eastAsia="Microsoft YaHei"/>
          <w:b/>
          <w:color w:val="1F4D78"/>
        </w:rPr>
        <w:t>解决问题：</w:t>
      </w:r>
      <w:r>
        <w:rPr>
          <w:rFonts w:ascii="Calibri" w:hAnsi="Calibri" w:eastAsia="Microsoft YaHei"/>
        </w:rPr>
        <w:t>强磁、真空和高温环境下大量热电偶布线复杂，且需要长期多点温度数据库评估 PFC 热历史。</w:t>
      </w:r>
    </w:p>
    <w:p>
      <w:pPr>
        <w:widowControl/>
      </w:pPr>
      <w:r>
        <w:rPr>
          <w:rFonts w:ascii="Calibri" w:hAnsi="Calibri" w:eastAsia="Microsoft YaHei"/>
          <w:b/>
          <w:color w:val="1F4D78"/>
        </w:rPr>
        <w:t>测量原理：</w:t>
      </w:r>
      <w:r>
        <w:rPr>
          <w:rFonts w:ascii="Calibri" w:hAnsi="Calibri" w:eastAsia="Microsoft YaHei"/>
        </w:rPr>
        <w:t>在钨涂层石墨部件嵌入再生 FBG，每根光纤复用 11 个测点，并与热电偶和热模型交叉验证。</w:t>
      </w:r>
    </w:p>
    <w:p>
      <w:pPr>
        <w:widowControl/>
      </w:pPr>
      <w:r>
        <w:rPr>
          <w:rFonts w:ascii="Calibri" w:hAnsi="Calibri" w:eastAsia="Microsoft YaHei"/>
          <w:b/>
          <w:color w:val="1F4D78"/>
        </w:rPr>
        <w:t>测量产品：</w:t>
      </w:r>
      <w:r>
        <w:rPr>
          <w:rFonts w:ascii="Calibri" w:hAnsi="Calibri" w:eastAsia="Microsoft YaHei"/>
        </w:rPr>
        <w:t>Bragg 波长漂移 [pm]；PFC 温度 [K]；通道漂移与有效性；脉冲累计热历史</w:t>
      </w:r>
    </w:p>
    <w:p>
      <w:pPr>
        <w:widowControl/>
      </w:pPr>
      <w:r>
        <w:rPr>
          <w:rFonts w:ascii="Calibri" w:hAnsi="Calibri" w:eastAsia="Microsoft YaHei"/>
          <w:b/>
          <w:color w:val="1F4D78"/>
        </w:rPr>
        <w:t>时空分辨与覆盖：</w:t>
      </w:r>
      <w:r>
        <w:rPr>
          <w:rFonts w:ascii="Calibri" w:hAnsi="Calibri" w:eastAsia="Microsoft YaHei"/>
        </w:rPr>
        <w:t>时间：脉冲内热响应与 campaign 级累计漂移；空间：由视线、几何和反演设定；原始来源未给出统一数值。</w:t>
      </w:r>
    </w:p>
    <w:p>
      <w:pPr>
        <w:widowControl/>
      </w:pPr>
      <w:r>
        <w:rPr>
          <w:rFonts w:ascii="Calibri" w:hAnsi="Calibri" w:eastAsia="Microsoft YaHei"/>
          <w:b/>
          <w:color w:val="1F4D78"/>
        </w:rPr>
        <w:t>仪器与传感器：</w:t>
      </w:r>
      <w:r>
        <w:rPr>
          <w:rFonts w:ascii="Calibri" w:hAnsi="Calibri" w:eastAsia="Microsoft YaHei"/>
        </w:rPr>
        <w:t>regenerated fiber Bragg gratings；thermocouples；optical interrogator</w:t>
      </w:r>
    </w:p>
    <w:p>
      <w:pPr>
        <w:widowControl/>
      </w:pPr>
      <w:r>
        <w:rPr>
          <w:rFonts w:ascii="Calibri" w:hAnsi="Calibri" w:eastAsia="Microsoft YaHei"/>
          <w:b/>
          <w:color w:val="1F4D78"/>
        </w:rPr>
        <w:t>标定与质量：</w:t>
      </w:r>
      <w:r>
        <w:rPr>
          <w:rFonts w:ascii="Calibri" w:hAnsi="Calibri" w:eastAsia="Microsoft YaHei"/>
        </w:rPr>
        <w:t>以受控温升、参考热电偶和解调器波长基准建立波长—温度曲线，并区分安装应变与长期漂移。</w:t>
      </w:r>
    </w:p>
    <w:p>
      <w:pPr>
        <w:widowControl/>
      </w:pPr>
      <w:r>
        <w:rPr>
          <w:rFonts w:ascii="Calibri" w:hAnsi="Calibri" w:eastAsia="Microsoft YaHei"/>
          <w:b/>
          <w:color w:val="1F4D78"/>
        </w:rPr>
        <w:t>反演与分析：</w:t>
      </w:r>
      <w:r>
        <w:rPr>
          <w:rFonts w:ascii="Calibri" w:hAnsi="Calibri" w:eastAsia="Microsoft YaHei"/>
        </w:rPr>
        <w:t>由补偿后的 Bragg 波长漂移反演温度，按脉冲与位置生成长期数据库。</w:t>
      </w:r>
    </w:p>
    <w:p>
      <w:pPr>
        <w:widowControl/>
      </w:pPr>
      <w:r>
        <w:rPr>
          <w:rFonts w:ascii="Calibri" w:hAnsi="Calibri" w:eastAsia="Microsoft YaHei"/>
          <w:b/>
          <w:color w:val="1F4D78"/>
        </w:rPr>
        <w:t>验证与应用：</w:t>
      </w:r>
      <w:r>
        <w:rPr>
          <w:rFonts w:ascii="Calibri" w:hAnsi="Calibri" w:eastAsia="Microsoft YaHei"/>
        </w:rPr>
        <w:t>超过 2600 个 WEST pulses 的装置数据库。</w:t>
      </w:r>
    </w:p>
    <w:p>
      <w:pPr>
        <w:widowControl/>
      </w:pPr>
      <w:r>
        <w:rPr>
          <w:rFonts w:ascii="Calibri" w:hAnsi="Calibri" w:eastAsia="Microsoft YaHei"/>
          <w:b/>
          <w:color w:val="1F4D78"/>
        </w:rPr>
        <w:t>局限与边界：</w:t>
      </w:r>
      <w:r>
        <w:rPr>
          <w:rFonts w:ascii="Calibri" w:hAnsi="Calibri" w:eastAsia="Microsoft YaHei"/>
        </w:rPr>
        <w:t>FBG 同时受温度、应变与封装影响；高温退火、谱峰重叠和辐照漂移需持续标定。</w:t>
      </w:r>
    </w:p>
    <w:tbl>
      <w:tblPr>
        <w:tblStyle w:val="TableGrid"/>
        <w:tblW w:type="dxa" w:w="9360"/>
        <w:jc w:val="left"/>
        <w:tblLayout w:type="fixed"/>
        <w:tblLook w:firstColumn="1" w:firstRow="1" w:lastColumn="0" w:lastRow="0" w:noHBand="0" w:noVBand="1" w:val="04A0"/>
        <w:tblInd w:w="120" w:type="dxa"/>
      </w:tblPr>
      <w:tblGrid>
        <w:gridCol w:w="9360"/>
      </w:tblGrid>
      <w:tr>
        <w:trPr>
          <w:cantSplit/>
        </w:trPr>
        <w:tc>
          <w:tcPr>
            <w:tcW w:type="dxa" w:w="9360"/>
            <w:tcMar>
              <w:top w:w="80" w:type="dxa"/>
              <w:bottom w:w="80" w:type="dxa"/>
              <w:start w:w="120" w:type="dxa"/>
              <w:end w:w="120" w:type="dxa"/>
            </w:tcMar>
            <w:vAlign w:val="center"/>
            <w:shd w:fill="EEF7F7"/>
          </w:tcPr>
          <w:p>
            <w:pPr>
              <w:keepNext/>
              <w:keepLines/>
              <w:spacing w:after="40"/>
            </w:pPr>
            <w:r>
              <w:rPr>
                <w:rFonts w:ascii="Calibri" w:hAnsi="Calibri" w:eastAsia="Microsoft YaHei"/>
                <w:b/>
                <w:color w:val="008C95"/>
                <w:sz w:val="17"/>
              </w:rPr>
              <w:t>DIGITAL-TWIN RELEVANCE</w:t>
            </w:r>
          </w:p>
          <w:p>
            <w:pPr>
              <w:spacing w:after="0"/>
            </w:pPr>
            <w:r>
              <w:rPr>
                <w:rFonts w:ascii="Calibri" w:hAnsi="Calibri" w:eastAsia="Microsoft YaHei"/>
                <w:color w:val="0B2545"/>
                <w:sz w:val="20"/>
              </w:rPr>
              <w:t>适合作为材料/PFC 资产孪生的低布线密度多点状态输入，并与 IR 表面温度互补。</w:t>
            </w:r>
          </w:p>
        </w:tc>
      </w:tr>
    </w:tbl>
    <w:p>
      <w:pPr>
        <w:spacing w:after="40"/>
      </w:pPr>
    </w:p>
    <w:tbl>
      <w:tblPr>
        <w:tblStyle w:val="TableGrid"/>
        <w:tblW w:type="dxa" w:w="9360"/>
        <w:jc w:val="left"/>
        <w:tblLayout w:type="fixed"/>
        <w:tblLook w:firstColumn="1" w:firstRow="1" w:lastColumn="0" w:lastRow="0" w:noHBand="0" w:noVBand="1" w:val="04A0"/>
        <w:tblInd w:w="120" w:type="dxa"/>
      </w:tblPr>
      <w:tblGrid>
        <w:gridCol w:w="850"/>
        <w:gridCol w:w="2500"/>
        <w:gridCol w:w="1600"/>
        <w:gridCol w:w="2300"/>
        <w:gridCol w:w="2110"/>
      </w:tblGrid>
      <w:tr>
        <w:trPr>
          <w:tblHeader w:val="true"/>
        </w:trPr>
        <w:tc>
          <w:tcPr>
            <w:tcW w:type="dxa" w:w="8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年份/类型</w:t>
            </w:r>
          </w:p>
        </w:tc>
        <w:tc>
          <w:tcPr>
            <w:tcW w:type="dxa" w:w="25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论文或软件</w:t>
            </w:r>
          </w:p>
        </w:tc>
        <w:tc>
          <w:tcPr>
            <w:tcW w:type="dxa" w:w="16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期刊/开放性</w:t>
            </w:r>
          </w:p>
        </w:tc>
        <w:tc>
          <w:tcPr>
            <w:tcW w:type="dxa" w:w="23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来源类型/关系</w:t>
            </w:r>
          </w:p>
        </w:tc>
        <w:tc>
          <w:tcPr>
            <w:tcW w:type="dxa" w:w="211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链接</w:t>
            </w:r>
          </w:p>
        </w:tc>
      </w:tr>
      <w:tr>
        <w:trPr>
          <w:cantSplit/>
        </w:trPr>
        <w:tc>
          <w:tcPr>
            <w:tcW w:type="dxa" w:w="850"/>
          </w:tcPr>
          <w:p>
            <w:pPr>
              <w:keepLines/>
              <w:spacing w:after="0" w:line="276" w:lineRule="auto"/>
            </w:pPr>
            <w:r>
              <w:rPr>
                <w:rFonts w:ascii="Calibri" w:hAnsi="Calibri" w:eastAsia="Microsoft YaHei"/>
                <w:color w:val="0B2545"/>
                <w:sz w:val="14"/>
              </w:rPr>
              <w:t>2021</w:t>
            </w:r>
          </w:p>
        </w:tc>
        <w:tc>
          <w:tcPr>
            <w:tcW w:type="dxa" w:w="2500"/>
          </w:tcPr>
          <w:p>
            <w:pPr>
              <w:keepLines/>
              <w:spacing w:after="0" w:line="276" w:lineRule="auto"/>
            </w:pPr>
            <w:r>
              <w:rPr>
                <w:rFonts w:ascii="Calibri" w:hAnsi="Calibri" w:eastAsia="Microsoft YaHei"/>
                <w:color w:val="0B2545"/>
                <w:sz w:val="14"/>
              </w:rPr>
              <w:t>First temperature database achieved with Fiber Bragg Grating sensors in uncooled plasma facing components of the WEST lower divertor</w:t>
            </w:r>
          </w:p>
        </w:tc>
        <w:tc>
          <w:tcPr>
            <w:tcW w:type="dxa" w:w="1600"/>
          </w:tcPr>
          <w:p>
            <w:pPr>
              <w:keepLines/>
              <w:spacing w:after="0" w:line="276" w:lineRule="auto"/>
            </w:pPr>
            <w:r>
              <w:rPr>
                <w:rFonts w:ascii="Calibri" w:hAnsi="Calibri" w:eastAsia="Microsoft YaHei"/>
                <w:color w:val="0B2545"/>
                <w:sz w:val="14"/>
              </w:rPr>
              <w:t>Fusion Engineering and Design</w:t>
            </w:r>
          </w:p>
        </w:tc>
        <w:tc>
          <w:tcPr>
            <w:tcW w:type="dxa" w:w="2300"/>
          </w:tcPr>
          <w:p>
            <w:pPr>
              <w:keepLines/>
              <w:spacing w:after="0" w:line="276" w:lineRule="auto"/>
            </w:pPr>
            <w:r>
              <w:rPr>
                <w:rFonts w:ascii="Calibri" w:hAnsi="Calibri" w:eastAsia="Microsoft YaHei"/>
                <w:color w:val="0B2545"/>
                <w:sz w:val="14"/>
              </w:rPr>
              <w:t>peer-reviewed long-term device paper</w:t>
            </w:r>
          </w:p>
        </w:tc>
        <w:tc>
          <w:tcPr>
            <w:tcW w:type="dxa" w:w="2110"/>
          </w:tcPr>
          <w:p>
            <w:pPr>
              <w:keepLines/>
              <w:spacing w:after="0" w:line="276" w:lineRule="auto"/>
            </w:pPr>
            <w:hyperlink r:id="rId136">
              <w:r>
                <w:rPr>
                  <w:rFonts w:ascii="Calibri" w:hAnsi="Calibri" w:eastAsia="Microsoft YaHei"/>
                  <w:color w:val="008C95"/>
                  <w:u w:val="single"/>
                </w:rPr>
                <w:t>打开原始来源 ↗</w:t>
              </w:r>
            </w:hyperlink>
          </w:p>
        </w:tc>
      </w:tr>
      <w:tr>
        <w:trPr>
          <w:cantSplit/>
        </w:trPr>
        <w:tc>
          <w:tcPr>
            <w:tcW w:type="dxa" w:w="850"/>
          </w:tcPr>
          <w:p>
            <w:pPr>
              <w:keepLines/>
              <w:spacing w:after="0" w:line="276" w:lineRule="auto"/>
            </w:pPr>
            <w:r>
              <w:rPr>
                <w:rFonts w:ascii="Calibri" w:hAnsi="Calibri" w:eastAsia="Microsoft YaHei"/>
                <w:color w:val="0B2545"/>
                <w:sz w:val="14"/>
              </w:rPr>
              <w:t>软件</w:t>
            </w:r>
          </w:p>
        </w:tc>
        <w:tc>
          <w:tcPr>
            <w:tcW w:type="dxa" w:w="2500"/>
          </w:tcPr>
          <w:p>
            <w:pPr>
              <w:keepLines/>
              <w:spacing w:after="0" w:line="276" w:lineRule="auto"/>
            </w:pPr>
            <w:r>
              <w:rPr>
                <w:rFonts w:ascii="Calibri" w:hAnsi="Calibri" w:eastAsia="Microsoft YaHei"/>
                <w:color w:val="0B2545"/>
                <w:sz w:val="14"/>
              </w:rPr>
              <w:t>WEST FBG processing</w:t>
            </w:r>
          </w:p>
        </w:tc>
        <w:tc>
          <w:tcPr>
            <w:tcW w:type="dxa" w:w="1600"/>
          </w:tcPr>
          <w:p>
            <w:pPr>
              <w:keepLines/>
              <w:spacing w:after="0" w:line="276" w:lineRule="auto"/>
            </w:pPr>
            <w:r>
              <w:rPr>
                <w:rFonts w:ascii="Calibri" w:hAnsi="Calibri" w:eastAsia="Microsoft YaHei"/>
                <w:color w:val="0B2545"/>
                <w:sz w:val="14"/>
              </w:rPr>
              <w:t>not-public</w:t>
            </w:r>
          </w:p>
        </w:tc>
        <w:tc>
          <w:tcPr>
            <w:tcW w:type="dxa" w:w="2300"/>
          </w:tcPr>
          <w:p>
            <w:pPr>
              <w:keepLines/>
              <w:spacing w:after="0" w:line="276" w:lineRule="auto"/>
            </w:pPr>
            <w:r>
              <w:rPr>
                <w:rFonts w:ascii="Calibri" w:hAnsi="Calibri" w:eastAsia="Microsoft YaHei"/>
                <w:color w:val="0B2545"/>
                <w:sz w:val="14"/>
              </w:rPr>
              <w:t>光谱解调、补偿和数据库流水线未公开。</w:t>
            </w:r>
          </w:p>
        </w:tc>
        <w:tc>
          <w:tcPr>
            <w:tcW w:type="dxa" w:w="2110"/>
          </w:tcPr>
          <w:p>
            <w:pPr>
              <w:keepLines/>
              <w:spacing w:after="0" w:line="276" w:lineRule="auto"/>
            </w:pPr>
            <w:r>
              <w:rPr>
                <w:rFonts w:ascii="Calibri" w:hAnsi="Calibri" w:eastAsia="Microsoft YaHei"/>
                <w:color w:val="0B2545"/>
                <w:sz w:val="14"/>
              </w:rPr>
              <w:t>未公开</w:t>
            </w:r>
          </w:p>
        </w:tc>
      </w:tr>
    </w:tbl>
    <w:p>
      <w:pPr>
        <w:spacing w:before="0" w:after="60"/>
      </w:pPr>
    </w:p>
    <w:p>
      <w:pPr>
        <w:pStyle w:val="Heading3"/>
        <w:keepNext/>
      </w:pPr>
      <w:r>
        <w:t>DG8.07  W7-X 长脉冲热事件自动检测与图像数据库</w:t>
      </w:r>
    </w:p>
    <w:p>
      <w:pPr>
        <w:keepNext/>
        <w:spacing w:after="80"/>
      </w:pPr>
      <w:r>
        <w:rPr>
          <w:rFonts w:ascii="Calibri" w:hAnsi="Calibri" w:eastAsia="Microsoft YaHei"/>
          <w:i/>
          <w:color w:val="566573"/>
          <w:sz w:val="18"/>
        </w:rPr>
        <w:t>Automated thermal-event detection and image database on W7-X</w:t>
      </w:r>
    </w:p>
    <w:tbl>
      <w:tblPr>
        <w:tblStyle w:val="TableGrid"/>
        <w:tblW w:type="dxa" w:w="9360"/>
        <w:jc w:val="left"/>
        <w:tblLayout w:type="fixed"/>
        <w:tblLook w:firstColumn="1" w:firstRow="1" w:lastColumn="0" w:lastRow="0" w:noHBand="0" w:noVBand="1" w:val="04A0"/>
        <w:tblInd w:w="120" w:type="dxa"/>
      </w:tblPr>
      <w:tblGrid>
        <w:gridCol w:w="1200"/>
        <w:gridCol w:w="750"/>
        <w:gridCol w:w="750"/>
        <w:gridCol w:w="2100"/>
        <w:gridCol w:w="4560"/>
      </w:tblGrid>
      <w:tr>
        <w:trPr>
          <w:tblHeader w:val="true"/>
        </w:trPr>
        <w:tc>
          <w:tcPr>
            <w:tcW w:type="dxa" w:w="12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工作 ID</w:t>
            </w:r>
          </w:p>
        </w:tc>
        <w:tc>
          <w:tcPr>
            <w:tcW w:type="dxa" w:w="7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证据</w:t>
            </w:r>
          </w:p>
        </w:tc>
        <w:tc>
          <w:tcPr>
            <w:tcW w:type="dxa" w:w="7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部署</w:t>
            </w:r>
          </w:p>
        </w:tc>
        <w:tc>
          <w:tcPr>
            <w:tcW w:type="dxa" w:w="21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技术族</w:t>
            </w:r>
          </w:p>
        </w:tc>
        <w:tc>
          <w:tcPr>
            <w:tcW w:type="dxa" w:w="456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装置</w:t>
            </w:r>
          </w:p>
        </w:tc>
      </w:tr>
      <w:tr>
        <w:trPr>
          <w:cantSplit/>
        </w:trPr>
        <w:tc>
          <w:tcPr>
            <w:tcW w:type="dxa" w:w="1200"/>
          </w:tcPr>
          <w:p>
            <w:pPr>
              <w:keepLines/>
              <w:spacing w:after="0" w:line="276" w:lineRule="auto"/>
            </w:pPr>
            <w:r>
              <w:rPr>
                <w:rFonts w:ascii="Calibri" w:hAnsi="Calibri" w:eastAsia="Microsoft YaHei"/>
                <w:color w:val="0B2545"/>
                <w:sz w:val="15"/>
              </w:rPr>
              <w:t>PDT-006</w:t>
            </w:r>
          </w:p>
        </w:tc>
        <w:tc>
          <w:tcPr>
            <w:tcW w:type="dxa" w:w="750"/>
          </w:tcPr>
          <w:p>
            <w:pPr>
              <w:keepLines/>
              <w:spacing w:after="0" w:line="276" w:lineRule="auto"/>
            </w:pPr>
            <w:r>
              <w:rPr>
                <w:rFonts w:ascii="Calibri" w:hAnsi="Calibri" w:eastAsia="Microsoft YaHei"/>
                <w:color w:val="0B2545"/>
                <w:sz w:val="15"/>
              </w:rPr>
              <w:t>E4</w:t>
            </w:r>
          </w:p>
        </w:tc>
        <w:tc>
          <w:tcPr>
            <w:tcW w:type="dxa" w:w="750"/>
          </w:tcPr>
          <w:p>
            <w:pPr>
              <w:keepLines/>
              <w:spacing w:after="0" w:line="276" w:lineRule="auto"/>
            </w:pPr>
            <w:r>
              <w:rPr>
                <w:rFonts w:ascii="Calibri" w:hAnsi="Calibri" w:eastAsia="Microsoft YaHei"/>
                <w:color w:val="0B2545"/>
                <w:sz w:val="15"/>
              </w:rPr>
              <w:t>D4</w:t>
            </w:r>
          </w:p>
        </w:tc>
        <w:tc>
          <w:tcPr>
            <w:tcW w:type="dxa" w:w="2100"/>
          </w:tcPr>
          <w:p>
            <w:pPr>
              <w:keepLines/>
              <w:spacing w:after="0" w:line="276" w:lineRule="auto"/>
            </w:pPr>
            <w:r>
              <w:rPr>
                <w:rFonts w:ascii="Calibri" w:hAnsi="Calibri" w:eastAsia="Microsoft YaHei"/>
                <w:color w:val="0B2545"/>
                <w:sz w:val="15"/>
              </w:rPr>
              <w:t>OPTICAL；COMPUTATIONAL</w:t>
            </w:r>
          </w:p>
        </w:tc>
        <w:tc>
          <w:tcPr>
            <w:tcW w:type="dxa" w:w="4560"/>
          </w:tcPr>
          <w:p>
            <w:pPr>
              <w:keepLines/>
              <w:spacing w:after="0" w:line="276" w:lineRule="auto"/>
            </w:pPr>
            <w:r>
              <w:rPr>
                <w:rFonts w:ascii="Calibri" w:hAnsi="Calibri" w:eastAsia="Microsoft YaHei"/>
                <w:color w:val="0B2545"/>
                <w:sz w:val="15"/>
              </w:rPr>
              <w:t>Wendelstein 7-X</w:t>
            </w:r>
          </w:p>
        </w:tc>
      </w:tr>
    </w:tbl>
    <w:p>
      <w:pPr>
        <w:spacing w:before="0" w:after="60"/>
      </w:pPr>
    </w:p>
    <w:p>
      <w:pPr>
        <w:widowControl/>
      </w:pPr>
      <w:r>
        <w:rPr>
          <w:rFonts w:ascii="Calibri" w:hAnsi="Calibri" w:eastAsia="Microsoft YaHei"/>
          <w:b/>
          <w:color w:val="1F4D78"/>
        </w:rPr>
        <w:t>解决问题：</w:t>
      </w:r>
      <w:r>
        <w:rPr>
          <w:rFonts w:ascii="Calibri" w:hAnsi="Calibri" w:eastAsia="Microsoft YaHei"/>
        </w:rPr>
        <w:t>稳态装置无法依赖操作员持续检查大量相机画面，反射、灰尘、热点和冷却异常需要自动分型。</w:t>
      </w:r>
    </w:p>
    <w:p>
      <w:pPr>
        <w:widowControl/>
      </w:pPr>
      <w:r>
        <w:rPr>
          <w:rFonts w:ascii="Calibri" w:hAnsi="Calibri" w:eastAsia="Microsoft YaHei"/>
          <w:b/>
          <w:color w:val="1F4D78"/>
        </w:rPr>
        <w:t>测量原理：</w:t>
      </w:r>
      <w:r>
        <w:rPr>
          <w:rFonts w:ascii="Calibri" w:hAnsi="Calibri" w:eastAsia="Microsoft YaHei"/>
        </w:rPr>
        <w:t>多 IR 视场检测热事件、人工/规则标注事件数据库，并逐步以计算机视觉自动化；结果与组件几何、脉冲阶段和机器状态关联。</w:t>
      </w:r>
    </w:p>
    <w:p>
      <w:pPr>
        <w:widowControl/>
      </w:pPr>
      <w:r>
        <w:rPr>
          <w:rFonts w:ascii="Calibri" w:hAnsi="Calibri" w:eastAsia="Microsoft YaHei"/>
          <w:b/>
          <w:color w:val="1F4D78"/>
        </w:rPr>
        <w:t>测量产品：</w:t>
      </w:r>
      <w:r>
        <w:rPr>
          <w:rFonts w:ascii="Calibri" w:hAnsi="Calibri" w:eastAsia="Microsoft YaHei"/>
        </w:rPr>
        <w:t>PFC 表面温度 [K]；热事件位置与面积；事件持续时间 [s]；事件类别与置信度</w:t>
      </w:r>
    </w:p>
    <w:p>
      <w:pPr>
        <w:widowControl/>
      </w:pPr>
      <w:r>
        <w:rPr>
          <w:rFonts w:ascii="Calibri" w:hAnsi="Calibri" w:eastAsia="Microsoft YaHei"/>
          <w:b/>
          <w:color w:val="1F4D78"/>
        </w:rPr>
        <w:t>时空分辨与覆盖：</w:t>
      </w:r>
      <w:r>
        <w:rPr>
          <w:rFonts w:ascii="Calibri" w:hAnsi="Calibri" w:eastAsia="Microsoft YaHei"/>
        </w:rPr>
        <w:t>时间：视频帧到分钟级长脉冲；数据库跨 campaign；空间：由视线、几何和反演设定；原始来源未给出统一数值。</w:t>
      </w:r>
    </w:p>
    <w:p>
      <w:pPr>
        <w:widowControl/>
      </w:pPr>
      <w:r>
        <w:rPr>
          <w:rFonts w:ascii="Calibri" w:hAnsi="Calibri" w:eastAsia="Microsoft YaHei"/>
          <w:b/>
          <w:color w:val="1F4D78"/>
        </w:rPr>
        <w:t>仪器与传感器：</w:t>
      </w:r>
      <w:r>
        <w:rPr>
          <w:rFonts w:ascii="Calibri" w:hAnsi="Calibri" w:eastAsia="Microsoft YaHei"/>
        </w:rPr>
        <w:t>IR cameras/endoscopes；visible cameras；cooling/calorimetry signals；machine event stream</w:t>
      </w:r>
    </w:p>
    <w:p>
      <w:pPr>
        <w:widowControl/>
      </w:pPr>
      <w:r>
        <w:rPr>
          <w:rFonts w:ascii="Calibri" w:hAnsi="Calibri" w:eastAsia="Microsoft YaHei"/>
          <w:b/>
          <w:color w:val="1F4D78"/>
        </w:rPr>
        <w:t>标定与质量：</w:t>
      </w:r>
      <w:r>
        <w:rPr>
          <w:rFonts w:ascii="Calibri" w:hAnsi="Calibri" w:eastAsia="Microsoft YaHei"/>
        </w:rPr>
        <w:t>进行相机辐射定标、坏像素/漂移修正、几何投影和发射率核查，并用人工复核事件集评估检出率。</w:t>
      </w:r>
    </w:p>
    <w:p>
      <w:pPr>
        <w:widowControl/>
      </w:pPr>
      <w:r>
        <w:rPr>
          <w:rFonts w:ascii="Calibri" w:hAnsi="Calibri" w:eastAsia="Microsoft YaHei"/>
          <w:b/>
          <w:color w:val="1F4D78"/>
        </w:rPr>
        <w:t>反演与分析：</w:t>
      </w:r>
      <w:r>
        <w:rPr>
          <w:rFonts w:ascii="Calibri" w:hAnsi="Calibri" w:eastAsia="Microsoft YaHei"/>
        </w:rPr>
        <w:t>热点分割、时序跟踪和规则/分类器生成事件记录；异常输出必须保留原图和质量标志。</w:t>
      </w:r>
    </w:p>
    <w:p>
      <w:pPr>
        <w:widowControl/>
      </w:pPr>
      <w:r>
        <w:rPr>
          <w:rFonts w:ascii="Calibri" w:hAnsi="Calibri" w:eastAsia="Microsoft YaHei"/>
          <w:b/>
          <w:color w:val="1F4D78"/>
        </w:rPr>
        <w:t>验证与应用：</w:t>
      </w:r>
      <w:r>
        <w:rPr>
          <w:rFonts w:ascii="Calibri" w:hAnsi="Calibri" w:eastAsia="Microsoft YaHei"/>
        </w:rPr>
        <w:t>真实 W7-X 装置 campaign 的在线热事件监测和图像数据库。</w:t>
      </w:r>
    </w:p>
    <w:p>
      <w:pPr>
        <w:widowControl/>
      </w:pPr>
      <w:r>
        <w:rPr>
          <w:rFonts w:ascii="Calibri" w:hAnsi="Calibri" w:eastAsia="Microsoft YaHei"/>
          <w:b/>
          <w:color w:val="1F4D78"/>
        </w:rPr>
        <w:t>局限与边界：</w:t>
      </w:r>
      <w:r>
        <w:rPr>
          <w:rFonts w:ascii="Calibri" w:hAnsi="Calibri" w:eastAsia="Microsoft YaHei"/>
        </w:rPr>
        <w:t>标签受专家判断和 camera configuration 影响；长脉冲 OOD、遮挡和反射需独立质量位。</w:t>
      </w:r>
    </w:p>
    <w:tbl>
      <w:tblPr>
        <w:tblStyle w:val="TableGrid"/>
        <w:tblW w:type="dxa" w:w="9360"/>
        <w:jc w:val="left"/>
        <w:tblLayout w:type="fixed"/>
        <w:tblLook w:firstColumn="1" w:firstRow="1" w:lastColumn="0" w:lastRow="0" w:noHBand="0" w:noVBand="1" w:val="04A0"/>
        <w:tblInd w:w="120" w:type="dxa"/>
      </w:tblPr>
      <w:tblGrid>
        <w:gridCol w:w="9360"/>
      </w:tblGrid>
      <w:tr>
        <w:trPr>
          <w:cantSplit/>
        </w:trPr>
        <w:tc>
          <w:tcPr>
            <w:tcW w:type="dxa" w:w="9360"/>
            <w:tcMar>
              <w:top w:w="80" w:type="dxa"/>
              <w:bottom w:w="80" w:type="dxa"/>
              <w:start w:w="120" w:type="dxa"/>
              <w:end w:w="120" w:type="dxa"/>
            </w:tcMar>
            <w:vAlign w:val="center"/>
            <w:shd w:fill="EEF7F7"/>
          </w:tcPr>
          <w:p>
            <w:pPr>
              <w:keepNext/>
              <w:keepLines/>
              <w:spacing w:after="40"/>
            </w:pPr>
            <w:r>
              <w:rPr>
                <w:rFonts w:ascii="Calibri" w:hAnsi="Calibri" w:eastAsia="Microsoft YaHei"/>
                <w:b/>
                <w:color w:val="008C95"/>
                <w:sz w:val="17"/>
              </w:rPr>
              <w:t>DIGITAL-TWIN RELEVANCE</w:t>
            </w:r>
          </w:p>
          <w:p>
            <w:pPr>
              <w:spacing w:after="0"/>
            </w:pPr>
            <w:r>
              <w:rPr>
                <w:rFonts w:ascii="Calibri" w:hAnsi="Calibri" w:eastAsia="Microsoft YaHei"/>
                <w:color w:val="0B2545"/>
                <w:sz w:val="20"/>
              </w:rPr>
              <w:t>影像、CAD/光线追迹、冷却状态和维护记录必须在同一资产坐标中关联。</w:t>
            </w:r>
          </w:p>
        </w:tc>
      </w:tr>
    </w:tbl>
    <w:p>
      <w:pPr>
        <w:spacing w:after="40"/>
      </w:pPr>
    </w:p>
    <w:tbl>
      <w:tblPr>
        <w:tblStyle w:val="TableGrid"/>
        <w:tblW w:type="dxa" w:w="9360"/>
        <w:jc w:val="left"/>
        <w:tblLayout w:type="fixed"/>
        <w:tblLook w:firstColumn="1" w:firstRow="1" w:lastColumn="0" w:lastRow="0" w:noHBand="0" w:noVBand="1" w:val="04A0"/>
        <w:tblInd w:w="120" w:type="dxa"/>
      </w:tblPr>
      <w:tblGrid>
        <w:gridCol w:w="850"/>
        <w:gridCol w:w="2500"/>
        <w:gridCol w:w="1600"/>
        <w:gridCol w:w="2300"/>
        <w:gridCol w:w="2110"/>
      </w:tblGrid>
      <w:tr>
        <w:trPr>
          <w:tblHeader w:val="true"/>
        </w:trPr>
        <w:tc>
          <w:tcPr>
            <w:tcW w:type="dxa" w:w="8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年份/类型</w:t>
            </w:r>
          </w:p>
        </w:tc>
        <w:tc>
          <w:tcPr>
            <w:tcW w:type="dxa" w:w="25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论文或软件</w:t>
            </w:r>
          </w:p>
        </w:tc>
        <w:tc>
          <w:tcPr>
            <w:tcW w:type="dxa" w:w="16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期刊/开放性</w:t>
            </w:r>
          </w:p>
        </w:tc>
        <w:tc>
          <w:tcPr>
            <w:tcW w:type="dxa" w:w="23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来源类型/关系</w:t>
            </w:r>
          </w:p>
        </w:tc>
        <w:tc>
          <w:tcPr>
            <w:tcW w:type="dxa" w:w="211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链接</w:t>
            </w:r>
          </w:p>
        </w:tc>
      </w:tr>
      <w:tr>
        <w:trPr>
          <w:cantSplit/>
        </w:trPr>
        <w:tc>
          <w:tcPr>
            <w:tcW w:type="dxa" w:w="850"/>
          </w:tcPr>
          <w:p>
            <w:pPr>
              <w:keepLines/>
              <w:spacing w:after="0" w:line="276" w:lineRule="auto"/>
            </w:pPr>
            <w:r>
              <w:rPr>
                <w:rFonts w:ascii="Calibri" w:hAnsi="Calibri" w:eastAsia="Microsoft YaHei"/>
                <w:color w:val="0B2545"/>
                <w:sz w:val="14"/>
              </w:rPr>
              <w:t>2020</w:t>
            </w:r>
          </w:p>
        </w:tc>
        <w:tc>
          <w:tcPr>
            <w:tcW w:type="dxa" w:w="2500"/>
          </w:tcPr>
          <w:p>
            <w:pPr>
              <w:keepLines/>
              <w:spacing w:after="0" w:line="276" w:lineRule="auto"/>
            </w:pPr>
            <w:r>
              <w:rPr>
                <w:rFonts w:ascii="Calibri" w:hAnsi="Calibri" w:eastAsia="Microsoft YaHei"/>
                <w:color w:val="0B2545"/>
                <w:sz w:val="14"/>
              </w:rPr>
              <w:t>Observation of thermal events on the plasma facing components of Wendelstein 7-X</w:t>
            </w:r>
          </w:p>
        </w:tc>
        <w:tc>
          <w:tcPr>
            <w:tcW w:type="dxa" w:w="1600"/>
          </w:tcPr>
          <w:p>
            <w:pPr>
              <w:keepLines/>
              <w:spacing w:after="0" w:line="276" w:lineRule="auto"/>
            </w:pPr>
            <w:r>
              <w:rPr>
                <w:rFonts w:ascii="Calibri" w:hAnsi="Calibri" w:eastAsia="Microsoft YaHei"/>
                <w:color w:val="0B2545"/>
                <w:sz w:val="14"/>
              </w:rPr>
              <w:t>原始论文 / 官方来源</w:t>
            </w:r>
          </w:p>
        </w:tc>
        <w:tc>
          <w:tcPr>
            <w:tcW w:type="dxa" w:w="2300"/>
          </w:tcPr>
          <w:p>
            <w:pPr>
              <w:keepLines/>
              <w:spacing w:after="0" w:line="276" w:lineRule="auto"/>
            </w:pPr>
            <w:r>
              <w:rPr>
                <w:rFonts w:ascii="Calibri" w:hAnsi="Calibri" w:eastAsia="Microsoft YaHei"/>
                <w:color w:val="0B2545"/>
                <w:sz w:val="14"/>
              </w:rPr>
              <w:t>primary device thermography study</w:t>
            </w:r>
          </w:p>
        </w:tc>
        <w:tc>
          <w:tcPr>
            <w:tcW w:type="dxa" w:w="2110"/>
          </w:tcPr>
          <w:p>
            <w:pPr>
              <w:keepLines/>
              <w:spacing w:after="0" w:line="276" w:lineRule="auto"/>
            </w:pPr>
            <w:hyperlink r:id="rId137">
              <w:r>
                <w:rPr>
                  <w:rFonts w:ascii="Calibri" w:hAnsi="Calibri" w:eastAsia="Microsoft YaHei"/>
                  <w:color w:val="008C95"/>
                  <w:u w:val="single"/>
                </w:rPr>
                <w:t>打开原始来源 ↗</w:t>
              </w:r>
            </w:hyperlink>
          </w:p>
        </w:tc>
      </w:tr>
      <w:tr>
        <w:trPr>
          <w:cantSplit/>
        </w:trPr>
        <w:tc>
          <w:tcPr>
            <w:tcW w:type="dxa" w:w="850"/>
          </w:tcPr>
          <w:p>
            <w:pPr>
              <w:keepLines/>
              <w:spacing w:after="0" w:line="276" w:lineRule="auto"/>
            </w:pPr>
            <w:r>
              <w:rPr>
                <w:rFonts w:ascii="Calibri" w:hAnsi="Calibri" w:eastAsia="Microsoft YaHei"/>
                <w:color w:val="0B2545"/>
                <w:sz w:val="14"/>
              </w:rPr>
              <w:t>软件</w:t>
            </w:r>
          </w:p>
        </w:tc>
        <w:tc>
          <w:tcPr>
            <w:tcW w:type="dxa" w:w="2500"/>
          </w:tcPr>
          <w:p>
            <w:pPr>
              <w:keepLines/>
              <w:spacing w:after="0" w:line="276" w:lineRule="auto"/>
            </w:pPr>
            <w:r>
              <w:rPr>
                <w:rFonts w:ascii="Calibri" w:hAnsi="Calibri" w:eastAsia="Microsoft YaHei"/>
                <w:color w:val="0B2545"/>
                <w:sz w:val="14"/>
              </w:rPr>
              <w:t>W7-X thermal event detector</w:t>
            </w:r>
          </w:p>
        </w:tc>
        <w:tc>
          <w:tcPr>
            <w:tcW w:type="dxa" w:w="1600"/>
          </w:tcPr>
          <w:p>
            <w:pPr>
              <w:keepLines/>
              <w:spacing w:after="0" w:line="276" w:lineRule="auto"/>
            </w:pPr>
            <w:r>
              <w:rPr>
                <w:rFonts w:ascii="Calibri" w:hAnsi="Calibri" w:eastAsia="Microsoft YaHei"/>
                <w:color w:val="0B2545"/>
                <w:sz w:val="14"/>
              </w:rPr>
              <w:t>not-public</w:t>
            </w:r>
          </w:p>
        </w:tc>
        <w:tc>
          <w:tcPr>
            <w:tcW w:type="dxa" w:w="2300"/>
          </w:tcPr>
          <w:p>
            <w:pPr>
              <w:keepLines/>
              <w:spacing w:after="0" w:line="276" w:lineRule="auto"/>
            </w:pPr>
            <w:r>
              <w:rPr>
                <w:rFonts w:ascii="Calibri" w:hAnsi="Calibri" w:eastAsia="Microsoft YaHei"/>
                <w:color w:val="0B2545"/>
                <w:sz w:val="14"/>
              </w:rPr>
              <w:t>事件库和生产算法未作为完整公共仓库发布。</w:t>
            </w:r>
          </w:p>
        </w:tc>
        <w:tc>
          <w:tcPr>
            <w:tcW w:type="dxa" w:w="2110"/>
          </w:tcPr>
          <w:p>
            <w:pPr>
              <w:keepLines/>
              <w:spacing w:after="0" w:line="276" w:lineRule="auto"/>
            </w:pPr>
            <w:r>
              <w:rPr>
                <w:rFonts w:ascii="Calibri" w:hAnsi="Calibri" w:eastAsia="Microsoft YaHei"/>
                <w:color w:val="0B2545"/>
                <w:sz w:val="14"/>
              </w:rPr>
              <w:t>未公开</w:t>
            </w:r>
          </w:p>
        </w:tc>
      </w:tr>
    </w:tbl>
    <w:p>
      <w:pPr>
        <w:spacing w:before="0" w:after="60"/>
      </w:pPr>
    </w:p>
    <w:p>
      <w:pPr>
        <w:pStyle w:val="Heading3"/>
        <w:keepNext/>
      </w:pPr>
      <w:r>
        <w:t>DG8.08  EAST 钨偏滤器 FBG 应变—温度监测研发</w:t>
      </w:r>
    </w:p>
    <w:p>
      <w:pPr>
        <w:keepNext/>
        <w:spacing w:after="80"/>
      </w:pPr>
      <w:r>
        <w:rPr>
          <w:rFonts w:ascii="Calibri" w:hAnsi="Calibri" w:eastAsia="Microsoft YaHei"/>
          <w:i/>
          <w:color w:val="566573"/>
          <w:sz w:val="18"/>
        </w:rPr>
        <w:t>FBG strain-temperature monitoring R&amp;D for the EAST tungsten divertor</w:t>
      </w:r>
    </w:p>
    <w:tbl>
      <w:tblPr>
        <w:tblStyle w:val="TableGrid"/>
        <w:tblW w:type="dxa" w:w="9360"/>
        <w:jc w:val="left"/>
        <w:tblLayout w:type="fixed"/>
        <w:tblLook w:firstColumn="1" w:firstRow="1" w:lastColumn="0" w:lastRow="0" w:noHBand="0" w:noVBand="1" w:val="04A0"/>
        <w:tblInd w:w="120" w:type="dxa"/>
      </w:tblPr>
      <w:tblGrid>
        <w:gridCol w:w="1200"/>
        <w:gridCol w:w="750"/>
        <w:gridCol w:w="750"/>
        <w:gridCol w:w="2100"/>
        <w:gridCol w:w="4560"/>
      </w:tblGrid>
      <w:tr>
        <w:trPr>
          <w:tblHeader w:val="true"/>
        </w:trPr>
        <w:tc>
          <w:tcPr>
            <w:tcW w:type="dxa" w:w="12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工作 ID</w:t>
            </w:r>
          </w:p>
        </w:tc>
        <w:tc>
          <w:tcPr>
            <w:tcW w:type="dxa" w:w="7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证据</w:t>
            </w:r>
          </w:p>
        </w:tc>
        <w:tc>
          <w:tcPr>
            <w:tcW w:type="dxa" w:w="7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部署</w:t>
            </w:r>
          </w:p>
        </w:tc>
        <w:tc>
          <w:tcPr>
            <w:tcW w:type="dxa" w:w="21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技术族</w:t>
            </w:r>
          </w:p>
        </w:tc>
        <w:tc>
          <w:tcPr>
            <w:tcW w:type="dxa" w:w="456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装置</w:t>
            </w:r>
          </w:p>
        </w:tc>
      </w:tr>
      <w:tr>
        <w:trPr>
          <w:cantSplit/>
        </w:trPr>
        <w:tc>
          <w:tcPr>
            <w:tcW w:type="dxa" w:w="1200"/>
          </w:tcPr>
          <w:p>
            <w:pPr>
              <w:keepLines/>
              <w:spacing w:after="0" w:line="276" w:lineRule="auto"/>
            </w:pPr>
            <w:r>
              <w:rPr>
                <w:rFonts w:ascii="Calibri" w:hAnsi="Calibri" w:eastAsia="Microsoft YaHei"/>
                <w:color w:val="0B2545"/>
                <w:sz w:val="15"/>
              </w:rPr>
              <w:t>PDT-007</w:t>
            </w:r>
          </w:p>
        </w:tc>
        <w:tc>
          <w:tcPr>
            <w:tcW w:type="dxa" w:w="750"/>
          </w:tcPr>
          <w:p>
            <w:pPr>
              <w:keepLines/>
              <w:spacing w:after="0" w:line="276" w:lineRule="auto"/>
            </w:pPr>
            <w:r>
              <w:rPr>
                <w:rFonts w:ascii="Calibri" w:hAnsi="Calibri" w:eastAsia="Microsoft YaHei"/>
                <w:color w:val="0B2545"/>
                <w:sz w:val="15"/>
              </w:rPr>
              <w:t>E2</w:t>
            </w:r>
          </w:p>
        </w:tc>
        <w:tc>
          <w:tcPr>
            <w:tcW w:type="dxa" w:w="750"/>
          </w:tcPr>
          <w:p>
            <w:pPr>
              <w:keepLines/>
              <w:spacing w:after="0" w:line="276" w:lineRule="auto"/>
            </w:pPr>
            <w:r>
              <w:rPr>
                <w:rFonts w:ascii="Calibri" w:hAnsi="Calibri" w:eastAsia="Microsoft YaHei"/>
                <w:color w:val="0B2545"/>
                <w:sz w:val="15"/>
              </w:rPr>
              <w:t>D2</w:t>
            </w:r>
          </w:p>
        </w:tc>
        <w:tc>
          <w:tcPr>
            <w:tcW w:type="dxa" w:w="2100"/>
          </w:tcPr>
          <w:p>
            <w:pPr>
              <w:keepLines/>
              <w:spacing w:after="0" w:line="276" w:lineRule="auto"/>
            </w:pPr>
            <w:r>
              <w:rPr>
                <w:rFonts w:ascii="Calibri" w:hAnsi="Calibri" w:eastAsia="Microsoft YaHei"/>
                <w:color w:val="0B2545"/>
                <w:sz w:val="15"/>
              </w:rPr>
              <w:t>ENGINEERING_SENSOR</w:t>
            </w:r>
          </w:p>
        </w:tc>
        <w:tc>
          <w:tcPr>
            <w:tcW w:type="dxa" w:w="4560"/>
          </w:tcPr>
          <w:p>
            <w:pPr>
              <w:keepLines/>
              <w:spacing w:after="0" w:line="276" w:lineRule="auto"/>
            </w:pPr>
            <w:r>
              <w:rPr>
                <w:rFonts w:ascii="Calibri" w:hAnsi="Calibri" w:eastAsia="Microsoft YaHei"/>
                <w:color w:val="0B2545"/>
                <w:sz w:val="15"/>
              </w:rPr>
              <w:t>EAST divertor mock-up；planned/partial EAST integration</w:t>
            </w:r>
          </w:p>
        </w:tc>
      </w:tr>
    </w:tbl>
    <w:p>
      <w:pPr>
        <w:spacing w:before="0" w:after="60"/>
      </w:pPr>
    </w:p>
    <w:p>
      <w:pPr>
        <w:widowControl/>
      </w:pPr>
      <w:r>
        <w:rPr>
          <w:rFonts w:ascii="Calibri" w:hAnsi="Calibri" w:eastAsia="Microsoft YaHei"/>
          <w:b/>
          <w:color w:val="1F4D78"/>
        </w:rPr>
        <w:t>解决问题：</w:t>
      </w:r>
      <w:r>
        <w:rPr>
          <w:rFonts w:ascii="Calibri" w:hAnsi="Calibri" w:eastAsia="Microsoft YaHei"/>
        </w:rPr>
        <w:t>偏滤器承受电磁与热机械耦合载荷，需要在强电磁环境下测量应变/温度并减少电缆数量。</w:t>
      </w:r>
    </w:p>
    <w:p>
      <w:pPr>
        <w:widowControl/>
      </w:pPr>
      <w:r>
        <w:rPr>
          <w:rFonts w:ascii="Calibri" w:hAnsi="Calibri" w:eastAsia="Microsoft YaHei"/>
          <w:b/>
          <w:color w:val="1F4D78"/>
        </w:rPr>
        <w:t>测量原理：</w:t>
      </w:r>
      <w:r>
        <w:rPr>
          <w:rFonts w:ascii="Calibri" w:hAnsi="Calibri" w:eastAsia="Microsoft YaHei"/>
        </w:rPr>
        <w:t>在钨单块/组件上布置 FBG，开展烘烤和高热流试验，以热电偶和 ANSYS/Fluent 结果交叉验证，并设计 EAST 安装方案。</w:t>
      </w:r>
    </w:p>
    <w:p>
      <w:pPr>
        <w:widowControl/>
      </w:pPr>
      <w:r>
        <w:rPr>
          <w:rFonts w:ascii="Calibri" w:hAnsi="Calibri" w:eastAsia="Microsoft YaHei"/>
          <w:b/>
          <w:color w:val="1F4D78"/>
        </w:rPr>
        <w:t>测量产品：</w:t>
      </w:r>
      <w:r>
        <w:rPr>
          <w:rFonts w:ascii="Calibri" w:hAnsi="Calibri" w:eastAsia="Microsoft YaHei"/>
        </w:rPr>
        <w:t>Bragg 波长漂移 [pm]；应变 [microstrain]；温度 [K]；FE/试验残差</w:t>
      </w:r>
    </w:p>
    <w:p>
      <w:pPr>
        <w:widowControl/>
      </w:pPr>
      <w:r>
        <w:rPr>
          <w:rFonts w:ascii="Calibri" w:hAnsi="Calibri" w:eastAsia="Microsoft YaHei"/>
          <w:b/>
          <w:color w:val="1F4D78"/>
        </w:rPr>
        <w:t>时空分辨与覆盖：</w:t>
      </w:r>
      <w:r>
        <w:rPr>
          <w:rFonts w:ascii="Calibri" w:hAnsi="Calibri" w:eastAsia="Microsoft YaHei"/>
        </w:rPr>
        <w:t>时间：高热流瞬态至结构热循环；空间：由视线、几何和反演设定；原始来源未给出统一数值。</w:t>
      </w:r>
    </w:p>
    <w:p>
      <w:pPr>
        <w:widowControl/>
      </w:pPr>
      <w:r>
        <w:rPr>
          <w:rFonts w:ascii="Calibri" w:hAnsi="Calibri" w:eastAsia="Microsoft YaHei"/>
          <w:b/>
          <w:color w:val="1F4D78"/>
        </w:rPr>
        <w:t>仪器与传感器：</w:t>
      </w:r>
      <w:r>
        <w:rPr>
          <w:rFonts w:ascii="Calibri" w:hAnsi="Calibri" w:eastAsia="Microsoft YaHei"/>
        </w:rPr>
        <w:t>femtosecond/regenerated FBG；thermocouples；strain references</w:t>
      </w:r>
    </w:p>
    <w:p>
      <w:pPr>
        <w:widowControl/>
      </w:pPr>
      <w:r>
        <w:rPr>
          <w:rFonts w:ascii="Calibri" w:hAnsi="Calibri" w:eastAsia="Microsoft YaHei"/>
          <w:b/>
          <w:color w:val="1F4D78"/>
        </w:rPr>
        <w:t>标定与质量：</w:t>
      </w:r>
      <w:r>
        <w:rPr>
          <w:rFonts w:ascii="Calibri" w:hAnsi="Calibri" w:eastAsia="Microsoft YaHei"/>
        </w:rPr>
        <w:t>在高热流台架上以参考热电偶、载荷/位移和无应变温度通道标定温度灵敏度、应变灵敏度及交叉敏感。</w:t>
      </w:r>
    </w:p>
    <w:p>
      <w:pPr>
        <w:widowControl/>
      </w:pPr>
      <w:r>
        <w:rPr>
          <w:rFonts w:ascii="Calibri" w:hAnsi="Calibri" w:eastAsia="Microsoft YaHei"/>
          <w:b/>
          <w:color w:val="1F4D78"/>
        </w:rPr>
        <w:t>反演与分析：</w:t>
      </w:r>
      <w:r>
        <w:rPr>
          <w:rFonts w:ascii="Calibri" w:hAnsi="Calibri" w:eastAsia="Microsoft YaHei"/>
        </w:rPr>
        <w:t>温度补偿后由波长漂移估计应变，并与热—结构有限元响应交叉验证。</w:t>
      </w:r>
    </w:p>
    <w:p>
      <w:pPr>
        <w:widowControl/>
      </w:pPr>
      <w:r>
        <w:rPr>
          <w:rFonts w:ascii="Calibri" w:hAnsi="Calibri" w:eastAsia="Microsoft YaHei"/>
          <w:b/>
          <w:color w:val="1F4D78"/>
        </w:rPr>
        <w:t>验证与应用：</w:t>
      </w:r>
      <w:r>
        <w:rPr>
          <w:rFonts w:ascii="Calibri" w:hAnsi="Calibri" w:eastAsia="Microsoft YaHei"/>
        </w:rPr>
        <w:t>高热流台架和组件测试；部分论文为安装计划而非长期真机证据。</w:t>
      </w:r>
    </w:p>
    <w:p>
      <w:pPr>
        <w:widowControl/>
      </w:pPr>
      <w:r>
        <w:rPr>
          <w:rFonts w:ascii="Calibri" w:hAnsi="Calibri" w:eastAsia="Microsoft YaHei"/>
          <w:b/>
          <w:color w:val="1F4D78"/>
        </w:rPr>
        <w:t>局限与边界：</w:t>
      </w:r>
      <w:r>
        <w:rPr>
          <w:rFonts w:ascii="Calibri" w:hAnsi="Calibri" w:eastAsia="Microsoft YaHei"/>
        </w:rPr>
        <w:t>温度—应变交叉敏感、封装传递函数和辐照效应尚需真机长期标定。</w:t>
      </w:r>
    </w:p>
    <w:tbl>
      <w:tblPr>
        <w:tblStyle w:val="TableGrid"/>
        <w:tblW w:type="dxa" w:w="9360"/>
        <w:jc w:val="left"/>
        <w:tblLayout w:type="fixed"/>
        <w:tblLook w:firstColumn="1" w:firstRow="1" w:lastColumn="0" w:lastRow="0" w:noHBand="0" w:noVBand="1" w:val="04A0"/>
        <w:tblInd w:w="120" w:type="dxa"/>
      </w:tblPr>
      <w:tblGrid>
        <w:gridCol w:w="9360"/>
      </w:tblGrid>
      <w:tr>
        <w:trPr>
          <w:cantSplit/>
        </w:trPr>
        <w:tc>
          <w:tcPr>
            <w:tcW w:type="dxa" w:w="9360"/>
            <w:tcMar>
              <w:top w:w="80" w:type="dxa"/>
              <w:bottom w:w="80" w:type="dxa"/>
              <w:start w:w="120" w:type="dxa"/>
              <w:end w:w="120" w:type="dxa"/>
            </w:tcMar>
            <w:vAlign w:val="center"/>
            <w:shd w:fill="EEF7F7"/>
          </w:tcPr>
          <w:p>
            <w:pPr>
              <w:keepNext/>
              <w:keepLines/>
              <w:spacing w:after="40"/>
            </w:pPr>
            <w:r>
              <w:rPr>
                <w:rFonts w:ascii="Calibri" w:hAnsi="Calibri" w:eastAsia="Microsoft YaHei"/>
                <w:b/>
                <w:color w:val="008C95"/>
                <w:sz w:val="17"/>
              </w:rPr>
              <w:t>DIGITAL-TWIN RELEVANCE</w:t>
            </w:r>
          </w:p>
          <w:p>
            <w:pPr>
              <w:spacing w:after="0"/>
            </w:pPr>
            <w:r>
              <w:rPr>
                <w:rFonts w:ascii="Calibri" w:hAnsi="Calibri" w:eastAsia="Microsoft YaHei"/>
                <w:color w:val="0B2545"/>
                <w:sz w:val="20"/>
              </w:rPr>
              <w:t>直接对应用户关心的力、位移、应变、应力与温度传感校核，可用于结构—热代理模型训练。</w:t>
            </w:r>
          </w:p>
        </w:tc>
      </w:tr>
    </w:tbl>
    <w:p>
      <w:pPr>
        <w:spacing w:after="40"/>
      </w:pPr>
    </w:p>
    <w:tbl>
      <w:tblPr>
        <w:tblStyle w:val="TableGrid"/>
        <w:tblW w:type="dxa" w:w="9360"/>
        <w:jc w:val="left"/>
        <w:tblLayout w:type="fixed"/>
        <w:tblLook w:firstColumn="1" w:firstRow="1" w:lastColumn="0" w:lastRow="0" w:noHBand="0" w:noVBand="1" w:val="04A0"/>
        <w:tblInd w:w="120" w:type="dxa"/>
      </w:tblPr>
      <w:tblGrid>
        <w:gridCol w:w="850"/>
        <w:gridCol w:w="2500"/>
        <w:gridCol w:w="1600"/>
        <w:gridCol w:w="2300"/>
        <w:gridCol w:w="2110"/>
      </w:tblGrid>
      <w:tr>
        <w:trPr>
          <w:tblHeader w:val="true"/>
        </w:trPr>
        <w:tc>
          <w:tcPr>
            <w:tcW w:type="dxa" w:w="8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年份/类型</w:t>
            </w:r>
          </w:p>
        </w:tc>
        <w:tc>
          <w:tcPr>
            <w:tcW w:type="dxa" w:w="25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论文或软件</w:t>
            </w:r>
          </w:p>
        </w:tc>
        <w:tc>
          <w:tcPr>
            <w:tcW w:type="dxa" w:w="16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期刊/开放性</w:t>
            </w:r>
          </w:p>
        </w:tc>
        <w:tc>
          <w:tcPr>
            <w:tcW w:type="dxa" w:w="23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来源类型/关系</w:t>
            </w:r>
          </w:p>
        </w:tc>
        <w:tc>
          <w:tcPr>
            <w:tcW w:type="dxa" w:w="211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链接</w:t>
            </w:r>
          </w:p>
        </w:tc>
      </w:tr>
      <w:tr>
        <w:trPr>
          <w:cantSplit/>
        </w:trPr>
        <w:tc>
          <w:tcPr>
            <w:tcW w:type="dxa" w:w="850"/>
          </w:tcPr>
          <w:p>
            <w:pPr>
              <w:keepLines/>
              <w:spacing w:after="0" w:line="276" w:lineRule="auto"/>
            </w:pPr>
            <w:r>
              <w:rPr>
                <w:rFonts w:ascii="Calibri" w:hAnsi="Calibri" w:eastAsia="Microsoft YaHei"/>
                <w:color w:val="0B2545"/>
                <w:sz w:val="14"/>
              </w:rPr>
              <w:t>2020</w:t>
            </w:r>
          </w:p>
        </w:tc>
        <w:tc>
          <w:tcPr>
            <w:tcW w:type="dxa" w:w="2500"/>
          </w:tcPr>
          <w:p>
            <w:pPr>
              <w:keepLines/>
              <w:spacing w:after="0" w:line="276" w:lineRule="auto"/>
            </w:pPr>
            <w:r>
              <w:rPr>
                <w:rFonts w:ascii="Calibri" w:hAnsi="Calibri" w:eastAsia="Microsoft YaHei"/>
                <w:color w:val="0B2545"/>
                <w:sz w:val="14"/>
              </w:rPr>
              <w:t>Fibre Bragg grating sensors for fusion diagnostics: Temperature monitoring of a tungsten mono-block mock-up under high heat flux</w:t>
            </w:r>
          </w:p>
        </w:tc>
        <w:tc>
          <w:tcPr>
            <w:tcW w:type="dxa" w:w="1600"/>
          </w:tcPr>
          <w:p>
            <w:pPr>
              <w:keepLines/>
              <w:spacing w:after="0" w:line="276" w:lineRule="auto"/>
            </w:pPr>
            <w:r>
              <w:rPr>
                <w:rFonts w:ascii="Calibri" w:hAnsi="Calibri" w:eastAsia="Microsoft YaHei"/>
                <w:color w:val="0B2545"/>
                <w:sz w:val="14"/>
              </w:rPr>
              <w:t>Fusion Engineering and Design</w:t>
            </w:r>
          </w:p>
        </w:tc>
        <w:tc>
          <w:tcPr>
            <w:tcW w:type="dxa" w:w="2300"/>
          </w:tcPr>
          <w:p>
            <w:pPr>
              <w:keepLines/>
              <w:spacing w:after="0" w:line="276" w:lineRule="auto"/>
            </w:pPr>
            <w:r>
              <w:rPr>
                <w:rFonts w:ascii="Calibri" w:hAnsi="Calibri" w:eastAsia="Microsoft YaHei"/>
                <w:color w:val="0B2545"/>
                <w:sz w:val="14"/>
              </w:rPr>
              <w:t>peer-reviewed high-heat-flux test</w:t>
            </w:r>
          </w:p>
        </w:tc>
        <w:tc>
          <w:tcPr>
            <w:tcW w:type="dxa" w:w="2110"/>
          </w:tcPr>
          <w:p>
            <w:pPr>
              <w:keepLines/>
              <w:spacing w:after="0" w:line="276" w:lineRule="auto"/>
            </w:pPr>
            <w:hyperlink r:id="rId138">
              <w:r>
                <w:rPr>
                  <w:rFonts w:ascii="Calibri" w:hAnsi="Calibri" w:eastAsia="Microsoft YaHei"/>
                  <w:color w:val="008C95"/>
                  <w:u w:val="single"/>
                </w:rPr>
                <w:t>打开原始来源 ↗</w:t>
              </w:r>
            </w:hyperlink>
          </w:p>
        </w:tc>
      </w:tr>
      <w:tr>
        <w:trPr>
          <w:cantSplit/>
        </w:trPr>
        <w:tc>
          <w:tcPr>
            <w:tcW w:type="dxa" w:w="850"/>
          </w:tcPr>
          <w:p>
            <w:pPr>
              <w:keepLines/>
              <w:spacing w:after="0" w:line="276" w:lineRule="auto"/>
            </w:pPr>
            <w:r>
              <w:rPr>
                <w:rFonts w:ascii="Calibri" w:hAnsi="Calibri" w:eastAsia="Microsoft YaHei"/>
                <w:color w:val="0B2545"/>
                <w:sz w:val="14"/>
              </w:rPr>
              <w:t>2017</w:t>
            </w:r>
          </w:p>
        </w:tc>
        <w:tc>
          <w:tcPr>
            <w:tcW w:type="dxa" w:w="2500"/>
          </w:tcPr>
          <w:p>
            <w:pPr>
              <w:keepLines/>
              <w:spacing w:after="0" w:line="276" w:lineRule="auto"/>
            </w:pPr>
            <w:r>
              <w:rPr>
                <w:rFonts w:ascii="Calibri" w:hAnsi="Calibri" w:eastAsia="Microsoft YaHei"/>
                <w:color w:val="0B2545"/>
                <w:sz w:val="14"/>
              </w:rPr>
              <w:t>R&amp;D of a strain monitoring system for the EAST tungsten divertor</w:t>
            </w:r>
          </w:p>
        </w:tc>
        <w:tc>
          <w:tcPr>
            <w:tcW w:type="dxa" w:w="1600"/>
          </w:tcPr>
          <w:p>
            <w:pPr>
              <w:keepLines/>
              <w:spacing w:after="0" w:line="276" w:lineRule="auto"/>
            </w:pPr>
            <w:r>
              <w:rPr>
                <w:rFonts w:ascii="Calibri" w:hAnsi="Calibri" w:eastAsia="Microsoft YaHei"/>
                <w:color w:val="0B2545"/>
                <w:sz w:val="14"/>
              </w:rPr>
              <w:t>原始论文 / 官方来源</w:t>
            </w:r>
          </w:p>
        </w:tc>
        <w:tc>
          <w:tcPr>
            <w:tcW w:type="dxa" w:w="2300"/>
          </w:tcPr>
          <w:p>
            <w:pPr>
              <w:keepLines/>
              <w:spacing w:after="0" w:line="276" w:lineRule="auto"/>
            </w:pPr>
            <w:r>
              <w:rPr>
                <w:rFonts w:ascii="Calibri" w:hAnsi="Calibri" w:eastAsia="Microsoft YaHei"/>
                <w:color w:val="0B2545"/>
                <w:sz w:val="14"/>
              </w:rPr>
              <w:t>peer-reviewed engineering R&amp;D</w:t>
            </w:r>
          </w:p>
        </w:tc>
        <w:tc>
          <w:tcPr>
            <w:tcW w:type="dxa" w:w="2110"/>
          </w:tcPr>
          <w:p>
            <w:pPr>
              <w:keepLines/>
              <w:spacing w:after="0" w:line="276" w:lineRule="auto"/>
            </w:pPr>
            <w:hyperlink r:id="rId139">
              <w:r>
                <w:rPr>
                  <w:rFonts w:ascii="Calibri" w:hAnsi="Calibri" w:eastAsia="Microsoft YaHei"/>
                  <w:color w:val="008C95"/>
                  <w:u w:val="single"/>
                </w:rPr>
                <w:t>打开原始来源 ↗</w:t>
              </w:r>
            </w:hyperlink>
          </w:p>
        </w:tc>
      </w:tr>
      <w:tr>
        <w:trPr>
          <w:cantSplit/>
        </w:trPr>
        <w:tc>
          <w:tcPr>
            <w:tcW w:type="dxa" w:w="850"/>
          </w:tcPr>
          <w:p>
            <w:pPr>
              <w:keepLines/>
              <w:spacing w:after="0" w:line="276" w:lineRule="auto"/>
            </w:pPr>
            <w:r>
              <w:rPr>
                <w:rFonts w:ascii="Calibri" w:hAnsi="Calibri" w:eastAsia="Microsoft YaHei"/>
                <w:color w:val="0B2545"/>
                <w:sz w:val="14"/>
              </w:rPr>
              <w:t>软件</w:t>
            </w:r>
          </w:p>
        </w:tc>
        <w:tc>
          <w:tcPr>
            <w:tcW w:type="dxa" w:w="2500"/>
          </w:tcPr>
          <w:p>
            <w:pPr>
              <w:keepLines/>
              <w:spacing w:after="0" w:line="276" w:lineRule="auto"/>
            </w:pPr>
            <w:r>
              <w:rPr>
                <w:rFonts w:ascii="Calibri" w:hAnsi="Calibri" w:eastAsia="Microsoft YaHei"/>
                <w:color w:val="0B2545"/>
                <w:sz w:val="14"/>
              </w:rPr>
              <w:t>FBG demodulation/FE comparison workflow</w:t>
            </w:r>
          </w:p>
        </w:tc>
        <w:tc>
          <w:tcPr>
            <w:tcW w:type="dxa" w:w="1600"/>
          </w:tcPr>
          <w:p>
            <w:pPr>
              <w:keepLines/>
              <w:spacing w:after="0" w:line="276" w:lineRule="auto"/>
            </w:pPr>
            <w:r>
              <w:rPr>
                <w:rFonts w:ascii="Calibri" w:hAnsi="Calibri" w:eastAsia="Microsoft YaHei"/>
                <w:color w:val="0B2545"/>
                <w:sz w:val="14"/>
              </w:rPr>
              <w:t>not-public</w:t>
            </w:r>
          </w:p>
        </w:tc>
        <w:tc>
          <w:tcPr>
            <w:tcW w:type="dxa" w:w="2300"/>
          </w:tcPr>
          <w:p>
            <w:pPr>
              <w:keepLines/>
              <w:spacing w:after="0" w:line="276" w:lineRule="auto"/>
            </w:pPr>
            <w:r>
              <w:rPr>
                <w:rFonts w:ascii="Calibri" w:hAnsi="Calibri" w:eastAsia="Microsoft YaHei"/>
                <w:color w:val="0B2545"/>
                <w:sz w:val="14"/>
              </w:rPr>
              <w:t>试验与仿真代码未公开。</w:t>
            </w:r>
          </w:p>
        </w:tc>
        <w:tc>
          <w:tcPr>
            <w:tcW w:type="dxa" w:w="2110"/>
          </w:tcPr>
          <w:p>
            <w:pPr>
              <w:keepLines/>
              <w:spacing w:after="0" w:line="276" w:lineRule="auto"/>
            </w:pPr>
            <w:r>
              <w:rPr>
                <w:rFonts w:ascii="Calibri" w:hAnsi="Calibri" w:eastAsia="Microsoft YaHei"/>
                <w:color w:val="0B2545"/>
                <w:sz w:val="14"/>
              </w:rPr>
              <w:t>未公开</w:t>
            </w:r>
          </w:p>
        </w:tc>
      </w:tr>
    </w:tbl>
    <w:p>
      <w:pPr>
        <w:spacing w:before="0" w:after="60"/>
      </w:pPr>
    </w:p>
    <w:p>
      <w:pPr>
        <w:pStyle w:val="Heading3"/>
        <w:keepNext/>
      </w:pPr>
      <w:r>
        <w:t>DG8.09  大型托卡马克真空室电磁载荷—结构位移实时降阶监测</w:t>
      </w:r>
    </w:p>
    <w:p>
      <w:pPr>
        <w:keepNext/>
        <w:spacing w:after="80"/>
      </w:pPr>
      <w:r>
        <w:rPr>
          <w:rFonts w:ascii="Calibri" w:hAnsi="Calibri" w:eastAsia="Microsoft YaHei"/>
          <w:i/>
          <w:color w:val="566573"/>
          <w:sz w:val="18"/>
        </w:rPr>
        <w:t>Reduced-order real-time monitoring of tokamak vessel displacement under electromagnetic loads</w:t>
      </w:r>
    </w:p>
    <w:tbl>
      <w:tblPr>
        <w:tblStyle w:val="TableGrid"/>
        <w:tblW w:type="dxa" w:w="9360"/>
        <w:jc w:val="left"/>
        <w:tblLayout w:type="fixed"/>
        <w:tblLook w:firstColumn="1" w:firstRow="1" w:lastColumn="0" w:lastRow="0" w:noHBand="0" w:noVBand="1" w:val="04A0"/>
        <w:tblInd w:w="120" w:type="dxa"/>
      </w:tblPr>
      <w:tblGrid>
        <w:gridCol w:w="1200"/>
        <w:gridCol w:w="750"/>
        <w:gridCol w:w="750"/>
        <w:gridCol w:w="2100"/>
        <w:gridCol w:w="4560"/>
      </w:tblGrid>
      <w:tr>
        <w:trPr>
          <w:tblHeader w:val="true"/>
        </w:trPr>
        <w:tc>
          <w:tcPr>
            <w:tcW w:type="dxa" w:w="12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工作 ID</w:t>
            </w:r>
          </w:p>
        </w:tc>
        <w:tc>
          <w:tcPr>
            <w:tcW w:type="dxa" w:w="7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证据</w:t>
            </w:r>
          </w:p>
        </w:tc>
        <w:tc>
          <w:tcPr>
            <w:tcW w:type="dxa" w:w="7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部署</w:t>
            </w:r>
          </w:p>
        </w:tc>
        <w:tc>
          <w:tcPr>
            <w:tcW w:type="dxa" w:w="21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技术族</w:t>
            </w:r>
          </w:p>
        </w:tc>
        <w:tc>
          <w:tcPr>
            <w:tcW w:type="dxa" w:w="456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装置</w:t>
            </w:r>
          </w:p>
        </w:tc>
      </w:tr>
      <w:tr>
        <w:trPr>
          <w:cantSplit/>
        </w:trPr>
        <w:tc>
          <w:tcPr>
            <w:tcW w:type="dxa" w:w="1200"/>
          </w:tcPr>
          <w:p>
            <w:pPr>
              <w:keepLines/>
              <w:spacing w:after="0" w:line="276" w:lineRule="auto"/>
            </w:pPr>
            <w:r>
              <w:rPr>
                <w:rFonts w:ascii="Calibri" w:hAnsi="Calibri" w:eastAsia="Microsoft YaHei"/>
                <w:color w:val="0B2545"/>
                <w:sz w:val="15"/>
              </w:rPr>
              <w:t>PDT-008</w:t>
            </w:r>
          </w:p>
        </w:tc>
        <w:tc>
          <w:tcPr>
            <w:tcW w:type="dxa" w:w="750"/>
          </w:tcPr>
          <w:p>
            <w:pPr>
              <w:keepLines/>
              <w:spacing w:after="0" w:line="276" w:lineRule="auto"/>
            </w:pPr>
            <w:r>
              <w:rPr>
                <w:rFonts w:ascii="Calibri" w:hAnsi="Calibri" w:eastAsia="Microsoft YaHei"/>
                <w:color w:val="0B2545"/>
                <w:sz w:val="15"/>
              </w:rPr>
              <w:t>E1</w:t>
            </w:r>
          </w:p>
        </w:tc>
        <w:tc>
          <w:tcPr>
            <w:tcW w:type="dxa" w:w="750"/>
          </w:tcPr>
          <w:p>
            <w:pPr>
              <w:keepLines/>
              <w:spacing w:after="0" w:line="276" w:lineRule="auto"/>
            </w:pPr>
            <w:r>
              <w:rPr>
                <w:rFonts w:ascii="Calibri" w:hAnsi="Calibri" w:eastAsia="Microsoft YaHei"/>
                <w:color w:val="0B2545"/>
                <w:sz w:val="15"/>
              </w:rPr>
              <w:t>D2</w:t>
            </w:r>
          </w:p>
        </w:tc>
        <w:tc>
          <w:tcPr>
            <w:tcW w:type="dxa" w:w="2100"/>
          </w:tcPr>
          <w:p>
            <w:pPr>
              <w:keepLines/>
              <w:spacing w:after="0" w:line="276" w:lineRule="auto"/>
            </w:pPr>
            <w:r>
              <w:rPr>
                <w:rFonts w:ascii="Calibri" w:hAnsi="Calibri" w:eastAsia="Microsoft YaHei"/>
                <w:color w:val="0B2545"/>
                <w:sz w:val="15"/>
              </w:rPr>
              <w:t>ENGINEERING_SENSOR；COMPUTATIONAL</w:t>
            </w:r>
          </w:p>
        </w:tc>
        <w:tc>
          <w:tcPr>
            <w:tcW w:type="dxa" w:w="4560"/>
          </w:tcPr>
          <w:p>
            <w:pPr>
              <w:keepLines/>
              <w:spacing w:after="0" w:line="276" w:lineRule="auto"/>
            </w:pPr>
            <w:r>
              <w:rPr>
                <w:rFonts w:ascii="Calibri" w:hAnsi="Calibri" w:eastAsia="Microsoft YaHei"/>
                <w:color w:val="0B2545"/>
                <w:sz w:val="15"/>
              </w:rPr>
              <w:t>large-scale tokamak models; device-specific validation pending</w:t>
            </w:r>
          </w:p>
        </w:tc>
      </w:tr>
    </w:tbl>
    <w:p>
      <w:pPr>
        <w:spacing w:before="0" w:after="60"/>
      </w:pPr>
    </w:p>
    <w:p>
      <w:pPr>
        <w:widowControl/>
      </w:pPr>
      <w:r>
        <w:rPr>
          <w:rFonts w:ascii="Calibri" w:hAnsi="Calibri" w:eastAsia="Microsoft YaHei"/>
          <w:b/>
          <w:color w:val="1F4D78"/>
        </w:rPr>
        <w:t>解决问题：</w:t>
      </w:r>
      <w:r>
        <w:rPr>
          <w:rFonts w:ascii="Calibri" w:hAnsi="Calibri" w:eastAsia="Microsoft YaHei"/>
        </w:rPr>
        <w:t>破裂/VDE 产生的涡流和 halo current 引起真空室/支撑位移与应力，高保真 IEM+FEM 难以实时执行，稀疏传感器也无法直接覆盖全场。</w:t>
      </w:r>
    </w:p>
    <w:p>
      <w:pPr>
        <w:widowControl/>
      </w:pPr>
      <w:r>
        <w:rPr>
          <w:rFonts w:ascii="Calibri" w:hAnsi="Calibri" w:eastAsia="Microsoft YaHei"/>
          <w:b/>
          <w:color w:val="1F4D78"/>
        </w:rPr>
        <w:t>测量原理：</w:t>
      </w:r>
      <w:r>
        <w:rPr>
          <w:rFonts w:ascii="Calibri" w:hAnsi="Calibri" w:eastAsia="Microsoft YaHei"/>
        </w:rPr>
        <w:t>对电磁积分方程与有限元结构模型做 projection-based model order reduction，用少量载荷/状态输入重建关键位置位移、应变和应力；与全阶解比较。</w:t>
      </w:r>
    </w:p>
    <w:p>
      <w:pPr>
        <w:widowControl/>
      </w:pPr>
      <w:r>
        <w:rPr>
          <w:rFonts w:ascii="Calibri" w:hAnsi="Calibri" w:eastAsia="Microsoft YaHei"/>
          <w:b/>
          <w:color w:val="1F4D78"/>
        </w:rPr>
        <w:t>测量产品：</w:t>
      </w:r>
      <w:r>
        <w:rPr>
          <w:rFonts w:ascii="Calibri" w:hAnsi="Calibri" w:eastAsia="Microsoft YaHei"/>
        </w:rPr>
        <w:t>真空室位移 [m]；应变 [-]；应力 [Pa]；电磁载荷 [N/Nm]；ROM 误差与运行时间</w:t>
      </w:r>
    </w:p>
    <w:p>
      <w:pPr>
        <w:widowControl/>
      </w:pPr>
      <w:r>
        <w:rPr>
          <w:rFonts w:ascii="Calibri" w:hAnsi="Calibri" w:eastAsia="Microsoft YaHei"/>
          <w:b/>
          <w:color w:val="1F4D78"/>
        </w:rPr>
        <w:t>时空分辨与覆盖：</w:t>
      </w:r>
      <w:r>
        <w:rPr>
          <w:rFonts w:ascii="Calibri" w:hAnsi="Calibri" w:eastAsia="Microsoft YaHei"/>
        </w:rPr>
        <w:t>时间：破裂毫秒—秒；ROM 目标实时/近实时；空间：由视线、几何和反演设定；原始来源未给出统一数值。</w:t>
      </w:r>
    </w:p>
    <w:p>
      <w:pPr>
        <w:widowControl/>
      </w:pPr>
      <w:r>
        <w:rPr>
          <w:rFonts w:ascii="Calibri" w:hAnsi="Calibri" w:eastAsia="Microsoft YaHei"/>
          <w:b/>
          <w:color w:val="1F4D78"/>
        </w:rPr>
        <w:t>仪器与传感器：</w:t>
      </w:r>
      <w:r>
        <w:rPr>
          <w:rFonts w:ascii="Calibri" w:hAnsi="Calibri" w:eastAsia="Microsoft YaHei"/>
        </w:rPr>
        <w:t>coil/plasma current；halo current estimates；strain gauges/FBG；displacement sensors；accelerometers</w:t>
      </w:r>
    </w:p>
    <w:p>
      <w:pPr>
        <w:widowControl/>
      </w:pPr>
      <w:r>
        <w:rPr>
          <w:rFonts w:ascii="Calibri" w:hAnsi="Calibri" w:eastAsia="Microsoft YaHei"/>
          <w:b/>
          <w:color w:val="1F4D78"/>
        </w:rPr>
        <w:t>标定与质量：</w:t>
      </w:r>
      <w:r>
        <w:rPr>
          <w:rFonts w:ascii="Calibri" w:hAnsi="Calibri" w:eastAsia="Microsoft YaHei"/>
        </w:rPr>
        <w:t>当前证据为全阶 IEM/FEM 数值基准；真实应用还需几何、材料、边界条件和位移/应变传感器零点的装置标定。</w:t>
      </w:r>
    </w:p>
    <w:p>
      <w:pPr>
        <w:widowControl/>
      </w:pPr>
      <w:r>
        <w:rPr>
          <w:rFonts w:ascii="Calibri" w:hAnsi="Calibri" w:eastAsia="Microsoft YaHei"/>
          <w:b/>
          <w:color w:val="1F4D78"/>
        </w:rPr>
        <w:t>反演与分析：</w:t>
      </w:r>
      <w:r>
        <w:rPr>
          <w:rFonts w:ascii="Calibri" w:hAnsi="Calibri" w:eastAsia="Microsoft YaHei"/>
        </w:rPr>
        <w:t>离线构建电磁与结构 ROM，在线由电流/载荷状态快速预测关键位置位移与应变，并报告相对全阶模型误差。</w:t>
      </w:r>
    </w:p>
    <w:p>
      <w:pPr>
        <w:widowControl/>
      </w:pPr>
      <w:r>
        <w:rPr>
          <w:rFonts w:ascii="Calibri" w:hAnsi="Calibri" w:eastAsia="Microsoft YaHei"/>
          <w:b/>
          <w:color w:val="1F4D78"/>
        </w:rPr>
        <w:t>验证与应用：</w:t>
      </w:r>
      <w:r>
        <w:rPr>
          <w:rFonts w:ascii="Calibri" w:hAnsi="Calibri" w:eastAsia="Microsoft YaHei"/>
        </w:rPr>
        <w:t>数值全阶—降阶对比；公开证据不等于装置传感闭环。</w:t>
      </w:r>
    </w:p>
    <w:p>
      <w:pPr>
        <w:widowControl/>
      </w:pPr>
      <w:r>
        <w:rPr>
          <w:rFonts w:ascii="Calibri" w:hAnsi="Calibri" w:eastAsia="Microsoft YaHei"/>
          <w:b/>
          <w:color w:val="1F4D78"/>
        </w:rPr>
        <w:t>局限与边界：</w:t>
      </w:r>
      <w:r>
        <w:rPr>
          <w:rFonts w:ascii="Calibri" w:hAnsi="Calibri" w:eastAsia="Microsoft YaHei"/>
        </w:rPr>
        <w:t>ROM 训练域、接触/间隙、塑性、支撑非线性和传感器偏置限制外推；必须经结构试验和真机事件验证。</w:t>
      </w:r>
    </w:p>
    <w:tbl>
      <w:tblPr>
        <w:tblStyle w:val="TableGrid"/>
        <w:tblW w:type="dxa" w:w="9360"/>
        <w:jc w:val="left"/>
        <w:tblLayout w:type="fixed"/>
        <w:tblLook w:firstColumn="1" w:firstRow="1" w:lastColumn="0" w:lastRow="0" w:noHBand="0" w:noVBand="1" w:val="04A0"/>
        <w:tblInd w:w="120" w:type="dxa"/>
      </w:tblPr>
      <w:tblGrid>
        <w:gridCol w:w="9360"/>
      </w:tblGrid>
      <w:tr>
        <w:trPr>
          <w:cantSplit/>
        </w:trPr>
        <w:tc>
          <w:tcPr>
            <w:tcW w:type="dxa" w:w="9360"/>
            <w:tcMar>
              <w:top w:w="80" w:type="dxa"/>
              <w:bottom w:w="80" w:type="dxa"/>
              <w:start w:w="120" w:type="dxa"/>
              <w:end w:w="120" w:type="dxa"/>
            </w:tcMar>
            <w:vAlign w:val="center"/>
            <w:shd w:fill="EEF7F7"/>
          </w:tcPr>
          <w:p>
            <w:pPr>
              <w:keepNext/>
              <w:keepLines/>
              <w:spacing w:after="40"/>
            </w:pPr>
            <w:r>
              <w:rPr>
                <w:rFonts w:ascii="Calibri" w:hAnsi="Calibri" w:eastAsia="Microsoft YaHei"/>
                <w:b/>
                <w:color w:val="008C95"/>
                <w:sz w:val="17"/>
              </w:rPr>
              <w:t>DIGITAL-TWIN RELEVANCE</w:t>
            </w:r>
          </w:p>
          <w:p>
            <w:pPr>
              <w:spacing w:after="0"/>
            </w:pPr>
            <w:r>
              <w:rPr>
                <w:rFonts w:ascii="Calibri" w:hAnsi="Calibri" w:eastAsia="Microsoft YaHei"/>
                <w:color w:val="0B2545"/>
                <w:sz w:val="20"/>
              </w:rPr>
              <w:t>是商业电磁/结构软件与实时代理模型之间的直接桥梁，适合第一阶段联合攻关。</w:t>
            </w:r>
          </w:p>
        </w:tc>
      </w:tr>
    </w:tbl>
    <w:p>
      <w:pPr>
        <w:spacing w:after="40"/>
      </w:pPr>
    </w:p>
    <w:tbl>
      <w:tblPr>
        <w:tblStyle w:val="TableGrid"/>
        <w:tblW w:type="dxa" w:w="9360"/>
        <w:jc w:val="left"/>
        <w:tblLayout w:type="fixed"/>
        <w:tblLook w:firstColumn="1" w:firstRow="1" w:lastColumn="0" w:lastRow="0" w:noHBand="0" w:noVBand="1" w:val="04A0"/>
        <w:tblInd w:w="120" w:type="dxa"/>
      </w:tblPr>
      <w:tblGrid>
        <w:gridCol w:w="850"/>
        <w:gridCol w:w="2500"/>
        <w:gridCol w:w="1600"/>
        <w:gridCol w:w="2300"/>
        <w:gridCol w:w="2110"/>
      </w:tblGrid>
      <w:tr>
        <w:trPr>
          <w:tblHeader w:val="true"/>
        </w:trPr>
        <w:tc>
          <w:tcPr>
            <w:tcW w:type="dxa" w:w="8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年份/类型</w:t>
            </w:r>
          </w:p>
        </w:tc>
        <w:tc>
          <w:tcPr>
            <w:tcW w:type="dxa" w:w="25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论文或软件</w:t>
            </w:r>
          </w:p>
        </w:tc>
        <w:tc>
          <w:tcPr>
            <w:tcW w:type="dxa" w:w="16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期刊/开放性</w:t>
            </w:r>
          </w:p>
        </w:tc>
        <w:tc>
          <w:tcPr>
            <w:tcW w:type="dxa" w:w="23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来源类型/关系</w:t>
            </w:r>
          </w:p>
        </w:tc>
        <w:tc>
          <w:tcPr>
            <w:tcW w:type="dxa" w:w="211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链接</w:t>
            </w:r>
          </w:p>
        </w:tc>
      </w:tr>
      <w:tr>
        <w:trPr>
          <w:cantSplit/>
        </w:trPr>
        <w:tc>
          <w:tcPr>
            <w:tcW w:type="dxa" w:w="850"/>
          </w:tcPr>
          <w:p>
            <w:pPr>
              <w:keepLines/>
              <w:spacing w:after="0" w:line="276" w:lineRule="auto"/>
            </w:pPr>
            <w:r>
              <w:rPr>
                <w:rFonts w:ascii="Calibri" w:hAnsi="Calibri" w:eastAsia="Microsoft YaHei"/>
                <w:color w:val="0B2545"/>
                <w:sz w:val="14"/>
              </w:rPr>
              <w:t>2024</w:t>
            </w:r>
          </w:p>
        </w:tc>
        <w:tc>
          <w:tcPr>
            <w:tcW w:type="dxa" w:w="2500"/>
          </w:tcPr>
          <w:p>
            <w:pPr>
              <w:keepLines/>
              <w:spacing w:after="0" w:line="276" w:lineRule="auto"/>
            </w:pPr>
            <w:r>
              <w:rPr>
                <w:rFonts w:ascii="Calibri" w:hAnsi="Calibri" w:eastAsia="Microsoft YaHei"/>
                <w:color w:val="0B2545"/>
                <w:sz w:val="14"/>
              </w:rPr>
              <w:t>Reduced order modeling for real-time monitoring of structural displacements due to electromagnetic forces in large scale tokamaks</w:t>
            </w:r>
          </w:p>
        </w:tc>
        <w:tc>
          <w:tcPr>
            <w:tcW w:type="dxa" w:w="1600"/>
          </w:tcPr>
          <w:p>
            <w:pPr>
              <w:keepLines/>
              <w:spacing w:after="0" w:line="276" w:lineRule="auto"/>
            </w:pPr>
            <w:r>
              <w:rPr>
                <w:rFonts w:ascii="Calibri" w:hAnsi="Calibri" w:eastAsia="Microsoft YaHei"/>
                <w:color w:val="0B2545"/>
                <w:sz w:val="14"/>
              </w:rPr>
              <w:t>Plasma Physics and Controlled Fusion</w:t>
            </w:r>
          </w:p>
        </w:tc>
        <w:tc>
          <w:tcPr>
            <w:tcW w:type="dxa" w:w="2300"/>
          </w:tcPr>
          <w:p>
            <w:pPr>
              <w:keepLines/>
              <w:spacing w:after="0" w:line="276" w:lineRule="auto"/>
            </w:pPr>
            <w:r>
              <w:rPr>
                <w:rFonts w:ascii="Calibri" w:hAnsi="Calibri" w:eastAsia="Microsoft YaHei"/>
                <w:color w:val="0B2545"/>
                <w:sz w:val="14"/>
              </w:rPr>
              <w:t>peer-reviewed numerical primary study</w:t>
            </w:r>
          </w:p>
        </w:tc>
        <w:tc>
          <w:tcPr>
            <w:tcW w:type="dxa" w:w="2110"/>
          </w:tcPr>
          <w:p>
            <w:pPr>
              <w:keepLines/>
              <w:spacing w:after="0" w:line="276" w:lineRule="auto"/>
            </w:pPr>
            <w:hyperlink r:id="rId140">
              <w:r>
                <w:rPr>
                  <w:rFonts w:ascii="Calibri" w:hAnsi="Calibri" w:eastAsia="Microsoft YaHei"/>
                  <w:color w:val="008C95"/>
                  <w:u w:val="single"/>
                </w:rPr>
                <w:t>打开原始来源 ↗</w:t>
              </w:r>
            </w:hyperlink>
          </w:p>
        </w:tc>
      </w:tr>
      <w:tr>
        <w:trPr>
          <w:cantSplit/>
        </w:trPr>
        <w:tc>
          <w:tcPr>
            <w:tcW w:type="dxa" w:w="850"/>
          </w:tcPr>
          <w:p>
            <w:pPr>
              <w:keepLines/>
              <w:spacing w:after="0" w:line="276" w:lineRule="auto"/>
            </w:pPr>
            <w:r>
              <w:rPr>
                <w:rFonts w:ascii="Calibri" w:hAnsi="Calibri" w:eastAsia="Microsoft YaHei"/>
                <w:color w:val="0B2545"/>
                <w:sz w:val="14"/>
              </w:rPr>
              <w:t>软件</w:t>
            </w:r>
          </w:p>
        </w:tc>
        <w:tc>
          <w:tcPr>
            <w:tcW w:type="dxa" w:w="2500"/>
          </w:tcPr>
          <w:p>
            <w:pPr>
              <w:keepLines/>
              <w:spacing w:after="0" w:line="276" w:lineRule="auto"/>
            </w:pPr>
            <w:r>
              <w:rPr>
                <w:rFonts w:ascii="Calibri" w:hAnsi="Calibri" w:eastAsia="Microsoft YaHei"/>
                <w:color w:val="0B2545"/>
                <w:sz w:val="14"/>
              </w:rPr>
              <w:t>IEM/FEM ROM implementation</w:t>
            </w:r>
          </w:p>
        </w:tc>
        <w:tc>
          <w:tcPr>
            <w:tcW w:type="dxa" w:w="1600"/>
          </w:tcPr>
          <w:p>
            <w:pPr>
              <w:keepLines/>
              <w:spacing w:after="0" w:line="276" w:lineRule="auto"/>
            </w:pPr>
            <w:r>
              <w:rPr>
                <w:rFonts w:ascii="Calibri" w:hAnsi="Calibri" w:eastAsia="Microsoft YaHei"/>
                <w:color w:val="0B2545"/>
                <w:sz w:val="14"/>
              </w:rPr>
              <w:t>not-public</w:t>
            </w:r>
          </w:p>
        </w:tc>
        <w:tc>
          <w:tcPr>
            <w:tcW w:type="dxa" w:w="2300"/>
          </w:tcPr>
          <w:p>
            <w:pPr>
              <w:keepLines/>
              <w:spacing w:after="0" w:line="276" w:lineRule="auto"/>
            </w:pPr>
            <w:r>
              <w:rPr>
                <w:rFonts w:ascii="Calibri" w:hAnsi="Calibri" w:eastAsia="Microsoft YaHei"/>
                <w:color w:val="0B2545"/>
                <w:sz w:val="14"/>
              </w:rPr>
              <w:t>未发现论文对应公开仓库。</w:t>
            </w:r>
          </w:p>
        </w:tc>
        <w:tc>
          <w:tcPr>
            <w:tcW w:type="dxa" w:w="2110"/>
          </w:tcPr>
          <w:p>
            <w:pPr>
              <w:keepLines/>
              <w:spacing w:after="0" w:line="276" w:lineRule="auto"/>
            </w:pPr>
            <w:r>
              <w:rPr>
                <w:rFonts w:ascii="Calibri" w:hAnsi="Calibri" w:eastAsia="Microsoft YaHei"/>
                <w:color w:val="0B2545"/>
                <w:sz w:val="14"/>
              </w:rPr>
              <w:t>未公开</w:t>
            </w:r>
          </w:p>
        </w:tc>
      </w:tr>
    </w:tbl>
    <w:p>
      <w:pPr>
        <w:spacing w:before="0" w:after="60"/>
      </w:pPr>
    </w:p>
    <w:p>
      <w:pPr>
        <w:pStyle w:val="Heading3"/>
        <w:keepNext/>
      </w:pPr>
      <w:r>
        <w:t>DG8.10  TEXTOR/T-10 运行中部件振动与位移测量</w:t>
      </w:r>
    </w:p>
    <w:p>
      <w:pPr>
        <w:keepNext/>
        <w:spacing w:after="80"/>
      </w:pPr>
      <w:r>
        <w:rPr>
          <w:rFonts w:ascii="Calibri" w:hAnsi="Calibri" w:eastAsia="Microsoft YaHei"/>
          <w:i/>
          <w:color w:val="566573"/>
          <w:sz w:val="18"/>
        </w:rPr>
        <w:t>In-operation vibration and displacement measurements on TEXTOR and T-10</w:t>
      </w:r>
    </w:p>
    <w:tbl>
      <w:tblPr>
        <w:tblStyle w:val="TableGrid"/>
        <w:tblW w:type="dxa" w:w="9360"/>
        <w:jc w:val="left"/>
        <w:tblLayout w:type="fixed"/>
        <w:tblLook w:firstColumn="1" w:firstRow="1" w:lastColumn="0" w:lastRow="0" w:noHBand="0" w:noVBand="1" w:val="04A0"/>
        <w:tblInd w:w="120" w:type="dxa"/>
      </w:tblPr>
      <w:tblGrid>
        <w:gridCol w:w="1200"/>
        <w:gridCol w:w="750"/>
        <w:gridCol w:w="750"/>
        <w:gridCol w:w="2100"/>
        <w:gridCol w:w="4560"/>
      </w:tblGrid>
      <w:tr>
        <w:trPr>
          <w:tblHeader w:val="true"/>
        </w:trPr>
        <w:tc>
          <w:tcPr>
            <w:tcW w:type="dxa" w:w="12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工作 ID</w:t>
            </w:r>
          </w:p>
        </w:tc>
        <w:tc>
          <w:tcPr>
            <w:tcW w:type="dxa" w:w="7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证据</w:t>
            </w:r>
          </w:p>
        </w:tc>
        <w:tc>
          <w:tcPr>
            <w:tcW w:type="dxa" w:w="7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部署</w:t>
            </w:r>
          </w:p>
        </w:tc>
        <w:tc>
          <w:tcPr>
            <w:tcW w:type="dxa" w:w="21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技术族</w:t>
            </w:r>
          </w:p>
        </w:tc>
        <w:tc>
          <w:tcPr>
            <w:tcW w:type="dxa" w:w="456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装置</w:t>
            </w:r>
          </w:p>
        </w:tc>
      </w:tr>
      <w:tr>
        <w:trPr>
          <w:cantSplit/>
        </w:trPr>
        <w:tc>
          <w:tcPr>
            <w:tcW w:type="dxa" w:w="1200"/>
          </w:tcPr>
          <w:p>
            <w:pPr>
              <w:keepLines/>
              <w:spacing w:after="0" w:line="276" w:lineRule="auto"/>
            </w:pPr>
            <w:r>
              <w:rPr>
                <w:rFonts w:ascii="Calibri" w:hAnsi="Calibri" w:eastAsia="Microsoft YaHei"/>
                <w:color w:val="0B2545"/>
                <w:sz w:val="15"/>
              </w:rPr>
              <w:t>PDT-009</w:t>
            </w:r>
          </w:p>
        </w:tc>
        <w:tc>
          <w:tcPr>
            <w:tcW w:type="dxa" w:w="750"/>
          </w:tcPr>
          <w:p>
            <w:pPr>
              <w:keepLines/>
              <w:spacing w:after="0" w:line="276" w:lineRule="auto"/>
            </w:pPr>
            <w:r>
              <w:rPr>
                <w:rFonts w:ascii="Calibri" w:hAnsi="Calibri" w:eastAsia="Microsoft YaHei"/>
                <w:color w:val="0B2545"/>
                <w:sz w:val="15"/>
              </w:rPr>
              <w:t>E4</w:t>
            </w:r>
          </w:p>
        </w:tc>
        <w:tc>
          <w:tcPr>
            <w:tcW w:type="dxa" w:w="750"/>
          </w:tcPr>
          <w:p>
            <w:pPr>
              <w:keepLines/>
              <w:spacing w:after="0" w:line="276" w:lineRule="auto"/>
            </w:pPr>
            <w:r>
              <w:rPr>
                <w:rFonts w:ascii="Calibri" w:hAnsi="Calibri" w:eastAsia="Microsoft YaHei"/>
                <w:color w:val="0B2545"/>
                <w:sz w:val="15"/>
              </w:rPr>
              <w:t>D4</w:t>
            </w:r>
          </w:p>
        </w:tc>
        <w:tc>
          <w:tcPr>
            <w:tcW w:type="dxa" w:w="2100"/>
          </w:tcPr>
          <w:p>
            <w:pPr>
              <w:keepLines/>
              <w:spacing w:after="0" w:line="276" w:lineRule="auto"/>
            </w:pPr>
            <w:r>
              <w:rPr>
                <w:rFonts w:ascii="Calibri" w:hAnsi="Calibri" w:eastAsia="Microsoft YaHei"/>
                <w:color w:val="0B2545"/>
                <w:sz w:val="15"/>
              </w:rPr>
              <w:t>ENGINEERING_SENSOR；COMPUTATIONAL</w:t>
            </w:r>
          </w:p>
        </w:tc>
        <w:tc>
          <w:tcPr>
            <w:tcW w:type="dxa" w:w="4560"/>
          </w:tcPr>
          <w:p>
            <w:pPr>
              <w:keepLines/>
              <w:spacing w:after="0" w:line="276" w:lineRule="auto"/>
            </w:pPr>
            <w:r>
              <w:rPr>
                <w:rFonts w:ascii="Calibri" w:hAnsi="Calibri" w:eastAsia="Microsoft YaHei"/>
                <w:color w:val="0B2545"/>
                <w:sz w:val="15"/>
              </w:rPr>
              <w:t>TEXTOR；T-10</w:t>
            </w:r>
          </w:p>
        </w:tc>
      </w:tr>
    </w:tbl>
    <w:p>
      <w:pPr>
        <w:spacing w:before="0" w:after="60"/>
      </w:pPr>
    </w:p>
    <w:p>
      <w:pPr>
        <w:widowControl/>
      </w:pPr>
      <w:r>
        <w:rPr>
          <w:rFonts w:ascii="Calibri" w:hAnsi="Calibri" w:eastAsia="Microsoft YaHei"/>
          <w:b/>
          <w:color w:val="1F4D78"/>
        </w:rPr>
        <w:t>解决问题：</w:t>
      </w:r>
      <w:r>
        <w:rPr>
          <w:rFonts w:ascii="Calibri" w:hAnsi="Calibri" w:eastAsia="Microsoft YaHei"/>
        </w:rPr>
        <w:t>脉冲电磁载荷使线圈、真空室和内部部件振动，既影响结构寿命，也通过运动感生信号污染磁诊断。</w:t>
      </w:r>
    </w:p>
    <w:p>
      <w:pPr>
        <w:widowControl/>
      </w:pPr>
      <w:r>
        <w:rPr>
          <w:rFonts w:ascii="Calibri" w:hAnsi="Calibri" w:eastAsia="Microsoft YaHei"/>
          <w:b/>
          <w:color w:val="1F4D78"/>
        </w:rPr>
        <w:t>测量原理：</w:t>
      </w:r>
      <w:r>
        <w:rPr>
          <w:rFonts w:ascii="Calibri" w:hAnsi="Calibri" w:eastAsia="Microsoft YaHei"/>
        </w:rPr>
        <w:t>开发线性可变电阻式位移/振动传感器和多通道 DAQ，覆盖 0.01–10 mm、最高约 1 kHz，并在装置脉冲中记录。</w:t>
      </w:r>
    </w:p>
    <w:p>
      <w:pPr>
        <w:widowControl/>
      </w:pPr>
      <w:r>
        <w:rPr>
          <w:rFonts w:ascii="Calibri" w:hAnsi="Calibri" w:eastAsia="Microsoft YaHei"/>
          <w:b/>
          <w:color w:val="1F4D78"/>
        </w:rPr>
        <w:t>测量产品：</w:t>
      </w:r>
      <w:r>
        <w:rPr>
          <w:rFonts w:ascii="Calibri" w:hAnsi="Calibri" w:eastAsia="Microsoft YaHei"/>
        </w:rPr>
        <w:t>振动位移幅值 [mm]；频率 [Hz]；相对位移 [mm]；与线圈电流/磁测量的相干性</w:t>
      </w:r>
    </w:p>
    <w:p>
      <w:pPr>
        <w:widowControl/>
      </w:pPr>
      <w:r>
        <w:rPr>
          <w:rFonts w:ascii="Calibri" w:hAnsi="Calibri" w:eastAsia="Microsoft YaHei"/>
          <w:b/>
          <w:color w:val="1F4D78"/>
        </w:rPr>
        <w:t>时空分辨与覆盖：</w:t>
      </w:r>
      <w:r>
        <w:rPr>
          <w:rFonts w:ascii="Calibri" w:hAnsi="Calibri" w:eastAsia="Microsoft YaHei"/>
        </w:rPr>
        <w:t>时间：亚毫秒采样、脉冲级振动衰减；空间：由视线、几何和反演设定；原始来源未给出统一数值。</w:t>
      </w:r>
    </w:p>
    <w:p>
      <w:pPr>
        <w:widowControl/>
      </w:pPr>
      <w:r>
        <w:rPr>
          <w:rFonts w:ascii="Calibri" w:hAnsi="Calibri" w:eastAsia="Microsoft YaHei"/>
          <w:b/>
          <w:color w:val="1F4D78"/>
        </w:rPr>
        <w:t>仪器与传感器：</w:t>
      </w:r>
      <w:r>
        <w:rPr>
          <w:rFonts w:ascii="Calibri" w:hAnsi="Calibri" w:eastAsia="Microsoft YaHei"/>
        </w:rPr>
        <w:t>linear variable resistive displacement sensors；multi-channel analog DAQ</w:t>
      </w:r>
    </w:p>
    <w:p>
      <w:pPr>
        <w:widowControl/>
      </w:pPr>
      <w:r>
        <w:rPr>
          <w:rFonts w:ascii="Calibri" w:hAnsi="Calibri" w:eastAsia="Microsoft YaHei"/>
          <w:b/>
          <w:color w:val="1F4D78"/>
        </w:rPr>
        <w:t>标定与质量：</w:t>
      </w:r>
      <w:r>
        <w:rPr>
          <w:rFonts w:ascii="Calibri" w:hAnsi="Calibri" w:eastAsia="Microsoft YaHei"/>
        </w:rPr>
        <w:t>使用已知机械位移/振动输入和静态几何基准校核线性可变电阻传感器、模拟采集带宽和电磁敏感性。</w:t>
      </w:r>
    </w:p>
    <w:p>
      <w:pPr>
        <w:widowControl/>
      </w:pPr>
      <w:r>
        <w:rPr>
          <w:rFonts w:ascii="Calibri" w:hAnsi="Calibri" w:eastAsia="Microsoft YaHei"/>
          <w:b/>
          <w:color w:val="1F4D78"/>
        </w:rPr>
        <w:t>反演与分析：</w:t>
      </w:r>
      <w:r>
        <w:rPr>
          <w:rFonts w:ascii="Calibri" w:hAnsi="Calibri" w:eastAsia="Microsoft YaHei"/>
        </w:rPr>
        <w:t>时域峰值、频谱/模态和与电磁激励的相关分析识别结构响应及对磁诊断的污染。</w:t>
      </w:r>
    </w:p>
    <w:p>
      <w:pPr>
        <w:widowControl/>
      </w:pPr>
      <w:r>
        <w:rPr>
          <w:rFonts w:ascii="Calibri" w:hAnsi="Calibri" w:eastAsia="Microsoft YaHei"/>
          <w:b/>
          <w:color w:val="1F4D78"/>
        </w:rPr>
        <w:t>验证与应用：</w:t>
      </w:r>
      <w:r>
        <w:rPr>
          <w:rFonts w:ascii="Calibri" w:hAnsi="Calibri" w:eastAsia="Microsoft YaHei"/>
        </w:rPr>
        <w:t>真实装置运行测量。</w:t>
      </w:r>
    </w:p>
    <w:p>
      <w:pPr>
        <w:widowControl/>
      </w:pPr>
      <w:r>
        <w:rPr>
          <w:rFonts w:ascii="Calibri" w:hAnsi="Calibri" w:eastAsia="Microsoft YaHei"/>
          <w:b/>
          <w:color w:val="1F4D78"/>
        </w:rPr>
        <w:t>局限与边界：</w:t>
      </w:r>
      <w:r>
        <w:rPr>
          <w:rFonts w:ascii="Calibri" w:hAnsi="Calibri" w:eastAsia="Microsoft YaHei"/>
        </w:rPr>
        <w:t>老装置、低辐照、传感器带宽和布置不能直接代表现代超导机；位移传感本身可能受电磁环境影响。</w:t>
      </w:r>
    </w:p>
    <w:tbl>
      <w:tblPr>
        <w:tblStyle w:val="TableGrid"/>
        <w:tblW w:type="dxa" w:w="9360"/>
        <w:jc w:val="left"/>
        <w:tblLayout w:type="fixed"/>
        <w:tblLook w:firstColumn="1" w:firstRow="1" w:lastColumn="0" w:lastRow="0" w:noHBand="0" w:noVBand="1" w:val="04A0"/>
        <w:tblInd w:w="120" w:type="dxa"/>
      </w:tblPr>
      <w:tblGrid>
        <w:gridCol w:w="9360"/>
      </w:tblGrid>
      <w:tr>
        <w:trPr>
          <w:cantSplit/>
        </w:trPr>
        <w:tc>
          <w:tcPr>
            <w:tcW w:type="dxa" w:w="9360"/>
            <w:tcMar>
              <w:top w:w="80" w:type="dxa"/>
              <w:bottom w:w="80" w:type="dxa"/>
              <w:start w:w="120" w:type="dxa"/>
              <w:end w:w="120" w:type="dxa"/>
            </w:tcMar>
            <w:vAlign w:val="center"/>
            <w:shd w:fill="EEF7F7"/>
          </w:tcPr>
          <w:p>
            <w:pPr>
              <w:keepNext/>
              <w:keepLines/>
              <w:spacing w:after="40"/>
            </w:pPr>
            <w:r>
              <w:rPr>
                <w:rFonts w:ascii="Calibri" w:hAnsi="Calibri" w:eastAsia="Microsoft YaHei"/>
                <w:b/>
                <w:color w:val="008C95"/>
                <w:sz w:val="17"/>
              </w:rPr>
              <w:t>DIGITAL-TWIN RELEVANCE</w:t>
            </w:r>
          </w:p>
          <w:p>
            <w:pPr>
              <w:spacing w:after="0"/>
            </w:pPr>
            <w:r>
              <w:rPr>
                <w:rFonts w:ascii="Calibri" w:hAnsi="Calibri" w:eastAsia="Microsoft YaHei"/>
                <w:color w:val="0B2545"/>
                <w:sz w:val="20"/>
              </w:rPr>
              <w:t>提示数字孪生需同时解释结构运动和磁测量共因误差，避免把传感器运动误识别为等离子体 MHD。</w:t>
            </w:r>
          </w:p>
        </w:tc>
      </w:tr>
    </w:tbl>
    <w:p>
      <w:pPr>
        <w:spacing w:after="40"/>
      </w:pPr>
    </w:p>
    <w:tbl>
      <w:tblPr>
        <w:tblStyle w:val="TableGrid"/>
        <w:tblW w:type="dxa" w:w="9360"/>
        <w:jc w:val="left"/>
        <w:tblLayout w:type="fixed"/>
        <w:tblLook w:firstColumn="1" w:firstRow="1" w:lastColumn="0" w:lastRow="0" w:noHBand="0" w:noVBand="1" w:val="04A0"/>
        <w:tblInd w:w="120" w:type="dxa"/>
      </w:tblPr>
      <w:tblGrid>
        <w:gridCol w:w="850"/>
        <w:gridCol w:w="2500"/>
        <w:gridCol w:w="1600"/>
        <w:gridCol w:w="2300"/>
        <w:gridCol w:w="2110"/>
      </w:tblGrid>
      <w:tr>
        <w:trPr>
          <w:tblHeader w:val="true"/>
        </w:trPr>
        <w:tc>
          <w:tcPr>
            <w:tcW w:type="dxa" w:w="8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年份/类型</w:t>
            </w:r>
          </w:p>
        </w:tc>
        <w:tc>
          <w:tcPr>
            <w:tcW w:type="dxa" w:w="25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论文或软件</w:t>
            </w:r>
          </w:p>
        </w:tc>
        <w:tc>
          <w:tcPr>
            <w:tcW w:type="dxa" w:w="16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期刊/开放性</w:t>
            </w:r>
          </w:p>
        </w:tc>
        <w:tc>
          <w:tcPr>
            <w:tcW w:type="dxa" w:w="23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来源类型/关系</w:t>
            </w:r>
          </w:p>
        </w:tc>
        <w:tc>
          <w:tcPr>
            <w:tcW w:type="dxa" w:w="211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链接</w:t>
            </w:r>
          </w:p>
        </w:tc>
      </w:tr>
      <w:tr>
        <w:trPr>
          <w:cantSplit/>
        </w:trPr>
        <w:tc>
          <w:tcPr>
            <w:tcW w:type="dxa" w:w="850"/>
          </w:tcPr>
          <w:p>
            <w:pPr>
              <w:keepLines/>
              <w:spacing w:after="0" w:line="276" w:lineRule="auto"/>
            </w:pPr>
            <w:r>
              <w:rPr>
                <w:rFonts w:ascii="Calibri" w:hAnsi="Calibri" w:eastAsia="Microsoft YaHei"/>
                <w:color w:val="0B2545"/>
                <w:sz w:val="14"/>
              </w:rPr>
              <w:t>2001</w:t>
            </w:r>
          </w:p>
        </w:tc>
        <w:tc>
          <w:tcPr>
            <w:tcW w:type="dxa" w:w="2500"/>
          </w:tcPr>
          <w:p>
            <w:pPr>
              <w:keepLines/>
              <w:spacing w:after="0" w:line="276" w:lineRule="auto"/>
            </w:pPr>
            <w:r>
              <w:rPr>
                <w:rFonts w:ascii="Calibri" w:hAnsi="Calibri" w:eastAsia="Microsoft YaHei"/>
                <w:color w:val="0B2545"/>
                <w:sz w:val="14"/>
              </w:rPr>
              <w:t>Vibration measurements of the tokamaks components of TEXTOR and T-10 in operation</w:t>
            </w:r>
          </w:p>
        </w:tc>
        <w:tc>
          <w:tcPr>
            <w:tcW w:type="dxa" w:w="1600"/>
          </w:tcPr>
          <w:p>
            <w:pPr>
              <w:keepLines/>
              <w:spacing w:after="0" w:line="276" w:lineRule="auto"/>
            </w:pPr>
            <w:r>
              <w:rPr>
                <w:rFonts w:ascii="Calibri" w:hAnsi="Calibri" w:eastAsia="Microsoft YaHei"/>
                <w:color w:val="0B2545"/>
                <w:sz w:val="14"/>
              </w:rPr>
              <w:t>Fusion Engineering and Design</w:t>
            </w:r>
          </w:p>
        </w:tc>
        <w:tc>
          <w:tcPr>
            <w:tcW w:type="dxa" w:w="2300"/>
          </w:tcPr>
          <w:p>
            <w:pPr>
              <w:keepLines/>
              <w:spacing w:after="0" w:line="276" w:lineRule="auto"/>
            </w:pPr>
            <w:r>
              <w:rPr>
                <w:rFonts w:ascii="Calibri" w:hAnsi="Calibri" w:eastAsia="Microsoft YaHei"/>
                <w:color w:val="0B2545"/>
                <w:sz w:val="14"/>
              </w:rPr>
              <w:t>peer-reviewed primary device measurements</w:t>
            </w:r>
          </w:p>
        </w:tc>
        <w:tc>
          <w:tcPr>
            <w:tcW w:type="dxa" w:w="2110"/>
          </w:tcPr>
          <w:p>
            <w:pPr>
              <w:keepLines/>
              <w:spacing w:after="0" w:line="276" w:lineRule="auto"/>
            </w:pPr>
            <w:hyperlink r:id="rId141">
              <w:r>
                <w:rPr>
                  <w:rFonts w:ascii="Calibri" w:hAnsi="Calibri" w:eastAsia="Microsoft YaHei"/>
                  <w:color w:val="008C95"/>
                  <w:u w:val="single"/>
                </w:rPr>
                <w:t>打开原始来源 ↗</w:t>
              </w:r>
            </w:hyperlink>
          </w:p>
        </w:tc>
      </w:tr>
      <w:tr>
        <w:trPr>
          <w:cantSplit/>
        </w:trPr>
        <w:tc>
          <w:tcPr>
            <w:tcW w:type="dxa" w:w="850"/>
          </w:tcPr>
          <w:p>
            <w:pPr>
              <w:keepLines/>
              <w:spacing w:after="0" w:line="276" w:lineRule="auto"/>
            </w:pPr>
            <w:r>
              <w:rPr>
                <w:rFonts w:ascii="Calibri" w:hAnsi="Calibri" w:eastAsia="Microsoft YaHei"/>
                <w:color w:val="0B2545"/>
                <w:sz w:val="14"/>
              </w:rPr>
              <w:t>软件</w:t>
            </w:r>
          </w:p>
        </w:tc>
        <w:tc>
          <w:tcPr>
            <w:tcW w:type="dxa" w:w="2500"/>
          </w:tcPr>
          <w:p>
            <w:pPr>
              <w:keepLines/>
              <w:spacing w:after="0" w:line="276" w:lineRule="auto"/>
            </w:pPr>
            <w:r>
              <w:rPr>
                <w:rFonts w:ascii="Calibri" w:hAnsi="Calibri" w:eastAsia="Microsoft YaHei"/>
                <w:color w:val="0B2545"/>
                <w:sz w:val="14"/>
              </w:rPr>
              <w:t>TEXTOR/T-10 vibration DAQ</w:t>
            </w:r>
          </w:p>
        </w:tc>
        <w:tc>
          <w:tcPr>
            <w:tcW w:type="dxa" w:w="1600"/>
          </w:tcPr>
          <w:p>
            <w:pPr>
              <w:keepLines/>
              <w:spacing w:after="0" w:line="276" w:lineRule="auto"/>
            </w:pPr>
            <w:r>
              <w:rPr>
                <w:rFonts w:ascii="Calibri" w:hAnsi="Calibri" w:eastAsia="Microsoft YaHei"/>
                <w:color w:val="0B2545"/>
                <w:sz w:val="14"/>
              </w:rPr>
              <w:t>not-public</w:t>
            </w:r>
          </w:p>
        </w:tc>
        <w:tc>
          <w:tcPr>
            <w:tcW w:type="dxa" w:w="2300"/>
          </w:tcPr>
          <w:p>
            <w:pPr>
              <w:keepLines/>
              <w:spacing w:after="0" w:line="276" w:lineRule="auto"/>
            </w:pPr>
            <w:r>
              <w:rPr>
                <w:rFonts w:ascii="Calibri" w:hAnsi="Calibri" w:eastAsia="Microsoft YaHei"/>
                <w:color w:val="0B2545"/>
                <w:sz w:val="14"/>
              </w:rPr>
              <w:t>历史硬件/软件未公开。</w:t>
            </w:r>
          </w:p>
        </w:tc>
        <w:tc>
          <w:tcPr>
            <w:tcW w:type="dxa" w:w="2110"/>
          </w:tcPr>
          <w:p>
            <w:pPr>
              <w:keepLines/>
              <w:spacing w:after="0" w:line="276" w:lineRule="auto"/>
            </w:pPr>
            <w:r>
              <w:rPr>
                <w:rFonts w:ascii="Calibri" w:hAnsi="Calibri" w:eastAsia="Microsoft YaHei"/>
                <w:color w:val="0B2545"/>
                <w:sz w:val="14"/>
              </w:rPr>
              <w:t>未公开</w:t>
            </w:r>
          </w:p>
        </w:tc>
      </w:tr>
    </w:tbl>
    <w:p>
      <w:pPr>
        <w:spacing w:before="0" w:after="60"/>
      </w:pPr>
    </w:p>
    <w:p>
      <w:pPr>
        <w:pStyle w:val="Heading3"/>
        <w:keepNext/>
      </w:pPr>
      <w:r>
        <w:t>DG8.11  ITER 诊断残余气体分析器的燃料、氦灰与杂质监测</w:t>
      </w:r>
    </w:p>
    <w:p>
      <w:pPr>
        <w:keepNext/>
        <w:spacing w:after="80"/>
      </w:pPr>
      <w:r>
        <w:rPr>
          <w:rFonts w:ascii="Calibri" w:hAnsi="Calibri" w:eastAsia="Microsoft YaHei"/>
          <w:i/>
          <w:color w:val="566573"/>
          <w:sz w:val="18"/>
        </w:rPr>
        <w:t>ITER diagnostic residual gas analyzer for fuel, helium ash and impurities</w:t>
      </w:r>
    </w:p>
    <w:tbl>
      <w:tblPr>
        <w:tblStyle w:val="TableGrid"/>
        <w:tblW w:type="dxa" w:w="9360"/>
        <w:jc w:val="left"/>
        <w:tblLayout w:type="fixed"/>
        <w:tblLook w:firstColumn="1" w:firstRow="1" w:lastColumn="0" w:lastRow="0" w:noHBand="0" w:noVBand="1" w:val="04A0"/>
        <w:tblInd w:w="120" w:type="dxa"/>
      </w:tblPr>
      <w:tblGrid>
        <w:gridCol w:w="1200"/>
        <w:gridCol w:w="750"/>
        <w:gridCol w:w="750"/>
        <w:gridCol w:w="2100"/>
        <w:gridCol w:w="4560"/>
      </w:tblGrid>
      <w:tr>
        <w:trPr>
          <w:tblHeader w:val="true"/>
        </w:trPr>
        <w:tc>
          <w:tcPr>
            <w:tcW w:type="dxa" w:w="12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工作 ID</w:t>
            </w:r>
          </w:p>
        </w:tc>
        <w:tc>
          <w:tcPr>
            <w:tcW w:type="dxa" w:w="7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证据</w:t>
            </w:r>
          </w:p>
        </w:tc>
        <w:tc>
          <w:tcPr>
            <w:tcW w:type="dxa" w:w="7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部署</w:t>
            </w:r>
          </w:p>
        </w:tc>
        <w:tc>
          <w:tcPr>
            <w:tcW w:type="dxa" w:w="21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技术族</w:t>
            </w:r>
          </w:p>
        </w:tc>
        <w:tc>
          <w:tcPr>
            <w:tcW w:type="dxa" w:w="456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装置</w:t>
            </w:r>
          </w:p>
        </w:tc>
      </w:tr>
      <w:tr>
        <w:trPr>
          <w:cantSplit/>
        </w:trPr>
        <w:tc>
          <w:tcPr>
            <w:tcW w:type="dxa" w:w="1200"/>
          </w:tcPr>
          <w:p>
            <w:pPr>
              <w:keepLines/>
              <w:spacing w:after="0" w:line="276" w:lineRule="auto"/>
            </w:pPr>
            <w:r>
              <w:rPr>
                <w:rFonts w:ascii="Calibri" w:hAnsi="Calibri" w:eastAsia="Microsoft YaHei"/>
                <w:color w:val="0B2545"/>
                <w:sz w:val="15"/>
              </w:rPr>
              <w:t>PDT-010</w:t>
            </w:r>
          </w:p>
        </w:tc>
        <w:tc>
          <w:tcPr>
            <w:tcW w:type="dxa" w:w="750"/>
          </w:tcPr>
          <w:p>
            <w:pPr>
              <w:keepLines/>
              <w:spacing w:after="0" w:line="276" w:lineRule="auto"/>
            </w:pPr>
            <w:r>
              <w:rPr>
                <w:rFonts w:ascii="Calibri" w:hAnsi="Calibri" w:eastAsia="Microsoft YaHei"/>
                <w:color w:val="0B2545"/>
                <w:sz w:val="15"/>
              </w:rPr>
              <w:t>E2</w:t>
            </w:r>
          </w:p>
        </w:tc>
        <w:tc>
          <w:tcPr>
            <w:tcW w:type="dxa" w:w="750"/>
          </w:tcPr>
          <w:p>
            <w:pPr>
              <w:keepLines/>
              <w:spacing w:after="0" w:line="276" w:lineRule="auto"/>
            </w:pPr>
            <w:r>
              <w:rPr>
                <w:rFonts w:ascii="Calibri" w:hAnsi="Calibri" w:eastAsia="Microsoft YaHei"/>
                <w:color w:val="0B2545"/>
                <w:sz w:val="15"/>
              </w:rPr>
              <w:t>D2</w:t>
            </w:r>
          </w:p>
        </w:tc>
        <w:tc>
          <w:tcPr>
            <w:tcW w:type="dxa" w:w="2100"/>
          </w:tcPr>
          <w:p>
            <w:pPr>
              <w:keepLines/>
              <w:spacing w:after="0" w:line="276" w:lineRule="auto"/>
            </w:pPr>
            <w:r>
              <w:rPr>
                <w:rFonts w:ascii="Calibri" w:hAnsi="Calibri" w:eastAsia="Microsoft YaHei"/>
                <w:color w:val="0B2545"/>
                <w:sz w:val="15"/>
              </w:rPr>
              <w:t>PROBE_SAMPLING；COMPUTATIONAL</w:t>
            </w:r>
          </w:p>
        </w:tc>
        <w:tc>
          <w:tcPr>
            <w:tcW w:type="dxa" w:w="4560"/>
          </w:tcPr>
          <w:p>
            <w:pPr>
              <w:keepLines/>
              <w:spacing w:after="0" w:line="276" w:lineRule="auto"/>
            </w:pPr>
            <w:r>
              <w:rPr>
                <w:rFonts w:ascii="Calibri" w:hAnsi="Calibri" w:eastAsia="Microsoft YaHei"/>
                <w:color w:val="0B2545"/>
                <w:sz w:val="15"/>
              </w:rPr>
              <w:t>ITER prototype</w:t>
            </w:r>
          </w:p>
        </w:tc>
      </w:tr>
    </w:tbl>
    <w:p>
      <w:pPr>
        <w:spacing w:before="0" w:after="60"/>
      </w:pPr>
    </w:p>
    <w:p>
      <w:pPr>
        <w:widowControl/>
      </w:pPr>
      <w:r>
        <w:rPr>
          <w:rFonts w:ascii="Calibri" w:hAnsi="Calibri" w:eastAsia="Microsoft YaHei"/>
          <w:b/>
          <w:color w:val="1F4D78"/>
        </w:rPr>
        <w:t>解决问题：</w:t>
      </w:r>
      <w:r>
        <w:rPr>
          <w:rFonts w:ascii="Calibri" w:hAnsi="Calibri" w:eastAsia="Microsoft YaHei"/>
        </w:rPr>
        <w:t>偏滤器/排气中的 D/T 比、He 灰和杂质既影响 plasma control，也反映真空、燃料循环和泄漏状态；单一质量谱技术在复杂混合物和强环境下可能歧义。</w:t>
      </w:r>
    </w:p>
    <w:p>
      <w:pPr>
        <w:widowControl/>
      </w:pPr>
      <w:r>
        <w:rPr>
          <w:rFonts w:ascii="Calibri" w:hAnsi="Calibri" w:eastAsia="Microsoft YaHei"/>
          <w:b/>
          <w:color w:val="1F4D78"/>
        </w:rPr>
        <w:t>测量原理：</w:t>
      </w:r>
      <w:r>
        <w:rPr>
          <w:rFonts w:ascii="Calibri" w:hAnsi="Calibri" w:eastAsia="Microsoft YaHei"/>
        </w:rPr>
        <w:t>组合 quadrupole mass spectrometer、ion-trap mass spectrometer 和 optical Penning gauge，采用重叠量程与绝对/相对浓度校准。</w:t>
      </w:r>
    </w:p>
    <w:p>
      <w:pPr>
        <w:widowControl/>
      </w:pPr>
      <w:r>
        <w:rPr>
          <w:rFonts w:ascii="Calibri" w:hAnsi="Calibri" w:eastAsia="Microsoft YaHei"/>
          <w:b/>
          <w:color w:val="1F4D78"/>
        </w:rPr>
        <w:t>测量产品：</w:t>
      </w:r>
      <w:r>
        <w:rPr>
          <w:rFonts w:ascii="Calibri" w:hAnsi="Calibri" w:eastAsia="Microsoft YaHei"/>
        </w:rPr>
        <w:t>分压 [Pa]；D/T/He 浓度或比值；杂质组分；谱峰强度与不确定度</w:t>
      </w:r>
    </w:p>
    <w:p>
      <w:pPr>
        <w:widowControl/>
      </w:pPr>
      <w:r>
        <w:rPr>
          <w:rFonts w:ascii="Calibri" w:hAnsi="Calibri" w:eastAsia="Microsoft YaHei"/>
          <w:b/>
          <w:color w:val="1F4D78"/>
        </w:rPr>
        <w:t>时空分辨与覆盖：</w:t>
      </w:r>
      <w:r>
        <w:rPr>
          <w:rFonts w:ascii="Calibri" w:hAnsi="Calibri" w:eastAsia="Microsoft YaHei"/>
        </w:rPr>
        <w:t>时间：秒级到过程监控尺度；空间：由视线、几何和反演设定；原始来源未给出统一数值。</w:t>
      </w:r>
    </w:p>
    <w:p>
      <w:pPr>
        <w:widowControl/>
      </w:pPr>
      <w:r>
        <w:rPr>
          <w:rFonts w:ascii="Calibri" w:hAnsi="Calibri" w:eastAsia="Microsoft YaHei"/>
          <w:b/>
          <w:color w:val="1F4D78"/>
        </w:rPr>
        <w:t>仪器与传感器：</w:t>
      </w:r>
      <w:r>
        <w:rPr>
          <w:rFonts w:ascii="Calibri" w:hAnsi="Calibri" w:eastAsia="Microsoft YaHei"/>
        </w:rPr>
        <w:t>QMS；ion-trap mass spectrometer；optical Penning gauge；vacuum gauges</w:t>
      </w:r>
    </w:p>
    <w:p>
      <w:pPr>
        <w:widowControl/>
      </w:pPr>
      <w:r>
        <w:rPr>
          <w:rFonts w:ascii="Calibri" w:hAnsi="Calibri" w:eastAsia="Microsoft YaHei"/>
          <w:b/>
          <w:color w:val="1F4D78"/>
        </w:rPr>
        <w:t>标定与质量：</w:t>
      </w:r>
      <w:r>
        <w:rPr>
          <w:rFonts w:ascii="Calibri" w:hAnsi="Calibri" w:eastAsia="Microsoft YaHei"/>
        </w:rPr>
        <w:t>以已知组成和压力的标准混合气建立质量谱灵敏度/裂解矩阵，并验证真空、抽气和动态响应。</w:t>
      </w:r>
    </w:p>
    <w:p>
      <w:pPr>
        <w:widowControl/>
      </w:pPr>
      <w:r>
        <w:rPr>
          <w:rFonts w:ascii="Calibri" w:hAnsi="Calibri" w:eastAsia="Microsoft YaHei"/>
          <w:b/>
          <w:color w:val="1F4D78"/>
        </w:rPr>
        <w:t>反演与分析：</w:t>
      </w:r>
      <w:r>
        <w:rPr>
          <w:rFonts w:ascii="Calibri" w:hAnsi="Calibri" w:eastAsia="Microsoft YaHei"/>
        </w:rPr>
        <w:t>对重叠质量峰做响应矩阵解卷积与时间滤波，输出带质量标志的燃料比、氦灰和杂质估计。</w:t>
      </w:r>
    </w:p>
    <w:p>
      <w:pPr>
        <w:widowControl/>
      </w:pPr>
      <w:r>
        <w:rPr>
          <w:rFonts w:ascii="Calibri" w:hAnsi="Calibri" w:eastAsia="Microsoft YaHei"/>
          <w:b/>
          <w:color w:val="1F4D78"/>
        </w:rPr>
        <w:t>验证与应用：</w:t>
      </w:r>
      <w:r>
        <w:rPr>
          <w:rFonts w:ascii="Calibri" w:hAnsi="Calibri" w:eastAsia="Microsoft YaHei"/>
        </w:rPr>
        <w:t>ORNL 原型系统和实验室测试；尚无 ITER plasma exhaust validation。</w:t>
      </w:r>
    </w:p>
    <w:p>
      <w:pPr>
        <w:widowControl/>
      </w:pPr>
      <w:r>
        <w:rPr>
          <w:rFonts w:ascii="Calibri" w:hAnsi="Calibri" w:eastAsia="Microsoft YaHei"/>
          <w:b/>
          <w:color w:val="1F4D78"/>
        </w:rPr>
        <w:t>局限与边界：</w:t>
      </w:r>
      <w:r>
        <w:rPr>
          <w:rFonts w:ascii="Calibri" w:hAnsi="Calibri" w:eastAsia="Microsoft YaHei"/>
        </w:rPr>
        <w:t>同质素/碎片谱重叠、取样管线延迟、壁记忆、污染和绝对校准会限制动态反演。</w:t>
      </w:r>
    </w:p>
    <w:tbl>
      <w:tblPr>
        <w:tblStyle w:val="TableGrid"/>
        <w:tblW w:type="dxa" w:w="9360"/>
        <w:jc w:val="left"/>
        <w:tblLayout w:type="fixed"/>
        <w:tblLook w:firstColumn="1" w:firstRow="1" w:lastColumn="0" w:lastRow="0" w:noHBand="0" w:noVBand="1" w:val="04A0"/>
        <w:tblInd w:w="120" w:type="dxa"/>
      </w:tblPr>
      <w:tblGrid>
        <w:gridCol w:w="9360"/>
      </w:tblGrid>
      <w:tr>
        <w:trPr>
          <w:cantSplit/>
        </w:trPr>
        <w:tc>
          <w:tcPr>
            <w:tcW w:type="dxa" w:w="9360"/>
            <w:tcMar>
              <w:top w:w="80" w:type="dxa"/>
              <w:bottom w:w="80" w:type="dxa"/>
              <w:start w:w="120" w:type="dxa"/>
              <w:end w:w="120" w:type="dxa"/>
            </w:tcMar>
            <w:vAlign w:val="center"/>
            <w:shd w:fill="EEF7F7"/>
          </w:tcPr>
          <w:p>
            <w:pPr>
              <w:keepNext/>
              <w:keepLines/>
              <w:spacing w:after="40"/>
            </w:pPr>
            <w:r>
              <w:rPr>
                <w:rFonts w:ascii="Calibri" w:hAnsi="Calibri" w:eastAsia="Microsoft YaHei"/>
                <w:b/>
                <w:color w:val="008C95"/>
                <w:sz w:val="17"/>
              </w:rPr>
              <w:t>DIGITAL-TWIN RELEVANCE</w:t>
            </w:r>
          </w:p>
          <w:p>
            <w:pPr>
              <w:spacing w:after="0"/>
            </w:pPr>
            <w:r>
              <w:rPr>
                <w:rFonts w:ascii="Calibri" w:hAnsi="Calibri" w:eastAsia="Microsoft YaHei"/>
                <w:color w:val="0B2545"/>
                <w:sz w:val="20"/>
              </w:rPr>
              <w:t>应把取样线路、真空容积、泵速和组分反应模型纳入测量算子，避免把分析仪读数当作等离子体边界瞬时真值。</w:t>
            </w:r>
          </w:p>
        </w:tc>
      </w:tr>
    </w:tbl>
    <w:p>
      <w:pPr>
        <w:spacing w:after="40"/>
      </w:pPr>
    </w:p>
    <w:tbl>
      <w:tblPr>
        <w:tblStyle w:val="TableGrid"/>
        <w:tblW w:type="dxa" w:w="9360"/>
        <w:jc w:val="left"/>
        <w:tblLayout w:type="fixed"/>
        <w:tblLook w:firstColumn="1" w:firstRow="1" w:lastColumn="0" w:lastRow="0" w:noHBand="0" w:noVBand="1" w:val="04A0"/>
        <w:tblInd w:w="120" w:type="dxa"/>
      </w:tblPr>
      <w:tblGrid>
        <w:gridCol w:w="850"/>
        <w:gridCol w:w="2500"/>
        <w:gridCol w:w="1600"/>
        <w:gridCol w:w="2300"/>
        <w:gridCol w:w="2110"/>
      </w:tblGrid>
      <w:tr>
        <w:trPr>
          <w:tblHeader w:val="true"/>
        </w:trPr>
        <w:tc>
          <w:tcPr>
            <w:tcW w:type="dxa" w:w="8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年份/类型</w:t>
            </w:r>
          </w:p>
        </w:tc>
        <w:tc>
          <w:tcPr>
            <w:tcW w:type="dxa" w:w="25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论文或软件</w:t>
            </w:r>
          </w:p>
        </w:tc>
        <w:tc>
          <w:tcPr>
            <w:tcW w:type="dxa" w:w="16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期刊/开放性</w:t>
            </w:r>
          </w:p>
        </w:tc>
        <w:tc>
          <w:tcPr>
            <w:tcW w:type="dxa" w:w="23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来源类型/关系</w:t>
            </w:r>
          </w:p>
        </w:tc>
        <w:tc>
          <w:tcPr>
            <w:tcW w:type="dxa" w:w="211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链接</w:t>
            </w:r>
          </w:p>
        </w:tc>
      </w:tr>
      <w:tr>
        <w:trPr>
          <w:cantSplit/>
        </w:trPr>
        <w:tc>
          <w:tcPr>
            <w:tcW w:type="dxa" w:w="850"/>
          </w:tcPr>
          <w:p>
            <w:pPr>
              <w:keepLines/>
              <w:spacing w:after="0" w:line="276" w:lineRule="auto"/>
            </w:pPr>
            <w:r>
              <w:rPr>
                <w:rFonts w:ascii="Calibri" w:hAnsi="Calibri" w:eastAsia="Microsoft YaHei"/>
                <w:color w:val="0B2545"/>
                <w:sz w:val="14"/>
              </w:rPr>
              <w:t>2014</w:t>
            </w:r>
          </w:p>
        </w:tc>
        <w:tc>
          <w:tcPr>
            <w:tcW w:type="dxa" w:w="2500"/>
          </w:tcPr>
          <w:p>
            <w:pPr>
              <w:keepLines/>
              <w:spacing w:after="0" w:line="276" w:lineRule="auto"/>
            </w:pPr>
            <w:r>
              <w:rPr>
                <w:rFonts w:ascii="Calibri" w:hAnsi="Calibri" w:eastAsia="Microsoft YaHei"/>
                <w:color w:val="0B2545"/>
                <w:sz w:val="14"/>
              </w:rPr>
              <w:t>Description of the prototype diagnostic residual gas analyzer for ITER</w:t>
            </w:r>
          </w:p>
        </w:tc>
        <w:tc>
          <w:tcPr>
            <w:tcW w:type="dxa" w:w="1600"/>
          </w:tcPr>
          <w:p>
            <w:pPr>
              <w:keepLines/>
              <w:spacing w:after="0" w:line="276" w:lineRule="auto"/>
            </w:pPr>
            <w:r>
              <w:rPr>
                <w:rFonts w:ascii="Calibri" w:hAnsi="Calibri" w:eastAsia="Microsoft YaHei"/>
                <w:color w:val="0B2545"/>
                <w:sz w:val="14"/>
              </w:rPr>
              <w:t>Review of Scientific Instruments</w:t>
            </w:r>
          </w:p>
        </w:tc>
        <w:tc>
          <w:tcPr>
            <w:tcW w:type="dxa" w:w="2300"/>
          </w:tcPr>
          <w:p>
            <w:pPr>
              <w:keepLines/>
              <w:spacing w:after="0" w:line="276" w:lineRule="auto"/>
            </w:pPr>
            <w:r>
              <w:rPr>
                <w:rFonts w:ascii="Calibri" w:hAnsi="Calibri" w:eastAsia="Microsoft YaHei"/>
                <w:color w:val="0B2545"/>
                <w:sz w:val="14"/>
              </w:rPr>
              <w:t>peer-reviewed prototype paper</w:t>
            </w:r>
          </w:p>
        </w:tc>
        <w:tc>
          <w:tcPr>
            <w:tcW w:type="dxa" w:w="2110"/>
          </w:tcPr>
          <w:p>
            <w:pPr>
              <w:keepLines/>
              <w:spacing w:after="0" w:line="276" w:lineRule="auto"/>
            </w:pPr>
            <w:hyperlink r:id="rId142">
              <w:r>
                <w:rPr>
                  <w:rFonts w:ascii="Calibri" w:hAnsi="Calibri" w:eastAsia="Microsoft YaHei"/>
                  <w:color w:val="008C95"/>
                  <w:u w:val="single"/>
                </w:rPr>
                <w:t>打开原始来源 ↗</w:t>
              </w:r>
            </w:hyperlink>
          </w:p>
        </w:tc>
      </w:tr>
      <w:tr>
        <w:trPr>
          <w:cantSplit/>
        </w:trPr>
        <w:tc>
          <w:tcPr>
            <w:tcW w:type="dxa" w:w="850"/>
          </w:tcPr>
          <w:p>
            <w:pPr>
              <w:keepLines/>
              <w:spacing w:after="0" w:line="276" w:lineRule="auto"/>
            </w:pPr>
            <w:r>
              <w:rPr>
                <w:rFonts w:ascii="Calibri" w:hAnsi="Calibri" w:eastAsia="Microsoft YaHei"/>
                <w:color w:val="0B2545"/>
                <w:sz w:val="14"/>
              </w:rPr>
              <w:t>软件</w:t>
            </w:r>
          </w:p>
        </w:tc>
        <w:tc>
          <w:tcPr>
            <w:tcW w:type="dxa" w:w="2500"/>
          </w:tcPr>
          <w:p>
            <w:pPr>
              <w:keepLines/>
              <w:spacing w:after="0" w:line="276" w:lineRule="auto"/>
            </w:pPr>
            <w:r>
              <w:rPr>
                <w:rFonts w:ascii="Calibri" w:hAnsi="Calibri" w:eastAsia="Microsoft YaHei"/>
                <w:color w:val="0B2545"/>
                <w:sz w:val="14"/>
              </w:rPr>
              <w:t>ITER DRGA control/spectral analysis</w:t>
            </w:r>
          </w:p>
        </w:tc>
        <w:tc>
          <w:tcPr>
            <w:tcW w:type="dxa" w:w="1600"/>
          </w:tcPr>
          <w:p>
            <w:pPr>
              <w:keepLines/>
              <w:spacing w:after="0" w:line="276" w:lineRule="auto"/>
            </w:pPr>
            <w:r>
              <w:rPr>
                <w:rFonts w:ascii="Calibri" w:hAnsi="Calibri" w:eastAsia="Microsoft YaHei"/>
                <w:color w:val="0B2545"/>
                <w:sz w:val="14"/>
              </w:rPr>
              <w:t>not-public</w:t>
            </w:r>
          </w:p>
        </w:tc>
        <w:tc>
          <w:tcPr>
            <w:tcW w:type="dxa" w:w="2300"/>
          </w:tcPr>
          <w:p>
            <w:pPr>
              <w:keepLines/>
              <w:spacing w:after="0" w:line="276" w:lineRule="auto"/>
            </w:pPr>
            <w:r>
              <w:rPr>
                <w:rFonts w:ascii="Calibri" w:hAnsi="Calibri" w:eastAsia="Microsoft YaHei"/>
                <w:color w:val="0B2545"/>
                <w:sz w:val="14"/>
              </w:rPr>
              <w:t>原型硬件公开，生产分析代码未公开。</w:t>
            </w:r>
          </w:p>
        </w:tc>
        <w:tc>
          <w:tcPr>
            <w:tcW w:type="dxa" w:w="2110"/>
          </w:tcPr>
          <w:p>
            <w:pPr>
              <w:keepLines/>
              <w:spacing w:after="0" w:line="276" w:lineRule="auto"/>
            </w:pPr>
            <w:r>
              <w:rPr>
                <w:rFonts w:ascii="Calibri" w:hAnsi="Calibri" w:eastAsia="Microsoft YaHei"/>
                <w:color w:val="0B2545"/>
                <w:sz w:val="14"/>
              </w:rPr>
              <w:t>未公开</w:t>
            </w:r>
          </w:p>
        </w:tc>
      </w:tr>
    </w:tbl>
    <w:p>
      <w:pPr>
        <w:spacing w:before="0" w:after="60"/>
      </w:pPr>
    </w:p>
    <w:p>
      <w:pPr>
        <w:pStyle w:val="Heading3"/>
        <w:keepNext/>
      </w:pPr>
      <w:r>
        <w:t>DG8.12  聚变堆冷却水内漏的示踪气体—质量谱定位</w:t>
      </w:r>
    </w:p>
    <w:p>
      <w:pPr>
        <w:keepNext/>
        <w:spacing w:after="80"/>
      </w:pPr>
      <w:r>
        <w:rPr>
          <w:rFonts w:ascii="Calibri" w:hAnsi="Calibri" w:eastAsia="Microsoft YaHei"/>
          <w:i/>
          <w:color w:val="566573"/>
          <w:sz w:val="18"/>
        </w:rPr>
        <w:t>Tracer-gas mass-spectrometric localization of cooling-water leaks</w:t>
      </w:r>
    </w:p>
    <w:tbl>
      <w:tblPr>
        <w:tblStyle w:val="TableGrid"/>
        <w:tblW w:type="dxa" w:w="9360"/>
        <w:jc w:val="left"/>
        <w:tblLayout w:type="fixed"/>
        <w:tblLook w:firstColumn="1" w:firstRow="1" w:lastColumn="0" w:lastRow="0" w:noHBand="0" w:noVBand="1" w:val="04A0"/>
        <w:tblInd w:w="120" w:type="dxa"/>
      </w:tblPr>
      <w:tblGrid>
        <w:gridCol w:w="1200"/>
        <w:gridCol w:w="750"/>
        <w:gridCol w:w="750"/>
        <w:gridCol w:w="2100"/>
        <w:gridCol w:w="4560"/>
      </w:tblGrid>
      <w:tr>
        <w:trPr>
          <w:tblHeader w:val="true"/>
        </w:trPr>
        <w:tc>
          <w:tcPr>
            <w:tcW w:type="dxa" w:w="12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工作 ID</w:t>
            </w:r>
          </w:p>
        </w:tc>
        <w:tc>
          <w:tcPr>
            <w:tcW w:type="dxa" w:w="7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证据</w:t>
            </w:r>
          </w:p>
        </w:tc>
        <w:tc>
          <w:tcPr>
            <w:tcW w:type="dxa" w:w="7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部署</w:t>
            </w:r>
          </w:p>
        </w:tc>
        <w:tc>
          <w:tcPr>
            <w:tcW w:type="dxa" w:w="21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技术族</w:t>
            </w:r>
          </w:p>
        </w:tc>
        <w:tc>
          <w:tcPr>
            <w:tcW w:type="dxa" w:w="456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装置</w:t>
            </w:r>
          </w:p>
        </w:tc>
      </w:tr>
      <w:tr>
        <w:trPr>
          <w:cantSplit/>
        </w:trPr>
        <w:tc>
          <w:tcPr>
            <w:tcW w:type="dxa" w:w="1200"/>
          </w:tcPr>
          <w:p>
            <w:pPr>
              <w:keepLines/>
              <w:spacing w:after="0" w:line="276" w:lineRule="auto"/>
            </w:pPr>
            <w:r>
              <w:rPr>
                <w:rFonts w:ascii="Calibri" w:hAnsi="Calibri" w:eastAsia="Microsoft YaHei"/>
                <w:color w:val="0B2545"/>
                <w:sz w:val="15"/>
              </w:rPr>
              <w:t>PDT-011</w:t>
            </w:r>
          </w:p>
        </w:tc>
        <w:tc>
          <w:tcPr>
            <w:tcW w:type="dxa" w:w="750"/>
          </w:tcPr>
          <w:p>
            <w:pPr>
              <w:keepLines/>
              <w:spacing w:after="0" w:line="276" w:lineRule="auto"/>
            </w:pPr>
            <w:r>
              <w:rPr>
                <w:rFonts w:ascii="Calibri" w:hAnsi="Calibri" w:eastAsia="Microsoft YaHei"/>
                <w:color w:val="0B2545"/>
                <w:sz w:val="15"/>
              </w:rPr>
              <w:t>E2</w:t>
            </w:r>
          </w:p>
        </w:tc>
        <w:tc>
          <w:tcPr>
            <w:tcW w:type="dxa" w:w="750"/>
          </w:tcPr>
          <w:p>
            <w:pPr>
              <w:keepLines/>
              <w:spacing w:after="0" w:line="276" w:lineRule="auto"/>
            </w:pPr>
            <w:r>
              <w:rPr>
                <w:rFonts w:ascii="Calibri" w:hAnsi="Calibri" w:eastAsia="Microsoft YaHei"/>
                <w:color w:val="0B2545"/>
                <w:sz w:val="15"/>
              </w:rPr>
              <w:t>D2</w:t>
            </w:r>
          </w:p>
        </w:tc>
        <w:tc>
          <w:tcPr>
            <w:tcW w:type="dxa" w:w="2100"/>
          </w:tcPr>
          <w:p>
            <w:pPr>
              <w:keepLines/>
              <w:spacing w:after="0" w:line="276" w:lineRule="auto"/>
            </w:pPr>
            <w:r>
              <w:rPr>
                <w:rFonts w:ascii="Calibri" w:hAnsi="Calibri" w:eastAsia="Microsoft YaHei"/>
                <w:color w:val="0B2545"/>
                <w:sz w:val="15"/>
              </w:rPr>
              <w:t>PROBE_SAMPLING；ENGINEERING_SENSOR</w:t>
            </w:r>
          </w:p>
        </w:tc>
        <w:tc>
          <w:tcPr>
            <w:tcW w:type="dxa" w:w="4560"/>
          </w:tcPr>
          <w:p>
            <w:pPr>
              <w:keepLines/>
              <w:spacing w:after="0" w:line="276" w:lineRule="auto"/>
            </w:pPr>
            <w:r>
              <w:rPr>
                <w:rFonts w:ascii="Calibri" w:hAnsi="Calibri" w:eastAsia="Microsoft YaHei"/>
                <w:color w:val="0B2545"/>
                <w:sz w:val="15"/>
              </w:rPr>
              <w:t>ITER-relevant water-loop test</w:t>
            </w:r>
          </w:p>
        </w:tc>
      </w:tr>
    </w:tbl>
    <w:p>
      <w:pPr>
        <w:spacing w:before="0" w:after="60"/>
      </w:pPr>
    </w:p>
    <w:p>
      <w:pPr>
        <w:widowControl/>
      </w:pPr>
      <w:r>
        <w:rPr>
          <w:rFonts w:ascii="Calibri" w:hAnsi="Calibri" w:eastAsia="Microsoft YaHei"/>
          <w:b/>
          <w:color w:val="1F4D78"/>
        </w:rPr>
        <w:t>解决问题：</w:t>
      </w:r>
      <w:r>
        <w:rPr>
          <w:rFonts w:ascii="Calibri" w:hAnsi="Calibri" w:eastAsia="Microsoft YaHei"/>
        </w:rPr>
        <w:t>真空室内水冷通道小泄漏难在运行后快速定位，水蒸气背景和多支路会掩盖源位置。</w:t>
      </w:r>
    </w:p>
    <w:p>
      <w:pPr>
        <w:widowControl/>
      </w:pPr>
      <w:r>
        <w:rPr>
          <w:rFonts w:ascii="Calibri" w:hAnsi="Calibri" w:eastAsia="Microsoft YaHei"/>
          <w:b/>
          <w:color w:val="1F4D78"/>
        </w:rPr>
        <w:t>测量原理：</w:t>
      </w:r>
      <w:r>
        <w:rPr>
          <w:rFonts w:ascii="Calibri" w:hAnsi="Calibri" w:eastAsia="Microsoft YaHei"/>
        </w:rPr>
        <w:t>让 Kr 等可溶示踪气体随冷却水循环，泄漏进入真空后由 QMS 检出，利用输运延迟区分位置；另有 OH*/Xe 光谱定位概念。</w:t>
      </w:r>
    </w:p>
    <w:p>
      <w:pPr>
        <w:widowControl/>
      </w:pPr>
      <w:r>
        <w:rPr>
          <w:rFonts w:ascii="Calibri" w:hAnsi="Calibri" w:eastAsia="Microsoft YaHei"/>
          <w:b/>
          <w:color w:val="1F4D78"/>
        </w:rPr>
        <w:t>测量产品：</w:t>
      </w:r>
      <w:r>
        <w:rPr>
          <w:rFonts w:ascii="Calibri" w:hAnsi="Calibri" w:eastAsia="Microsoft YaHei"/>
        </w:rPr>
        <w:t>示踪气体峰电流 [A]；到达时间 [s]；泄漏率 [Pa m3/s]；估计泄漏位置 [m]</w:t>
      </w:r>
    </w:p>
    <w:p>
      <w:pPr>
        <w:widowControl/>
      </w:pPr>
      <w:r>
        <w:rPr>
          <w:rFonts w:ascii="Calibri" w:hAnsi="Calibri" w:eastAsia="Microsoft YaHei"/>
          <w:b/>
          <w:color w:val="1F4D78"/>
        </w:rPr>
        <w:t>时空分辨与覆盖：</w:t>
      </w:r>
      <w:r>
        <w:rPr>
          <w:rFonts w:ascii="Calibri" w:hAnsi="Calibri" w:eastAsia="Microsoft YaHei"/>
        </w:rPr>
        <w:t>时间：几十秒至分钟，受水路长度、温度和泵速影响；空间：由视线、几何和反演设定；原始来源未给出统一数值。</w:t>
      </w:r>
    </w:p>
    <w:p>
      <w:pPr>
        <w:widowControl/>
      </w:pPr>
      <w:r>
        <w:rPr>
          <w:rFonts w:ascii="Calibri" w:hAnsi="Calibri" w:eastAsia="Microsoft YaHei"/>
          <w:b/>
          <w:color w:val="1F4D78"/>
        </w:rPr>
        <w:t>仪器与传感器：</w:t>
      </w:r>
      <w:r>
        <w:rPr>
          <w:rFonts w:ascii="Calibri" w:hAnsi="Calibri" w:eastAsia="Microsoft YaHei"/>
        </w:rPr>
        <w:t>quadrupole mass spectrometer；tracer injection/concentration；flow/temperature/pressure；spectrometer optional</w:t>
      </w:r>
    </w:p>
    <w:p>
      <w:pPr>
        <w:widowControl/>
      </w:pPr>
      <w:r>
        <w:rPr>
          <w:rFonts w:ascii="Calibri" w:hAnsi="Calibri" w:eastAsia="Microsoft YaHei"/>
          <w:b/>
          <w:color w:val="1F4D78"/>
        </w:rPr>
        <w:t>标定与质量：</w:t>
      </w:r>
      <w:r>
        <w:rPr>
          <w:rFonts w:ascii="Calibri" w:hAnsi="Calibri" w:eastAsia="Microsoft YaHei"/>
        </w:rPr>
        <w:t>通过已知位置、已知泄漏率和受控水温/流量台架建立传输时延与质谱响应，并评估本底和 cryopump 影响。</w:t>
      </w:r>
    </w:p>
    <w:p>
      <w:pPr>
        <w:widowControl/>
      </w:pPr>
      <w:r>
        <w:rPr>
          <w:rFonts w:ascii="Calibri" w:hAnsi="Calibri" w:eastAsia="Microsoft YaHei"/>
          <w:b/>
          <w:color w:val="1F4D78"/>
        </w:rPr>
        <w:t>反演与分析：</w:t>
      </w:r>
      <w:r>
        <w:rPr>
          <w:rFonts w:ascii="Calibri" w:hAnsi="Calibri" w:eastAsia="Microsoft YaHei"/>
        </w:rPr>
        <w:t>根据示踪峰到达时间和冷却回路传输模型反演泄漏区段；公开台架精度不得外推为整机精度。</w:t>
      </w:r>
    </w:p>
    <w:p>
      <w:pPr>
        <w:widowControl/>
      </w:pPr>
      <w:r>
        <w:rPr>
          <w:rFonts w:ascii="Calibri" w:hAnsi="Calibri" w:eastAsia="Microsoft YaHei"/>
          <w:b/>
          <w:color w:val="1F4D78"/>
        </w:rPr>
        <w:t>验证与应用：</w:t>
      </w:r>
      <w:r>
        <w:rPr>
          <w:rFonts w:ascii="Calibri" w:hAnsi="Calibri" w:eastAsia="Microsoft YaHei"/>
        </w:rPr>
        <w:t>水回路台架，两处相距 1 m 的 10^-3 Pa m3/s 级泄漏在特定工况下形成可分峰。</w:t>
      </w:r>
    </w:p>
    <w:p>
      <w:pPr>
        <w:widowControl/>
      </w:pPr>
      <w:r>
        <w:rPr>
          <w:rFonts w:ascii="Calibri" w:hAnsi="Calibri" w:eastAsia="Microsoft YaHei"/>
          <w:b/>
          <w:color w:val="1F4D78"/>
        </w:rPr>
        <w:t>局限与边界：</w:t>
      </w:r>
      <w:r>
        <w:rPr>
          <w:rFonts w:ascii="Calibri" w:hAnsi="Calibri" w:eastAsia="Microsoft YaHei"/>
        </w:rPr>
        <w:t>示踪溶解、壁吸附、多个并发泄漏、背景 QMS 峰和真实几何会破坏简单时间差定位；台架不能替代核设施资格。</w:t>
      </w:r>
    </w:p>
    <w:tbl>
      <w:tblPr>
        <w:tblStyle w:val="TableGrid"/>
        <w:tblW w:type="dxa" w:w="9360"/>
        <w:jc w:val="left"/>
        <w:tblLayout w:type="fixed"/>
        <w:tblLook w:firstColumn="1" w:firstRow="1" w:lastColumn="0" w:lastRow="0" w:noHBand="0" w:noVBand="1" w:val="04A0"/>
        <w:tblInd w:w="120" w:type="dxa"/>
      </w:tblPr>
      <w:tblGrid>
        <w:gridCol w:w="9360"/>
      </w:tblGrid>
      <w:tr>
        <w:trPr>
          <w:cantSplit/>
        </w:trPr>
        <w:tc>
          <w:tcPr>
            <w:tcW w:type="dxa" w:w="9360"/>
            <w:tcMar>
              <w:top w:w="80" w:type="dxa"/>
              <w:bottom w:w="80" w:type="dxa"/>
              <w:start w:w="120" w:type="dxa"/>
              <w:end w:w="120" w:type="dxa"/>
            </w:tcMar>
            <w:vAlign w:val="center"/>
            <w:shd w:fill="EEF7F7"/>
          </w:tcPr>
          <w:p>
            <w:pPr>
              <w:keepNext/>
              <w:keepLines/>
              <w:spacing w:after="40"/>
            </w:pPr>
            <w:r>
              <w:rPr>
                <w:rFonts w:ascii="Calibri" w:hAnsi="Calibri" w:eastAsia="Microsoft YaHei"/>
                <w:b/>
                <w:color w:val="008C95"/>
                <w:sz w:val="17"/>
              </w:rPr>
              <w:t>DIGITAL-TWIN RELEVANCE</w:t>
            </w:r>
          </w:p>
          <w:p>
            <w:pPr>
              <w:spacing w:after="0"/>
            </w:pPr>
            <w:r>
              <w:rPr>
                <w:rFonts w:ascii="Calibri" w:hAnsi="Calibri" w:eastAsia="Microsoft YaHei"/>
                <w:color w:val="0B2545"/>
                <w:sz w:val="20"/>
              </w:rPr>
              <w:t>把水路一维输运、真空泵送和传感器响应组合为泄漏定位孪生，可指导隔离和远程维护。</w:t>
            </w:r>
          </w:p>
        </w:tc>
      </w:tr>
    </w:tbl>
    <w:p>
      <w:pPr>
        <w:spacing w:after="40"/>
      </w:pPr>
    </w:p>
    <w:tbl>
      <w:tblPr>
        <w:tblStyle w:val="TableGrid"/>
        <w:tblW w:type="dxa" w:w="9360"/>
        <w:jc w:val="left"/>
        <w:tblLayout w:type="fixed"/>
        <w:tblLook w:firstColumn="1" w:firstRow="1" w:lastColumn="0" w:lastRow="0" w:noHBand="0" w:noVBand="1" w:val="04A0"/>
        <w:tblInd w:w="120" w:type="dxa"/>
      </w:tblPr>
      <w:tblGrid>
        <w:gridCol w:w="850"/>
        <w:gridCol w:w="2500"/>
        <w:gridCol w:w="1600"/>
        <w:gridCol w:w="2300"/>
        <w:gridCol w:w="2110"/>
      </w:tblGrid>
      <w:tr>
        <w:trPr>
          <w:tblHeader w:val="true"/>
        </w:trPr>
        <w:tc>
          <w:tcPr>
            <w:tcW w:type="dxa" w:w="8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年份/类型</w:t>
            </w:r>
          </w:p>
        </w:tc>
        <w:tc>
          <w:tcPr>
            <w:tcW w:type="dxa" w:w="25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论文或软件</w:t>
            </w:r>
          </w:p>
        </w:tc>
        <w:tc>
          <w:tcPr>
            <w:tcW w:type="dxa" w:w="16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期刊/开放性</w:t>
            </w:r>
          </w:p>
        </w:tc>
        <w:tc>
          <w:tcPr>
            <w:tcW w:type="dxa" w:w="23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来源类型/关系</w:t>
            </w:r>
          </w:p>
        </w:tc>
        <w:tc>
          <w:tcPr>
            <w:tcW w:type="dxa" w:w="211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链接</w:t>
            </w:r>
          </w:p>
        </w:tc>
      </w:tr>
      <w:tr>
        <w:trPr>
          <w:cantSplit/>
        </w:trPr>
        <w:tc>
          <w:tcPr>
            <w:tcW w:type="dxa" w:w="850"/>
          </w:tcPr>
          <w:p>
            <w:pPr>
              <w:keepLines/>
              <w:spacing w:after="0" w:line="276" w:lineRule="auto"/>
            </w:pPr>
            <w:r>
              <w:rPr>
                <w:rFonts w:ascii="Calibri" w:hAnsi="Calibri" w:eastAsia="Microsoft YaHei"/>
                <w:color w:val="0B2545"/>
                <w:sz w:val="14"/>
              </w:rPr>
              <w:t>2008</w:t>
            </w:r>
          </w:p>
        </w:tc>
        <w:tc>
          <w:tcPr>
            <w:tcW w:type="dxa" w:w="2500"/>
          </w:tcPr>
          <w:p>
            <w:pPr>
              <w:keepLines/>
              <w:spacing w:after="0" w:line="276" w:lineRule="auto"/>
            </w:pPr>
            <w:r>
              <w:rPr>
                <w:rFonts w:ascii="Calibri" w:hAnsi="Calibri" w:eastAsia="Microsoft YaHei"/>
                <w:color w:val="0B2545"/>
                <w:sz w:val="14"/>
              </w:rPr>
              <w:t>Development of water leak detection method in fusion reactors using water-soluble gas</w:t>
            </w:r>
          </w:p>
        </w:tc>
        <w:tc>
          <w:tcPr>
            <w:tcW w:type="dxa" w:w="1600"/>
          </w:tcPr>
          <w:p>
            <w:pPr>
              <w:keepLines/>
              <w:spacing w:after="0" w:line="276" w:lineRule="auto"/>
            </w:pPr>
            <w:r>
              <w:rPr>
                <w:rFonts w:ascii="Calibri" w:hAnsi="Calibri" w:eastAsia="Microsoft YaHei"/>
                <w:color w:val="0B2545"/>
                <w:sz w:val="14"/>
              </w:rPr>
              <w:t>Fusion Engineering and Design</w:t>
            </w:r>
          </w:p>
        </w:tc>
        <w:tc>
          <w:tcPr>
            <w:tcW w:type="dxa" w:w="2300"/>
          </w:tcPr>
          <w:p>
            <w:pPr>
              <w:keepLines/>
              <w:spacing w:after="0" w:line="276" w:lineRule="auto"/>
            </w:pPr>
            <w:r>
              <w:rPr>
                <w:rFonts w:ascii="Calibri" w:hAnsi="Calibri" w:eastAsia="Microsoft YaHei"/>
                <w:color w:val="0B2545"/>
                <w:sz w:val="14"/>
              </w:rPr>
              <w:t>peer-reviewed component test</w:t>
            </w:r>
          </w:p>
        </w:tc>
        <w:tc>
          <w:tcPr>
            <w:tcW w:type="dxa" w:w="2110"/>
          </w:tcPr>
          <w:p>
            <w:pPr>
              <w:keepLines/>
              <w:spacing w:after="0" w:line="276" w:lineRule="auto"/>
            </w:pPr>
            <w:hyperlink r:id="rId143">
              <w:r>
                <w:rPr>
                  <w:rFonts w:ascii="Calibri" w:hAnsi="Calibri" w:eastAsia="Microsoft YaHei"/>
                  <w:color w:val="008C95"/>
                  <w:u w:val="single"/>
                </w:rPr>
                <w:t>打开原始来源 ↗</w:t>
              </w:r>
            </w:hyperlink>
          </w:p>
        </w:tc>
      </w:tr>
      <w:tr>
        <w:trPr>
          <w:cantSplit/>
        </w:trPr>
        <w:tc>
          <w:tcPr>
            <w:tcW w:type="dxa" w:w="850"/>
          </w:tcPr>
          <w:p>
            <w:pPr>
              <w:keepLines/>
              <w:spacing w:after="0" w:line="276" w:lineRule="auto"/>
            </w:pPr>
            <w:r>
              <w:rPr>
                <w:rFonts w:ascii="Calibri" w:hAnsi="Calibri" w:eastAsia="Microsoft YaHei"/>
                <w:color w:val="0B2545"/>
                <w:sz w:val="14"/>
              </w:rPr>
              <w:t>2013</w:t>
            </w:r>
          </w:p>
        </w:tc>
        <w:tc>
          <w:tcPr>
            <w:tcW w:type="dxa" w:w="2500"/>
          </w:tcPr>
          <w:p>
            <w:pPr>
              <w:keepLines/>
              <w:spacing w:after="0" w:line="276" w:lineRule="auto"/>
            </w:pPr>
            <w:r>
              <w:rPr>
                <w:rFonts w:ascii="Calibri" w:hAnsi="Calibri" w:eastAsia="Microsoft YaHei"/>
                <w:color w:val="0B2545"/>
                <w:sz w:val="14"/>
              </w:rPr>
              <w:t>Spectroscopic localization of water leaks in ITER</w:t>
            </w:r>
          </w:p>
        </w:tc>
        <w:tc>
          <w:tcPr>
            <w:tcW w:type="dxa" w:w="1600"/>
          </w:tcPr>
          <w:p>
            <w:pPr>
              <w:keepLines/>
              <w:spacing w:after="0" w:line="276" w:lineRule="auto"/>
            </w:pPr>
            <w:r>
              <w:rPr>
                <w:rFonts w:ascii="Calibri" w:hAnsi="Calibri" w:eastAsia="Microsoft YaHei"/>
                <w:color w:val="0B2545"/>
                <w:sz w:val="14"/>
              </w:rPr>
              <w:t>原始论文 / 官方来源</w:t>
            </w:r>
          </w:p>
        </w:tc>
        <w:tc>
          <w:tcPr>
            <w:tcW w:type="dxa" w:w="2300"/>
          </w:tcPr>
          <w:p>
            <w:pPr>
              <w:keepLines/>
              <w:spacing w:after="0" w:line="276" w:lineRule="auto"/>
            </w:pPr>
            <w:r>
              <w:rPr>
                <w:rFonts w:ascii="Calibri" w:hAnsi="Calibri" w:eastAsia="Microsoft YaHei"/>
                <w:color w:val="0B2545"/>
                <w:sz w:val="14"/>
              </w:rPr>
              <w:t>peer-reviewed design/simulation study</w:t>
            </w:r>
          </w:p>
        </w:tc>
        <w:tc>
          <w:tcPr>
            <w:tcW w:type="dxa" w:w="2110"/>
          </w:tcPr>
          <w:p>
            <w:pPr>
              <w:keepLines/>
              <w:spacing w:after="0" w:line="276" w:lineRule="auto"/>
            </w:pPr>
            <w:hyperlink r:id="rId144">
              <w:r>
                <w:rPr>
                  <w:rFonts w:ascii="Calibri" w:hAnsi="Calibri" w:eastAsia="Microsoft YaHei"/>
                  <w:color w:val="008C95"/>
                  <w:u w:val="single"/>
                </w:rPr>
                <w:t>打开原始来源 ↗</w:t>
              </w:r>
            </w:hyperlink>
          </w:p>
        </w:tc>
      </w:tr>
      <w:tr>
        <w:trPr>
          <w:cantSplit/>
        </w:trPr>
        <w:tc>
          <w:tcPr>
            <w:tcW w:type="dxa" w:w="850"/>
          </w:tcPr>
          <w:p>
            <w:pPr>
              <w:keepLines/>
              <w:spacing w:after="0" w:line="276" w:lineRule="auto"/>
            </w:pPr>
            <w:r>
              <w:rPr>
                <w:rFonts w:ascii="Calibri" w:hAnsi="Calibri" w:eastAsia="Microsoft YaHei"/>
                <w:color w:val="0B2545"/>
                <w:sz w:val="14"/>
              </w:rPr>
              <w:t>软件</w:t>
            </w:r>
          </w:p>
        </w:tc>
        <w:tc>
          <w:tcPr>
            <w:tcW w:type="dxa" w:w="2500"/>
          </w:tcPr>
          <w:p>
            <w:pPr>
              <w:keepLines/>
              <w:spacing w:after="0" w:line="276" w:lineRule="auto"/>
            </w:pPr>
            <w:r>
              <w:rPr>
                <w:rFonts w:ascii="Calibri" w:hAnsi="Calibri" w:eastAsia="Microsoft YaHei"/>
                <w:color w:val="0B2545"/>
                <w:sz w:val="14"/>
              </w:rPr>
              <w:t>leak transport/localization model</w:t>
            </w:r>
          </w:p>
        </w:tc>
        <w:tc>
          <w:tcPr>
            <w:tcW w:type="dxa" w:w="1600"/>
          </w:tcPr>
          <w:p>
            <w:pPr>
              <w:keepLines/>
              <w:spacing w:after="0" w:line="276" w:lineRule="auto"/>
            </w:pPr>
            <w:r>
              <w:rPr>
                <w:rFonts w:ascii="Calibri" w:hAnsi="Calibri" w:eastAsia="Microsoft YaHei"/>
                <w:color w:val="0B2545"/>
                <w:sz w:val="14"/>
              </w:rPr>
              <w:t>not-public</w:t>
            </w:r>
          </w:p>
        </w:tc>
        <w:tc>
          <w:tcPr>
            <w:tcW w:type="dxa" w:w="2300"/>
          </w:tcPr>
          <w:p>
            <w:pPr>
              <w:keepLines/>
              <w:spacing w:after="0" w:line="276" w:lineRule="auto"/>
            </w:pPr>
            <w:r>
              <w:rPr>
                <w:rFonts w:ascii="Calibri" w:hAnsi="Calibri" w:eastAsia="Microsoft YaHei"/>
                <w:color w:val="0B2545"/>
                <w:sz w:val="14"/>
              </w:rPr>
              <w:t>未发现公开实现。</w:t>
            </w:r>
          </w:p>
        </w:tc>
        <w:tc>
          <w:tcPr>
            <w:tcW w:type="dxa" w:w="2110"/>
          </w:tcPr>
          <w:p>
            <w:pPr>
              <w:keepLines/>
              <w:spacing w:after="0" w:line="276" w:lineRule="auto"/>
            </w:pPr>
            <w:r>
              <w:rPr>
                <w:rFonts w:ascii="Calibri" w:hAnsi="Calibri" w:eastAsia="Microsoft YaHei"/>
                <w:color w:val="0B2545"/>
                <w:sz w:val="14"/>
              </w:rPr>
              <w:t>未公开</w:t>
            </w:r>
          </w:p>
        </w:tc>
      </w:tr>
    </w:tbl>
    <w:p>
      <w:pPr>
        <w:spacing w:before="0" w:after="60"/>
      </w:pPr>
    </w:p>
    <w:p>
      <w:pPr>
        <w:pStyle w:val="Heading3"/>
        <w:keepNext/>
      </w:pPr>
      <w:r>
        <w:t>DG8.13  JET 氚燃料循环在线气相色谱与物料衡算</w:t>
      </w:r>
    </w:p>
    <w:p>
      <w:pPr>
        <w:keepNext/>
        <w:spacing w:after="80"/>
      </w:pPr>
      <w:r>
        <w:rPr>
          <w:rFonts w:ascii="Calibri" w:hAnsi="Calibri" w:eastAsia="Microsoft YaHei"/>
          <w:i/>
          <w:color w:val="566573"/>
          <w:sz w:val="18"/>
        </w:rPr>
        <w:t>JET tritium-fuel-cycle gas chromatography and material accountancy</w:t>
      </w:r>
    </w:p>
    <w:tbl>
      <w:tblPr>
        <w:tblStyle w:val="TableGrid"/>
        <w:tblW w:type="dxa" w:w="9360"/>
        <w:jc w:val="left"/>
        <w:tblLayout w:type="fixed"/>
        <w:tblLook w:firstColumn="1" w:firstRow="1" w:lastColumn="0" w:lastRow="0" w:noHBand="0" w:noVBand="1" w:val="04A0"/>
        <w:tblInd w:w="120" w:type="dxa"/>
      </w:tblPr>
      <w:tblGrid>
        <w:gridCol w:w="1200"/>
        <w:gridCol w:w="750"/>
        <w:gridCol w:w="750"/>
        <w:gridCol w:w="2100"/>
        <w:gridCol w:w="4560"/>
      </w:tblGrid>
      <w:tr>
        <w:trPr>
          <w:tblHeader w:val="true"/>
        </w:trPr>
        <w:tc>
          <w:tcPr>
            <w:tcW w:type="dxa" w:w="12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工作 ID</w:t>
            </w:r>
          </w:p>
        </w:tc>
        <w:tc>
          <w:tcPr>
            <w:tcW w:type="dxa" w:w="7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证据</w:t>
            </w:r>
          </w:p>
        </w:tc>
        <w:tc>
          <w:tcPr>
            <w:tcW w:type="dxa" w:w="7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部署</w:t>
            </w:r>
          </w:p>
        </w:tc>
        <w:tc>
          <w:tcPr>
            <w:tcW w:type="dxa" w:w="21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技术族</w:t>
            </w:r>
          </w:p>
        </w:tc>
        <w:tc>
          <w:tcPr>
            <w:tcW w:type="dxa" w:w="456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装置</w:t>
            </w:r>
          </w:p>
        </w:tc>
      </w:tr>
      <w:tr>
        <w:trPr>
          <w:cantSplit/>
        </w:trPr>
        <w:tc>
          <w:tcPr>
            <w:tcW w:type="dxa" w:w="1200"/>
          </w:tcPr>
          <w:p>
            <w:pPr>
              <w:keepLines/>
              <w:spacing w:after="0" w:line="276" w:lineRule="auto"/>
            </w:pPr>
            <w:r>
              <w:rPr>
                <w:rFonts w:ascii="Calibri" w:hAnsi="Calibri" w:eastAsia="Microsoft YaHei"/>
                <w:color w:val="0B2545"/>
                <w:sz w:val="15"/>
              </w:rPr>
              <w:t>PDT-012</w:t>
            </w:r>
          </w:p>
        </w:tc>
        <w:tc>
          <w:tcPr>
            <w:tcW w:type="dxa" w:w="750"/>
          </w:tcPr>
          <w:p>
            <w:pPr>
              <w:keepLines/>
              <w:spacing w:after="0" w:line="276" w:lineRule="auto"/>
            </w:pPr>
            <w:r>
              <w:rPr>
                <w:rFonts w:ascii="Calibri" w:hAnsi="Calibri" w:eastAsia="Microsoft YaHei"/>
                <w:color w:val="0B2545"/>
                <w:sz w:val="15"/>
              </w:rPr>
              <w:t>E4</w:t>
            </w:r>
          </w:p>
        </w:tc>
        <w:tc>
          <w:tcPr>
            <w:tcW w:type="dxa" w:w="750"/>
          </w:tcPr>
          <w:p>
            <w:pPr>
              <w:keepLines/>
              <w:spacing w:after="0" w:line="276" w:lineRule="auto"/>
            </w:pPr>
            <w:r>
              <w:rPr>
                <w:rFonts w:ascii="Calibri" w:hAnsi="Calibri" w:eastAsia="Microsoft YaHei"/>
                <w:color w:val="0B2545"/>
                <w:sz w:val="15"/>
              </w:rPr>
              <w:t>D4</w:t>
            </w:r>
          </w:p>
        </w:tc>
        <w:tc>
          <w:tcPr>
            <w:tcW w:type="dxa" w:w="2100"/>
          </w:tcPr>
          <w:p>
            <w:pPr>
              <w:keepLines/>
              <w:spacing w:after="0" w:line="276" w:lineRule="auto"/>
            </w:pPr>
            <w:r>
              <w:rPr>
                <w:rFonts w:ascii="Calibri" w:hAnsi="Calibri" w:eastAsia="Microsoft YaHei"/>
                <w:color w:val="0B2545"/>
                <w:sz w:val="15"/>
              </w:rPr>
              <w:t>PROBE_SAMPLING；COMPUTATIONAL</w:t>
            </w:r>
          </w:p>
        </w:tc>
        <w:tc>
          <w:tcPr>
            <w:tcW w:type="dxa" w:w="4560"/>
          </w:tcPr>
          <w:p>
            <w:pPr>
              <w:keepLines/>
              <w:spacing w:after="0" w:line="276" w:lineRule="auto"/>
            </w:pPr>
            <w:r>
              <w:rPr>
                <w:rFonts w:ascii="Calibri" w:hAnsi="Calibri" w:eastAsia="Microsoft YaHei"/>
                <w:color w:val="0B2545"/>
                <w:sz w:val="15"/>
              </w:rPr>
              <w:t>JET Active Gas Handling System</w:t>
            </w:r>
          </w:p>
        </w:tc>
      </w:tr>
    </w:tbl>
    <w:p>
      <w:pPr>
        <w:spacing w:before="0" w:after="60"/>
      </w:pPr>
    </w:p>
    <w:p>
      <w:pPr>
        <w:widowControl/>
      </w:pPr>
      <w:r>
        <w:rPr>
          <w:rFonts w:ascii="Calibri" w:hAnsi="Calibri" w:eastAsia="Microsoft YaHei"/>
          <w:b/>
          <w:color w:val="1F4D78"/>
        </w:rPr>
        <w:t>解决问题：</w:t>
      </w:r>
      <w:r>
        <w:rPr>
          <w:rFonts w:ascii="Calibri" w:hAnsi="Calibri" w:eastAsia="Microsoft YaHei"/>
        </w:rPr>
        <w:t>AGHS 需分析 H/D/T、氦和含氚杂质，支持同位素分离、回收、再供给与安全物料衡算。</w:t>
      </w:r>
    </w:p>
    <w:p>
      <w:pPr>
        <w:widowControl/>
      </w:pPr>
      <w:r>
        <w:rPr>
          <w:rFonts w:ascii="Calibri" w:hAnsi="Calibri" w:eastAsia="Microsoft YaHei"/>
          <w:b/>
          <w:color w:val="1F4D78"/>
        </w:rPr>
        <w:t>测量原理：</w:t>
      </w:r>
      <w:r>
        <w:rPr>
          <w:rFonts w:ascii="Calibri" w:hAnsi="Calibri" w:eastAsia="Microsoft YaHei"/>
        </w:rPr>
        <w:t>中央 analytical GC 通过长取样管连接各子系统，使用 thermal-conductivity、flame-ionization 和 ionization-chamber detectors；建立校准因子、精度和最低检出限。</w:t>
      </w:r>
    </w:p>
    <w:p>
      <w:pPr>
        <w:widowControl/>
      </w:pPr>
      <w:r>
        <w:rPr>
          <w:rFonts w:ascii="Calibri" w:hAnsi="Calibri" w:eastAsia="Microsoft YaHei"/>
          <w:b/>
          <w:color w:val="1F4D78"/>
        </w:rPr>
        <w:t>测量产品：</w:t>
      </w:r>
      <w:r>
        <w:rPr>
          <w:rFonts w:ascii="Calibri" w:hAnsi="Calibri" w:eastAsia="Microsoft YaHei"/>
        </w:rPr>
        <w:t>氢同位素/杂质浓度；色谱保留时间 [s]；批次/流量；氚库存与衡算差</w:t>
      </w:r>
    </w:p>
    <w:p>
      <w:pPr>
        <w:widowControl/>
      </w:pPr>
      <w:r>
        <w:rPr>
          <w:rFonts w:ascii="Calibri" w:hAnsi="Calibri" w:eastAsia="Microsoft YaHei"/>
          <w:b/>
          <w:color w:val="1F4D78"/>
        </w:rPr>
        <w:t>时空分辨与覆盖：</w:t>
      </w:r>
      <w:r>
        <w:rPr>
          <w:rFonts w:ascii="Calibri" w:hAnsi="Calibri" w:eastAsia="Microsoft YaHei"/>
        </w:rPr>
        <w:t>时间：批次采样/分钟级分析与 campaign 物料衡算；空间：由视线、几何和反演设定；原始来源未给出统一数值。</w:t>
      </w:r>
    </w:p>
    <w:p>
      <w:pPr>
        <w:widowControl/>
      </w:pPr>
      <w:r>
        <w:rPr>
          <w:rFonts w:ascii="Calibri" w:hAnsi="Calibri" w:eastAsia="Microsoft YaHei"/>
          <w:b/>
          <w:color w:val="1F4D78"/>
        </w:rPr>
        <w:t>仪器与传感器：</w:t>
      </w:r>
      <w:r>
        <w:rPr>
          <w:rFonts w:ascii="Calibri" w:hAnsi="Calibri" w:eastAsia="Microsoft YaHei"/>
        </w:rPr>
        <w:t>gas chromatographs；TCD；FID；ionization chambers；mass spectrometers</w:t>
      </w:r>
    </w:p>
    <w:p>
      <w:pPr>
        <w:widowControl/>
      </w:pPr>
      <w:r>
        <w:rPr>
          <w:rFonts w:ascii="Calibri" w:hAnsi="Calibri" w:eastAsia="Microsoft YaHei"/>
          <w:b/>
          <w:color w:val="1F4D78"/>
        </w:rPr>
        <w:t>标定与质量：</w:t>
      </w:r>
      <w:r>
        <w:rPr>
          <w:rFonts w:ascii="Calibri" w:hAnsi="Calibri" w:eastAsia="Microsoft YaHei"/>
        </w:rPr>
        <w:t>使用可追溯标准混合气、保留时间和响应因子校准，并以批次样品、流量计和库存记录进行交叉核对。</w:t>
      </w:r>
    </w:p>
    <w:p>
      <w:pPr>
        <w:widowControl/>
      </w:pPr>
      <w:r>
        <w:rPr>
          <w:rFonts w:ascii="Calibri" w:hAnsi="Calibri" w:eastAsia="Microsoft YaHei"/>
          <w:b/>
          <w:color w:val="1F4D78"/>
        </w:rPr>
        <w:t>反演与分析：</w:t>
      </w:r>
      <w:r>
        <w:rPr>
          <w:rFonts w:ascii="Calibri" w:hAnsi="Calibri" w:eastAsia="Microsoft YaHei"/>
        </w:rPr>
        <w:t>色谱峰识别/积分与过程流量、容器状态联合，形成带时间戳的组分和物料衡算。</w:t>
      </w:r>
    </w:p>
    <w:p>
      <w:pPr>
        <w:widowControl/>
      </w:pPr>
      <w:r>
        <w:rPr>
          <w:rFonts w:ascii="Calibri" w:hAnsi="Calibri" w:eastAsia="Microsoft YaHei"/>
          <w:b/>
          <w:color w:val="1F4D78"/>
        </w:rPr>
        <w:t>验证与应用：</w:t>
      </w:r>
      <w:r>
        <w:rPr>
          <w:rFonts w:ascii="Calibri" w:hAnsi="Calibri" w:eastAsia="Microsoft YaHei"/>
        </w:rPr>
        <w:t>JET DTE1 氚装置 commissioning 和在线运行，论文记录约 318 次分析；近期 D-T campaigns 形成更大运行经验。</w:t>
      </w:r>
    </w:p>
    <w:p>
      <w:pPr>
        <w:widowControl/>
      </w:pPr>
      <w:r>
        <w:rPr>
          <w:rFonts w:ascii="Calibri" w:hAnsi="Calibri" w:eastAsia="Microsoft YaHei"/>
          <w:b/>
          <w:color w:val="1F4D78"/>
        </w:rPr>
        <w:t>局限与边界：</w:t>
      </w:r>
      <w:r>
        <w:rPr>
          <w:rFonts w:ascii="Calibri" w:hAnsi="Calibri" w:eastAsia="Microsoft YaHei"/>
        </w:rPr>
        <w:t>取样延迟、记忆效应、手工转移和测量不确定度影响动态 inventory；历史 JET 系统不能直接满足未来监管要求。</w:t>
      </w:r>
    </w:p>
    <w:tbl>
      <w:tblPr>
        <w:tblStyle w:val="TableGrid"/>
        <w:tblW w:type="dxa" w:w="9360"/>
        <w:jc w:val="left"/>
        <w:tblLayout w:type="fixed"/>
        <w:tblLook w:firstColumn="1" w:firstRow="1" w:lastColumn="0" w:lastRow="0" w:noHBand="0" w:noVBand="1" w:val="04A0"/>
        <w:tblInd w:w="120" w:type="dxa"/>
      </w:tblPr>
      <w:tblGrid>
        <w:gridCol w:w="9360"/>
      </w:tblGrid>
      <w:tr>
        <w:trPr>
          <w:cantSplit/>
        </w:trPr>
        <w:tc>
          <w:tcPr>
            <w:tcW w:type="dxa" w:w="9360"/>
            <w:tcMar>
              <w:top w:w="80" w:type="dxa"/>
              <w:bottom w:w="80" w:type="dxa"/>
              <w:start w:w="120" w:type="dxa"/>
              <w:end w:w="120" w:type="dxa"/>
            </w:tcMar>
            <w:vAlign w:val="center"/>
            <w:shd w:fill="EEF7F7"/>
          </w:tcPr>
          <w:p>
            <w:pPr>
              <w:keepNext/>
              <w:keepLines/>
              <w:spacing w:after="40"/>
            </w:pPr>
            <w:r>
              <w:rPr>
                <w:rFonts w:ascii="Calibri" w:hAnsi="Calibri" w:eastAsia="Microsoft YaHei"/>
                <w:b/>
                <w:color w:val="008C95"/>
                <w:sz w:val="17"/>
              </w:rPr>
              <w:t>DIGITAL-TWIN RELEVANCE</w:t>
            </w:r>
          </w:p>
          <w:p>
            <w:pPr>
              <w:spacing w:after="0"/>
            </w:pPr>
            <w:r>
              <w:rPr>
                <w:rFonts w:ascii="Calibri" w:hAnsi="Calibri" w:eastAsia="Microsoft YaHei"/>
                <w:color w:val="0B2545"/>
                <w:sz w:val="20"/>
              </w:rPr>
              <w:t>应将每次转移、容器状态、分析结果与不确定度写入守恒账本，做动态氚 inventory reconciliation。</w:t>
            </w:r>
          </w:p>
        </w:tc>
      </w:tr>
    </w:tbl>
    <w:p>
      <w:pPr>
        <w:spacing w:after="40"/>
      </w:pPr>
    </w:p>
    <w:tbl>
      <w:tblPr>
        <w:tblStyle w:val="TableGrid"/>
        <w:tblW w:type="dxa" w:w="9360"/>
        <w:jc w:val="left"/>
        <w:tblLayout w:type="fixed"/>
        <w:tblLook w:firstColumn="1" w:firstRow="1" w:lastColumn="0" w:lastRow="0" w:noHBand="0" w:noVBand="1" w:val="04A0"/>
        <w:tblInd w:w="120" w:type="dxa"/>
      </w:tblPr>
      <w:tblGrid>
        <w:gridCol w:w="850"/>
        <w:gridCol w:w="2500"/>
        <w:gridCol w:w="1600"/>
        <w:gridCol w:w="2300"/>
        <w:gridCol w:w="2110"/>
      </w:tblGrid>
      <w:tr>
        <w:trPr>
          <w:tblHeader w:val="true"/>
        </w:trPr>
        <w:tc>
          <w:tcPr>
            <w:tcW w:type="dxa" w:w="8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年份/类型</w:t>
            </w:r>
          </w:p>
        </w:tc>
        <w:tc>
          <w:tcPr>
            <w:tcW w:type="dxa" w:w="25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论文或软件</w:t>
            </w:r>
          </w:p>
        </w:tc>
        <w:tc>
          <w:tcPr>
            <w:tcW w:type="dxa" w:w="16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期刊/开放性</w:t>
            </w:r>
          </w:p>
        </w:tc>
        <w:tc>
          <w:tcPr>
            <w:tcW w:type="dxa" w:w="23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来源类型/关系</w:t>
            </w:r>
          </w:p>
        </w:tc>
        <w:tc>
          <w:tcPr>
            <w:tcW w:type="dxa" w:w="211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链接</w:t>
            </w:r>
          </w:p>
        </w:tc>
      </w:tr>
      <w:tr>
        <w:trPr>
          <w:cantSplit/>
        </w:trPr>
        <w:tc>
          <w:tcPr>
            <w:tcW w:type="dxa" w:w="850"/>
          </w:tcPr>
          <w:p>
            <w:pPr>
              <w:keepLines/>
              <w:spacing w:after="0" w:line="276" w:lineRule="auto"/>
            </w:pPr>
            <w:r>
              <w:rPr>
                <w:rFonts w:ascii="Calibri" w:hAnsi="Calibri" w:eastAsia="Microsoft YaHei"/>
                <w:color w:val="0B2545"/>
                <w:sz w:val="14"/>
              </w:rPr>
              <w:t>1999</w:t>
            </w:r>
          </w:p>
        </w:tc>
        <w:tc>
          <w:tcPr>
            <w:tcW w:type="dxa" w:w="2500"/>
          </w:tcPr>
          <w:p>
            <w:pPr>
              <w:keepLines/>
              <w:spacing w:after="0" w:line="276" w:lineRule="auto"/>
            </w:pPr>
            <w:r>
              <w:rPr>
                <w:rFonts w:ascii="Calibri" w:hAnsi="Calibri" w:eastAsia="Microsoft YaHei"/>
                <w:color w:val="0B2545"/>
                <w:sz w:val="14"/>
              </w:rPr>
              <w:t>The analytical gas chromatographic system of the JET Active Gas Handling System — tritium commissioning and use during DTE1</w:t>
            </w:r>
          </w:p>
        </w:tc>
        <w:tc>
          <w:tcPr>
            <w:tcW w:type="dxa" w:w="1600"/>
          </w:tcPr>
          <w:p>
            <w:pPr>
              <w:keepLines/>
              <w:spacing w:after="0" w:line="276" w:lineRule="auto"/>
            </w:pPr>
            <w:r>
              <w:rPr>
                <w:rFonts w:ascii="Calibri" w:hAnsi="Calibri" w:eastAsia="Microsoft YaHei"/>
                <w:color w:val="0B2545"/>
                <w:sz w:val="14"/>
              </w:rPr>
              <w:t>Fusion Engineering and Design</w:t>
            </w:r>
          </w:p>
        </w:tc>
        <w:tc>
          <w:tcPr>
            <w:tcW w:type="dxa" w:w="2300"/>
          </w:tcPr>
          <w:p>
            <w:pPr>
              <w:keepLines/>
              <w:spacing w:after="0" w:line="276" w:lineRule="auto"/>
            </w:pPr>
            <w:r>
              <w:rPr>
                <w:rFonts w:ascii="Calibri" w:hAnsi="Calibri" w:eastAsia="Microsoft YaHei"/>
                <w:color w:val="0B2545"/>
                <w:sz w:val="14"/>
              </w:rPr>
              <w:t>peer-reviewed plant-operation paper</w:t>
            </w:r>
          </w:p>
        </w:tc>
        <w:tc>
          <w:tcPr>
            <w:tcW w:type="dxa" w:w="2110"/>
          </w:tcPr>
          <w:p>
            <w:pPr>
              <w:keepLines/>
              <w:spacing w:after="0" w:line="276" w:lineRule="auto"/>
            </w:pPr>
            <w:hyperlink r:id="rId145">
              <w:r>
                <w:rPr>
                  <w:rFonts w:ascii="Calibri" w:hAnsi="Calibri" w:eastAsia="Microsoft YaHei"/>
                  <w:color w:val="008C95"/>
                  <w:u w:val="single"/>
                </w:rPr>
                <w:t>打开原始来源 ↗</w:t>
              </w:r>
            </w:hyperlink>
          </w:p>
        </w:tc>
      </w:tr>
      <w:tr>
        <w:trPr>
          <w:cantSplit/>
        </w:trPr>
        <w:tc>
          <w:tcPr>
            <w:tcW w:type="dxa" w:w="850"/>
          </w:tcPr>
          <w:p>
            <w:pPr>
              <w:keepLines/>
              <w:spacing w:after="0" w:line="276" w:lineRule="auto"/>
            </w:pPr>
            <w:r>
              <w:rPr>
                <w:rFonts w:ascii="Calibri" w:hAnsi="Calibri" w:eastAsia="Microsoft YaHei"/>
                <w:color w:val="0B2545"/>
                <w:sz w:val="14"/>
              </w:rPr>
              <w:t>2024</w:t>
            </w:r>
          </w:p>
        </w:tc>
        <w:tc>
          <w:tcPr>
            <w:tcW w:type="dxa" w:w="2500"/>
          </w:tcPr>
          <w:p>
            <w:pPr>
              <w:keepLines/>
              <w:spacing w:after="0" w:line="276" w:lineRule="auto"/>
            </w:pPr>
            <w:r>
              <w:rPr>
                <w:rFonts w:ascii="Calibri" w:hAnsi="Calibri" w:eastAsia="Microsoft YaHei"/>
                <w:color w:val="0B2545"/>
                <w:sz w:val="14"/>
              </w:rPr>
              <w:t>JET Active Gas Handling System—operating experience and lessons learned from recent D-T campaigns</w:t>
            </w:r>
          </w:p>
        </w:tc>
        <w:tc>
          <w:tcPr>
            <w:tcW w:type="dxa" w:w="1600"/>
          </w:tcPr>
          <w:p>
            <w:pPr>
              <w:keepLines/>
              <w:spacing w:after="0" w:line="276" w:lineRule="auto"/>
            </w:pPr>
            <w:r>
              <w:rPr>
                <w:rFonts w:ascii="Calibri" w:hAnsi="Calibri" w:eastAsia="Microsoft YaHei"/>
                <w:color w:val="0B2545"/>
                <w:sz w:val="14"/>
              </w:rPr>
              <w:t>原始论文 / 官方来源</w:t>
            </w:r>
          </w:p>
        </w:tc>
        <w:tc>
          <w:tcPr>
            <w:tcW w:type="dxa" w:w="2300"/>
          </w:tcPr>
          <w:p>
            <w:pPr>
              <w:keepLines/>
              <w:spacing w:after="0" w:line="276" w:lineRule="auto"/>
            </w:pPr>
            <w:r>
              <w:rPr>
                <w:rFonts w:ascii="Calibri" w:hAnsi="Calibri" w:eastAsia="Microsoft YaHei"/>
                <w:color w:val="0B2545"/>
                <w:sz w:val="14"/>
              </w:rPr>
              <w:t>facility-team primary operations paper</w:t>
            </w:r>
          </w:p>
        </w:tc>
        <w:tc>
          <w:tcPr>
            <w:tcW w:type="dxa" w:w="2110"/>
          </w:tcPr>
          <w:p>
            <w:pPr>
              <w:keepLines/>
              <w:spacing w:after="0" w:line="276" w:lineRule="auto"/>
            </w:pPr>
            <w:hyperlink r:id="rId146">
              <w:r>
                <w:rPr>
                  <w:rFonts w:ascii="Calibri" w:hAnsi="Calibri" w:eastAsia="Microsoft YaHei"/>
                  <w:color w:val="008C95"/>
                  <w:u w:val="single"/>
                </w:rPr>
                <w:t>打开原始来源 ↗</w:t>
              </w:r>
            </w:hyperlink>
          </w:p>
        </w:tc>
      </w:tr>
      <w:tr>
        <w:trPr>
          <w:cantSplit/>
        </w:trPr>
        <w:tc>
          <w:tcPr>
            <w:tcW w:type="dxa" w:w="850"/>
          </w:tcPr>
          <w:p>
            <w:pPr>
              <w:keepLines/>
              <w:spacing w:after="0" w:line="276" w:lineRule="auto"/>
            </w:pPr>
            <w:r>
              <w:rPr>
                <w:rFonts w:ascii="Calibri" w:hAnsi="Calibri" w:eastAsia="Microsoft YaHei"/>
                <w:color w:val="0B2545"/>
                <w:sz w:val="14"/>
              </w:rPr>
              <w:t>软件</w:t>
            </w:r>
          </w:p>
        </w:tc>
        <w:tc>
          <w:tcPr>
            <w:tcW w:type="dxa" w:w="2500"/>
          </w:tcPr>
          <w:p>
            <w:pPr>
              <w:keepLines/>
              <w:spacing w:after="0" w:line="276" w:lineRule="auto"/>
            </w:pPr>
            <w:r>
              <w:rPr>
                <w:rFonts w:ascii="Calibri" w:hAnsi="Calibri" w:eastAsia="Microsoft YaHei"/>
                <w:color w:val="0B2545"/>
                <w:sz w:val="14"/>
              </w:rPr>
              <w:t>JET AGHS process control/accountancy</w:t>
            </w:r>
          </w:p>
        </w:tc>
        <w:tc>
          <w:tcPr>
            <w:tcW w:type="dxa" w:w="1600"/>
          </w:tcPr>
          <w:p>
            <w:pPr>
              <w:keepLines/>
              <w:spacing w:after="0" w:line="276" w:lineRule="auto"/>
            </w:pPr>
            <w:r>
              <w:rPr>
                <w:rFonts w:ascii="Calibri" w:hAnsi="Calibri" w:eastAsia="Microsoft YaHei"/>
                <w:color w:val="0B2545"/>
                <w:sz w:val="14"/>
              </w:rPr>
              <w:t>not-public</w:t>
            </w:r>
          </w:p>
        </w:tc>
        <w:tc>
          <w:tcPr>
            <w:tcW w:type="dxa" w:w="2300"/>
          </w:tcPr>
          <w:p>
            <w:pPr>
              <w:keepLines/>
              <w:spacing w:after="0" w:line="276" w:lineRule="auto"/>
            </w:pPr>
            <w:r>
              <w:rPr>
                <w:rFonts w:ascii="Calibri" w:hAnsi="Calibri" w:eastAsia="Microsoft YaHei"/>
                <w:color w:val="0B2545"/>
                <w:sz w:val="14"/>
              </w:rPr>
              <w:t>生产 DCS、配方和账户数据库未公开。</w:t>
            </w:r>
          </w:p>
        </w:tc>
        <w:tc>
          <w:tcPr>
            <w:tcW w:type="dxa" w:w="2110"/>
          </w:tcPr>
          <w:p>
            <w:pPr>
              <w:keepLines/>
              <w:spacing w:after="0" w:line="276" w:lineRule="auto"/>
            </w:pPr>
            <w:r>
              <w:rPr>
                <w:rFonts w:ascii="Calibri" w:hAnsi="Calibri" w:eastAsia="Microsoft YaHei"/>
                <w:color w:val="0B2545"/>
                <w:sz w:val="14"/>
              </w:rPr>
              <w:t>未公开</w:t>
            </w:r>
          </w:p>
        </w:tc>
      </w:tr>
    </w:tbl>
    <w:p>
      <w:pPr>
        <w:spacing w:before="0" w:after="60"/>
      </w:pPr>
    </w:p>
    <w:p>
      <w:pPr>
        <w:pStyle w:val="Heading3"/>
        <w:keepNext/>
      </w:pPr>
      <w:r>
        <w:t>DG8.14  DEMO 实时激光拉曼氚过程气体分析原型</w:t>
      </w:r>
    </w:p>
    <w:p>
      <w:pPr>
        <w:keepNext/>
        <w:spacing w:after="80"/>
      </w:pPr>
      <w:r>
        <w:rPr>
          <w:rFonts w:ascii="Calibri" w:hAnsi="Calibri" w:eastAsia="Microsoft YaHei"/>
          <w:i/>
          <w:color w:val="566573"/>
          <w:sz w:val="18"/>
        </w:rPr>
        <w:t>Compact real-time laser Raman process-gas analysis prototype for DEMO tritium accountancy</w:t>
      </w:r>
    </w:p>
    <w:tbl>
      <w:tblPr>
        <w:tblStyle w:val="TableGrid"/>
        <w:tblW w:type="dxa" w:w="9360"/>
        <w:jc w:val="left"/>
        <w:tblLayout w:type="fixed"/>
        <w:tblLook w:firstColumn="1" w:firstRow="1" w:lastColumn="0" w:lastRow="0" w:noHBand="0" w:noVBand="1" w:val="04A0"/>
        <w:tblInd w:w="120" w:type="dxa"/>
      </w:tblPr>
      <w:tblGrid>
        <w:gridCol w:w="1200"/>
        <w:gridCol w:w="750"/>
        <w:gridCol w:w="750"/>
        <w:gridCol w:w="2100"/>
        <w:gridCol w:w="4560"/>
      </w:tblGrid>
      <w:tr>
        <w:trPr>
          <w:tblHeader w:val="true"/>
        </w:trPr>
        <w:tc>
          <w:tcPr>
            <w:tcW w:type="dxa" w:w="12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工作 ID</w:t>
            </w:r>
          </w:p>
        </w:tc>
        <w:tc>
          <w:tcPr>
            <w:tcW w:type="dxa" w:w="7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证据</w:t>
            </w:r>
          </w:p>
        </w:tc>
        <w:tc>
          <w:tcPr>
            <w:tcW w:type="dxa" w:w="7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部署</w:t>
            </w:r>
          </w:p>
        </w:tc>
        <w:tc>
          <w:tcPr>
            <w:tcW w:type="dxa" w:w="21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技术族</w:t>
            </w:r>
          </w:p>
        </w:tc>
        <w:tc>
          <w:tcPr>
            <w:tcW w:type="dxa" w:w="456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装置</w:t>
            </w:r>
          </w:p>
        </w:tc>
      </w:tr>
      <w:tr>
        <w:trPr>
          <w:cantSplit/>
        </w:trPr>
        <w:tc>
          <w:tcPr>
            <w:tcW w:type="dxa" w:w="1200"/>
          </w:tcPr>
          <w:p>
            <w:pPr>
              <w:keepLines/>
              <w:spacing w:after="0" w:line="276" w:lineRule="auto"/>
            </w:pPr>
            <w:r>
              <w:rPr>
                <w:rFonts w:ascii="Calibri" w:hAnsi="Calibri" w:eastAsia="Microsoft YaHei"/>
                <w:color w:val="0B2545"/>
                <w:sz w:val="15"/>
              </w:rPr>
              <w:t>PDT-013</w:t>
            </w:r>
          </w:p>
        </w:tc>
        <w:tc>
          <w:tcPr>
            <w:tcW w:type="dxa" w:w="750"/>
          </w:tcPr>
          <w:p>
            <w:pPr>
              <w:keepLines/>
              <w:spacing w:after="0" w:line="276" w:lineRule="auto"/>
            </w:pPr>
            <w:r>
              <w:rPr>
                <w:rFonts w:ascii="Calibri" w:hAnsi="Calibri" w:eastAsia="Microsoft YaHei"/>
                <w:color w:val="0B2545"/>
                <w:sz w:val="15"/>
              </w:rPr>
              <w:t>E2</w:t>
            </w:r>
          </w:p>
        </w:tc>
        <w:tc>
          <w:tcPr>
            <w:tcW w:type="dxa" w:w="750"/>
          </w:tcPr>
          <w:p>
            <w:pPr>
              <w:keepLines/>
              <w:spacing w:after="0" w:line="276" w:lineRule="auto"/>
            </w:pPr>
            <w:r>
              <w:rPr>
                <w:rFonts w:ascii="Calibri" w:hAnsi="Calibri" w:eastAsia="Microsoft YaHei"/>
                <w:color w:val="0B2545"/>
                <w:sz w:val="15"/>
              </w:rPr>
              <w:t>D2</w:t>
            </w:r>
          </w:p>
        </w:tc>
        <w:tc>
          <w:tcPr>
            <w:tcW w:type="dxa" w:w="2100"/>
          </w:tcPr>
          <w:p>
            <w:pPr>
              <w:keepLines/>
              <w:spacing w:after="0" w:line="276" w:lineRule="auto"/>
            </w:pPr>
            <w:r>
              <w:rPr>
                <w:rFonts w:ascii="Calibri" w:hAnsi="Calibri" w:eastAsia="Microsoft YaHei"/>
                <w:color w:val="0B2545"/>
                <w:sz w:val="15"/>
              </w:rPr>
              <w:t>LASER；PROBE_SAMPLING；COMPUTATIONAL</w:t>
            </w:r>
          </w:p>
        </w:tc>
        <w:tc>
          <w:tcPr>
            <w:tcW w:type="dxa" w:w="4560"/>
          </w:tcPr>
          <w:p>
            <w:pPr>
              <w:keepLines/>
              <w:spacing w:after="0" w:line="276" w:lineRule="auto"/>
            </w:pPr>
            <w:r>
              <w:rPr>
                <w:rFonts w:ascii="Calibri" w:hAnsi="Calibri" w:eastAsia="Microsoft YaHei"/>
                <w:color w:val="0B2545"/>
                <w:sz w:val="15"/>
              </w:rPr>
              <w:t>DEMO fuel-cycle prototype</w:t>
            </w:r>
          </w:p>
        </w:tc>
      </w:tr>
    </w:tbl>
    <w:p>
      <w:pPr>
        <w:spacing w:before="0" w:after="60"/>
      </w:pPr>
    </w:p>
    <w:p>
      <w:pPr>
        <w:widowControl/>
      </w:pPr>
      <w:r>
        <w:rPr>
          <w:rFonts w:ascii="Calibri" w:hAnsi="Calibri" w:eastAsia="Microsoft YaHei"/>
          <w:b/>
          <w:color w:val="1F4D78"/>
        </w:rPr>
        <w:t>解决问题：</w:t>
      </w:r>
      <w:r>
        <w:rPr>
          <w:rFonts w:ascii="Calibri" w:hAnsi="Calibri" w:eastAsia="Microsoft YaHei"/>
        </w:rPr>
        <w:t>未来燃料循环流程多、存量大，离线取样无法及时闭合动态氚账户或控制同位素分离。</w:t>
      </w:r>
    </w:p>
    <w:p>
      <w:pPr>
        <w:widowControl/>
      </w:pPr>
      <w:r>
        <w:rPr>
          <w:rFonts w:ascii="Calibri" w:hAnsi="Calibri" w:eastAsia="Microsoft YaHei"/>
          <w:b/>
          <w:color w:val="1F4D78"/>
        </w:rPr>
        <w:t>测量原理：</w:t>
      </w:r>
      <w:r>
        <w:rPr>
          <w:rFonts w:ascii="Calibri" w:hAnsi="Calibri" w:eastAsia="Microsoft YaHei"/>
        </w:rPr>
        <w:t>紧凑激光 Raman 单元远程测量氢同位素气体组分，在恒流浓度变化台架上测试 tracking，并面向在线 accountancy。</w:t>
      </w:r>
    </w:p>
    <w:p>
      <w:pPr>
        <w:widowControl/>
      </w:pPr>
      <w:r>
        <w:rPr>
          <w:rFonts w:ascii="Calibri" w:hAnsi="Calibri" w:eastAsia="Microsoft YaHei"/>
          <w:b/>
          <w:color w:val="1F4D78"/>
        </w:rPr>
        <w:t>测量产品：</w:t>
      </w:r>
      <w:r>
        <w:rPr>
          <w:rFonts w:ascii="Calibri" w:hAnsi="Calibri" w:eastAsia="Microsoft YaHei"/>
        </w:rPr>
        <w:t>Raman 峰位 [cm-1]；谱峰强度；氢同位素分子浓度；浓度不确定度与更新率</w:t>
      </w:r>
    </w:p>
    <w:p>
      <w:pPr>
        <w:widowControl/>
      </w:pPr>
      <w:r>
        <w:rPr>
          <w:rFonts w:ascii="Calibri" w:hAnsi="Calibri" w:eastAsia="Microsoft YaHei"/>
          <w:b/>
          <w:color w:val="1F4D78"/>
        </w:rPr>
        <w:t>时空分辨与覆盖：</w:t>
      </w:r>
      <w:r>
        <w:rPr>
          <w:rFonts w:ascii="Calibri" w:hAnsi="Calibri" w:eastAsia="Microsoft YaHei"/>
        </w:rPr>
        <w:t>时间：实时/准实时过程分析，秒—分钟；空间：由视线、几何和反演设定；原始来源未给出统一数值。</w:t>
      </w:r>
    </w:p>
    <w:p>
      <w:pPr>
        <w:widowControl/>
      </w:pPr>
      <w:r>
        <w:rPr>
          <w:rFonts w:ascii="Calibri" w:hAnsi="Calibri" w:eastAsia="Microsoft YaHei"/>
          <w:b/>
          <w:color w:val="1F4D78"/>
        </w:rPr>
        <w:t>仪器与传感器：</w:t>
      </w:r>
      <w:r>
        <w:rPr>
          <w:rFonts w:ascii="Calibri" w:hAnsi="Calibri" w:eastAsia="Microsoft YaHei"/>
        </w:rPr>
        <w:t>laser Raman spectrometer；flow/pressure/temperature；reference gas/calibration cell</w:t>
      </w:r>
    </w:p>
    <w:p>
      <w:pPr>
        <w:widowControl/>
      </w:pPr>
      <w:r>
        <w:rPr>
          <w:rFonts w:ascii="Calibri" w:hAnsi="Calibri" w:eastAsia="Microsoft YaHei"/>
          <w:b/>
          <w:color w:val="1F4D78"/>
        </w:rPr>
        <w:t>标定与质量：</w:t>
      </w:r>
      <w:r>
        <w:rPr>
          <w:rFonts w:ascii="Calibri" w:hAnsi="Calibri" w:eastAsia="Microsoft YaHei"/>
        </w:rPr>
        <w:t>以已知同位素混合气建立峰位、仪器响应和浓度标定曲线，并检查激光功率、光路和窗口漂移。</w:t>
      </w:r>
    </w:p>
    <w:p>
      <w:pPr>
        <w:widowControl/>
      </w:pPr>
      <w:r>
        <w:rPr>
          <w:rFonts w:ascii="Calibri" w:hAnsi="Calibri" w:eastAsia="Microsoft YaHei"/>
          <w:b/>
          <w:color w:val="1F4D78"/>
        </w:rPr>
        <w:t>反演与分析：</w:t>
      </w:r>
      <w:r>
        <w:rPr>
          <w:rFonts w:ascii="Calibri" w:hAnsi="Calibri" w:eastAsia="Microsoft YaHei"/>
        </w:rPr>
        <w:t>光谱基线扣除、峰拟合和响应因子换算得到多组分浓度，再进入动态物料衡算。</w:t>
      </w:r>
    </w:p>
    <w:p>
      <w:pPr>
        <w:widowControl/>
      </w:pPr>
      <w:r>
        <w:rPr>
          <w:rFonts w:ascii="Calibri" w:hAnsi="Calibri" w:eastAsia="Microsoft YaHei"/>
          <w:b/>
          <w:color w:val="1F4D78"/>
        </w:rPr>
        <w:t>验证与应用：</w:t>
      </w:r>
      <w:r>
        <w:rPr>
          <w:rFonts w:ascii="Calibri" w:hAnsi="Calibri" w:eastAsia="Microsoft YaHei"/>
        </w:rPr>
        <w:t>原型台架；远程分析和浓度变化 tracking demonstration。</w:t>
      </w:r>
    </w:p>
    <w:p>
      <w:pPr>
        <w:widowControl/>
      </w:pPr>
      <w:r>
        <w:rPr>
          <w:rFonts w:ascii="Calibri" w:hAnsi="Calibri" w:eastAsia="Microsoft YaHei"/>
          <w:b/>
          <w:color w:val="1F4D78"/>
        </w:rPr>
        <w:t>局限与边界：</w:t>
      </w:r>
      <w:r>
        <w:rPr>
          <w:rFonts w:ascii="Calibri" w:hAnsi="Calibri" w:eastAsia="Microsoft YaHei"/>
        </w:rPr>
        <w:t>光谱重叠、光路污染、辐照、流量/温压补偿和法规计量溯源仍待集成验证。</w:t>
      </w:r>
    </w:p>
    <w:tbl>
      <w:tblPr>
        <w:tblStyle w:val="TableGrid"/>
        <w:tblW w:type="dxa" w:w="9360"/>
        <w:jc w:val="left"/>
        <w:tblLayout w:type="fixed"/>
        <w:tblLook w:firstColumn="1" w:firstRow="1" w:lastColumn="0" w:lastRow="0" w:noHBand="0" w:noVBand="1" w:val="04A0"/>
        <w:tblInd w:w="120" w:type="dxa"/>
      </w:tblPr>
      <w:tblGrid>
        <w:gridCol w:w="9360"/>
      </w:tblGrid>
      <w:tr>
        <w:trPr>
          <w:cantSplit/>
        </w:trPr>
        <w:tc>
          <w:tcPr>
            <w:tcW w:type="dxa" w:w="9360"/>
            <w:tcMar>
              <w:top w:w="80" w:type="dxa"/>
              <w:bottom w:w="80" w:type="dxa"/>
              <w:start w:w="120" w:type="dxa"/>
              <w:end w:w="120" w:type="dxa"/>
            </w:tcMar>
            <w:vAlign w:val="center"/>
            <w:shd w:fill="EEF7F7"/>
          </w:tcPr>
          <w:p>
            <w:pPr>
              <w:keepNext/>
              <w:keepLines/>
              <w:spacing w:after="40"/>
            </w:pPr>
            <w:r>
              <w:rPr>
                <w:rFonts w:ascii="Calibri" w:hAnsi="Calibri" w:eastAsia="Microsoft YaHei"/>
                <w:b/>
                <w:color w:val="008C95"/>
                <w:sz w:val="17"/>
              </w:rPr>
              <w:t>DIGITAL-TWIN RELEVANCE</w:t>
            </w:r>
          </w:p>
          <w:p>
            <w:pPr>
              <w:spacing w:after="0"/>
            </w:pPr>
            <w:r>
              <w:rPr>
                <w:rFonts w:ascii="Calibri" w:hAnsi="Calibri" w:eastAsia="Microsoft YaHei"/>
                <w:color w:val="0B2545"/>
                <w:sz w:val="20"/>
              </w:rPr>
              <w:t>可把光谱反演、流量计量和守恒约束融合为燃料循环状态估计器。</w:t>
            </w:r>
          </w:p>
        </w:tc>
      </w:tr>
    </w:tbl>
    <w:p>
      <w:pPr>
        <w:spacing w:after="40"/>
      </w:pPr>
    </w:p>
    <w:tbl>
      <w:tblPr>
        <w:tblStyle w:val="TableGrid"/>
        <w:tblW w:type="dxa" w:w="9360"/>
        <w:jc w:val="left"/>
        <w:tblLayout w:type="fixed"/>
        <w:tblLook w:firstColumn="1" w:firstRow="1" w:lastColumn="0" w:lastRow="0" w:noHBand="0" w:noVBand="1" w:val="04A0"/>
        <w:tblInd w:w="120" w:type="dxa"/>
      </w:tblPr>
      <w:tblGrid>
        <w:gridCol w:w="850"/>
        <w:gridCol w:w="2500"/>
        <w:gridCol w:w="1600"/>
        <w:gridCol w:w="2300"/>
        <w:gridCol w:w="2110"/>
      </w:tblGrid>
      <w:tr>
        <w:trPr>
          <w:tblHeader w:val="true"/>
        </w:trPr>
        <w:tc>
          <w:tcPr>
            <w:tcW w:type="dxa" w:w="8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年份/类型</w:t>
            </w:r>
          </w:p>
        </w:tc>
        <w:tc>
          <w:tcPr>
            <w:tcW w:type="dxa" w:w="25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论文或软件</w:t>
            </w:r>
          </w:p>
        </w:tc>
        <w:tc>
          <w:tcPr>
            <w:tcW w:type="dxa" w:w="16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期刊/开放性</w:t>
            </w:r>
          </w:p>
        </w:tc>
        <w:tc>
          <w:tcPr>
            <w:tcW w:type="dxa" w:w="23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来源类型/关系</w:t>
            </w:r>
          </w:p>
        </w:tc>
        <w:tc>
          <w:tcPr>
            <w:tcW w:type="dxa" w:w="211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链接</w:t>
            </w:r>
          </w:p>
        </w:tc>
      </w:tr>
      <w:tr>
        <w:trPr>
          <w:cantSplit/>
        </w:trPr>
        <w:tc>
          <w:tcPr>
            <w:tcW w:type="dxa" w:w="850"/>
          </w:tcPr>
          <w:p>
            <w:pPr>
              <w:keepLines/>
              <w:spacing w:after="0" w:line="276" w:lineRule="auto"/>
            </w:pPr>
            <w:r>
              <w:rPr>
                <w:rFonts w:ascii="Calibri" w:hAnsi="Calibri" w:eastAsia="Microsoft YaHei"/>
                <w:color w:val="0B2545"/>
                <w:sz w:val="14"/>
              </w:rPr>
              <w:t>2021</w:t>
            </w:r>
          </w:p>
        </w:tc>
        <w:tc>
          <w:tcPr>
            <w:tcW w:type="dxa" w:w="2500"/>
          </w:tcPr>
          <w:p>
            <w:pPr>
              <w:keepLines/>
              <w:spacing w:after="0" w:line="276" w:lineRule="auto"/>
            </w:pPr>
            <w:r>
              <w:rPr>
                <w:rFonts w:ascii="Calibri" w:hAnsi="Calibri" w:eastAsia="Microsoft YaHei"/>
                <w:color w:val="0B2545"/>
                <w:sz w:val="14"/>
              </w:rPr>
              <w:t>Development of a compact real-time process gas analysis system for tritium accountancy for a DEMO fusion reactor by an application of laser Raman spectroscopy</w:t>
            </w:r>
          </w:p>
        </w:tc>
        <w:tc>
          <w:tcPr>
            <w:tcW w:type="dxa" w:w="1600"/>
          </w:tcPr>
          <w:p>
            <w:pPr>
              <w:keepLines/>
              <w:spacing w:after="0" w:line="276" w:lineRule="auto"/>
            </w:pPr>
            <w:r>
              <w:rPr>
                <w:rFonts w:ascii="Calibri" w:hAnsi="Calibri" w:eastAsia="Microsoft YaHei"/>
                <w:color w:val="0B2545"/>
                <w:sz w:val="14"/>
              </w:rPr>
              <w:t>Fusion Engineering and Design</w:t>
            </w:r>
          </w:p>
        </w:tc>
        <w:tc>
          <w:tcPr>
            <w:tcW w:type="dxa" w:w="2300"/>
          </w:tcPr>
          <w:p>
            <w:pPr>
              <w:keepLines/>
              <w:spacing w:after="0" w:line="276" w:lineRule="auto"/>
            </w:pPr>
            <w:r>
              <w:rPr>
                <w:rFonts w:ascii="Calibri" w:hAnsi="Calibri" w:eastAsia="Microsoft YaHei"/>
                <w:color w:val="0B2545"/>
                <w:sz w:val="14"/>
              </w:rPr>
              <w:t>peer-reviewed prototype paper</w:t>
            </w:r>
          </w:p>
        </w:tc>
        <w:tc>
          <w:tcPr>
            <w:tcW w:type="dxa" w:w="2110"/>
          </w:tcPr>
          <w:p>
            <w:pPr>
              <w:keepLines/>
              <w:spacing w:after="0" w:line="276" w:lineRule="auto"/>
            </w:pPr>
            <w:hyperlink r:id="rId147">
              <w:r>
                <w:rPr>
                  <w:rFonts w:ascii="Calibri" w:hAnsi="Calibri" w:eastAsia="Microsoft YaHei"/>
                  <w:color w:val="008C95"/>
                  <w:u w:val="single"/>
                </w:rPr>
                <w:t>打开原始来源 ↗</w:t>
              </w:r>
            </w:hyperlink>
          </w:p>
        </w:tc>
      </w:tr>
      <w:tr>
        <w:trPr>
          <w:cantSplit/>
        </w:trPr>
        <w:tc>
          <w:tcPr>
            <w:tcW w:type="dxa" w:w="850"/>
          </w:tcPr>
          <w:p>
            <w:pPr>
              <w:keepLines/>
              <w:spacing w:after="0" w:line="276" w:lineRule="auto"/>
            </w:pPr>
            <w:r>
              <w:rPr>
                <w:rFonts w:ascii="Calibri" w:hAnsi="Calibri" w:eastAsia="Microsoft YaHei"/>
                <w:color w:val="0B2545"/>
                <w:sz w:val="14"/>
              </w:rPr>
              <w:t>软件</w:t>
            </w:r>
          </w:p>
        </w:tc>
        <w:tc>
          <w:tcPr>
            <w:tcW w:type="dxa" w:w="2500"/>
          </w:tcPr>
          <w:p>
            <w:pPr>
              <w:keepLines/>
              <w:spacing w:after="0" w:line="276" w:lineRule="auto"/>
            </w:pPr>
            <w:r>
              <w:rPr>
                <w:rFonts w:ascii="Calibri" w:hAnsi="Calibri" w:eastAsia="Microsoft YaHei"/>
                <w:color w:val="0B2545"/>
                <w:sz w:val="14"/>
              </w:rPr>
              <w:t>Raman concentration/accountancy software</w:t>
            </w:r>
          </w:p>
        </w:tc>
        <w:tc>
          <w:tcPr>
            <w:tcW w:type="dxa" w:w="1600"/>
          </w:tcPr>
          <w:p>
            <w:pPr>
              <w:keepLines/>
              <w:spacing w:after="0" w:line="276" w:lineRule="auto"/>
            </w:pPr>
            <w:r>
              <w:rPr>
                <w:rFonts w:ascii="Calibri" w:hAnsi="Calibri" w:eastAsia="Microsoft YaHei"/>
                <w:color w:val="0B2545"/>
                <w:sz w:val="14"/>
              </w:rPr>
              <w:t>not-public</w:t>
            </w:r>
          </w:p>
        </w:tc>
        <w:tc>
          <w:tcPr>
            <w:tcW w:type="dxa" w:w="2300"/>
          </w:tcPr>
          <w:p>
            <w:pPr>
              <w:keepLines/>
              <w:spacing w:after="0" w:line="276" w:lineRule="auto"/>
            </w:pPr>
            <w:r>
              <w:rPr>
                <w:rFonts w:ascii="Calibri" w:hAnsi="Calibri" w:eastAsia="Microsoft YaHei"/>
                <w:color w:val="0B2545"/>
                <w:sz w:val="14"/>
              </w:rPr>
              <w:t>校准和反演软件未公开。</w:t>
            </w:r>
          </w:p>
        </w:tc>
        <w:tc>
          <w:tcPr>
            <w:tcW w:type="dxa" w:w="2110"/>
          </w:tcPr>
          <w:p>
            <w:pPr>
              <w:keepLines/>
              <w:spacing w:after="0" w:line="276" w:lineRule="auto"/>
            </w:pPr>
            <w:r>
              <w:rPr>
                <w:rFonts w:ascii="Calibri" w:hAnsi="Calibri" w:eastAsia="Microsoft YaHei"/>
                <w:color w:val="0B2545"/>
                <w:sz w:val="14"/>
              </w:rPr>
              <w:t>未公开</w:t>
            </w:r>
          </w:p>
        </w:tc>
      </w:tr>
    </w:tbl>
    <w:p>
      <w:pPr>
        <w:spacing w:before="0" w:after="60"/>
      </w:pPr>
    </w:p>
    <w:p>
      <w:pPr>
        <w:pStyle w:val="Heading3"/>
        <w:keepNext/>
      </w:pPr>
      <w:r>
        <w:t>DG8.15  JET 排气去氚系统腐蚀失效诊断与替换后运行监测</w:t>
      </w:r>
    </w:p>
    <w:p>
      <w:pPr>
        <w:keepNext/>
        <w:spacing w:after="80"/>
      </w:pPr>
      <w:r>
        <w:rPr>
          <w:rFonts w:ascii="Calibri" w:hAnsi="Calibri" w:eastAsia="Microsoft YaHei"/>
          <w:i/>
          <w:color w:val="566573"/>
          <w:sz w:val="18"/>
        </w:rPr>
        <w:t>Corrosion diagnosis, replacement and monitoring of the JET exhaust detritiation system</w:t>
      </w:r>
    </w:p>
    <w:tbl>
      <w:tblPr>
        <w:tblStyle w:val="TableGrid"/>
        <w:tblW w:type="dxa" w:w="9360"/>
        <w:jc w:val="left"/>
        <w:tblLayout w:type="fixed"/>
        <w:tblLook w:firstColumn="1" w:firstRow="1" w:lastColumn="0" w:lastRow="0" w:noHBand="0" w:noVBand="1" w:val="04A0"/>
        <w:tblInd w:w="120" w:type="dxa"/>
      </w:tblPr>
      <w:tblGrid>
        <w:gridCol w:w="1200"/>
        <w:gridCol w:w="750"/>
        <w:gridCol w:w="750"/>
        <w:gridCol w:w="2100"/>
        <w:gridCol w:w="4560"/>
      </w:tblGrid>
      <w:tr>
        <w:trPr>
          <w:tblHeader w:val="true"/>
        </w:trPr>
        <w:tc>
          <w:tcPr>
            <w:tcW w:type="dxa" w:w="12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工作 ID</w:t>
            </w:r>
          </w:p>
        </w:tc>
        <w:tc>
          <w:tcPr>
            <w:tcW w:type="dxa" w:w="7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证据</w:t>
            </w:r>
          </w:p>
        </w:tc>
        <w:tc>
          <w:tcPr>
            <w:tcW w:type="dxa" w:w="7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部署</w:t>
            </w:r>
          </w:p>
        </w:tc>
        <w:tc>
          <w:tcPr>
            <w:tcW w:type="dxa" w:w="21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技术族</w:t>
            </w:r>
          </w:p>
        </w:tc>
        <w:tc>
          <w:tcPr>
            <w:tcW w:type="dxa" w:w="456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装置</w:t>
            </w:r>
          </w:p>
        </w:tc>
      </w:tr>
      <w:tr>
        <w:trPr>
          <w:cantSplit/>
        </w:trPr>
        <w:tc>
          <w:tcPr>
            <w:tcW w:type="dxa" w:w="1200"/>
          </w:tcPr>
          <w:p>
            <w:pPr>
              <w:keepLines/>
              <w:spacing w:after="0" w:line="276" w:lineRule="auto"/>
            </w:pPr>
            <w:r>
              <w:rPr>
                <w:rFonts w:ascii="Calibri" w:hAnsi="Calibri" w:eastAsia="Microsoft YaHei"/>
                <w:color w:val="0B2545"/>
                <w:sz w:val="15"/>
              </w:rPr>
              <w:t>PDT-014</w:t>
            </w:r>
          </w:p>
        </w:tc>
        <w:tc>
          <w:tcPr>
            <w:tcW w:type="dxa" w:w="750"/>
          </w:tcPr>
          <w:p>
            <w:pPr>
              <w:keepLines/>
              <w:spacing w:after="0" w:line="276" w:lineRule="auto"/>
            </w:pPr>
            <w:r>
              <w:rPr>
                <w:rFonts w:ascii="Calibri" w:hAnsi="Calibri" w:eastAsia="Microsoft YaHei"/>
                <w:color w:val="0B2545"/>
                <w:sz w:val="15"/>
              </w:rPr>
              <w:t>E4</w:t>
            </w:r>
          </w:p>
        </w:tc>
        <w:tc>
          <w:tcPr>
            <w:tcW w:type="dxa" w:w="750"/>
          </w:tcPr>
          <w:p>
            <w:pPr>
              <w:keepLines/>
              <w:spacing w:after="0" w:line="276" w:lineRule="auto"/>
            </w:pPr>
            <w:r>
              <w:rPr>
                <w:rFonts w:ascii="Calibri" w:hAnsi="Calibri" w:eastAsia="Microsoft YaHei"/>
                <w:color w:val="0B2545"/>
                <w:sz w:val="15"/>
              </w:rPr>
              <w:t>D4</w:t>
            </w:r>
          </w:p>
        </w:tc>
        <w:tc>
          <w:tcPr>
            <w:tcW w:type="dxa" w:w="2100"/>
          </w:tcPr>
          <w:p>
            <w:pPr>
              <w:keepLines/>
              <w:spacing w:after="0" w:line="276" w:lineRule="auto"/>
            </w:pPr>
            <w:r>
              <w:rPr>
                <w:rFonts w:ascii="Calibri" w:hAnsi="Calibri" w:eastAsia="Microsoft YaHei"/>
                <w:color w:val="0B2545"/>
                <w:sz w:val="15"/>
              </w:rPr>
              <w:t>PROBE_SAMPLING；ENGINEERING_SENSOR</w:t>
            </w:r>
          </w:p>
        </w:tc>
        <w:tc>
          <w:tcPr>
            <w:tcW w:type="dxa" w:w="4560"/>
          </w:tcPr>
          <w:p>
            <w:pPr>
              <w:keepLines/>
              <w:spacing w:after="0" w:line="276" w:lineRule="auto"/>
            </w:pPr>
            <w:r>
              <w:rPr>
                <w:rFonts w:ascii="Calibri" w:hAnsi="Calibri" w:eastAsia="Microsoft YaHei"/>
                <w:color w:val="0B2545"/>
                <w:sz w:val="15"/>
              </w:rPr>
              <w:t>JET Active Gas Handling System</w:t>
            </w:r>
          </w:p>
        </w:tc>
      </w:tr>
    </w:tbl>
    <w:p>
      <w:pPr>
        <w:spacing w:before="0" w:after="60"/>
      </w:pPr>
    </w:p>
    <w:p>
      <w:pPr>
        <w:widowControl/>
      </w:pPr>
      <w:r>
        <w:rPr>
          <w:rFonts w:ascii="Calibri" w:hAnsi="Calibri" w:eastAsia="Microsoft YaHei"/>
          <w:b/>
          <w:color w:val="1F4D78"/>
        </w:rPr>
        <w:t>解决问题：</w:t>
      </w:r>
      <w:r>
        <w:rPr>
          <w:rFonts w:ascii="Calibri" w:hAnsi="Calibri" w:eastAsia="Microsoft YaHei"/>
        </w:rPr>
        <w:t>含卤素意外进入催化重组器后生成酸，造成冷凝管路点蚀和穿透失效，威胁去氚和排放边界。</w:t>
      </w:r>
    </w:p>
    <w:p>
      <w:pPr>
        <w:widowControl/>
      </w:pPr>
      <w:r>
        <w:rPr>
          <w:rFonts w:ascii="Calibri" w:hAnsi="Calibri" w:eastAsia="Microsoft YaHei"/>
          <w:b/>
          <w:color w:val="1F4D78"/>
        </w:rPr>
        <w:t>测量原理：</w:t>
      </w:r>
      <w:r>
        <w:rPr>
          <w:rFonts w:ascii="Calibri" w:hAnsi="Calibri" w:eastAsia="Microsoft YaHei"/>
        </w:rPr>
        <w:t>失效分析定位腐蚀机理，替换 EDS 并加入 Ca(OH)2 酸钝化子系统；commissioning 测试进出口酸和 detritiation factor，运行中持续监视。</w:t>
      </w:r>
    </w:p>
    <w:p>
      <w:pPr>
        <w:widowControl/>
      </w:pPr>
      <w:r>
        <w:rPr>
          <w:rFonts w:ascii="Calibri" w:hAnsi="Calibri" w:eastAsia="Microsoft YaHei"/>
          <w:b/>
          <w:color w:val="1F4D78"/>
        </w:rPr>
        <w:t>测量产品：</w:t>
      </w:r>
      <w:r>
        <w:rPr>
          <w:rFonts w:ascii="Calibri" w:hAnsi="Calibri" w:eastAsia="Microsoft YaHei"/>
        </w:rPr>
        <w:t>过程温度/压力/流量；气体与水分组分；腐蚀/泄漏状态；去氚效率与可用率</w:t>
      </w:r>
    </w:p>
    <w:p>
      <w:pPr>
        <w:widowControl/>
      </w:pPr>
      <w:r>
        <w:rPr>
          <w:rFonts w:ascii="Calibri" w:hAnsi="Calibri" w:eastAsia="Microsoft YaHei"/>
          <w:b/>
          <w:color w:val="1F4D78"/>
        </w:rPr>
        <w:t>时空分辨与覆盖：</w:t>
      </w:r>
      <w:r>
        <w:rPr>
          <w:rFonts w:ascii="Calibri" w:hAnsi="Calibri" w:eastAsia="Microsoft YaHei"/>
        </w:rPr>
        <w:t>时间：过程分钟—小时；腐蚀为 campaign/寿命尺度；空间：由视线、几何和反演设定；原始来源未给出统一数值。</w:t>
      </w:r>
    </w:p>
    <w:p>
      <w:pPr>
        <w:widowControl/>
      </w:pPr>
      <w:r>
        <w:rPr>
          <w:rFonts w:ascii="Calibri" w:hAnsi="Calibri" w:eastAsia="Microsoft YaHei"/>
          <w:b/>
          <w:color w:val="1F4D78"/>
        </w:rPr>
        <w:t>仪器与传感器：</w:t>
      </w:r>
      <w:r>
        <w:rPr>
          <w:rFonts w:ascii="Calibri" w:hAnsi="Calibri" w:eastAsia="Microsoft YaHei"/>
        </w:rPr>
        <w:t>gas composition；tritium monitors；acid detection/sampling；pressure/flow/temperature；corrosion inspection</w:t>
      </w:r>
    </w:p>
    <w:p>
      <w:pPr>
        <w:widowControl/>
      </w:pPr>
      <w:r>
        <w:rPr>
          <w:rFonts w:ascii="Calibri" w:hAnsi="Calibri" w:eastAsia="Microsoft YaHei"/>
          <w:b/>
          <w:color w:val="1F4D78"/>
        </w:rPr>
        <w:t>标定与质量：</w:t>
      </w:r>
      <w:r>
        <w:rPr>
          <w:rFonts w:ascii="Calibri" w:hAnsi="Calibri" w:eastAsia="Microsoft YaHei"/>
        </w:rPr>
        <w:t>过程仪表按工厂程序校验，并通过材料检查、泄漏试验、commissioning 物料平衡和替换前后趋势核对。</w:t>
      </w:r>
    </w:p>
    <w:p>
      <w:pPr>
        <w:widowControl/>
      </w:pPr>
      <w:r>
        <w:rPr>
          <w:rFonts w:ascii="Calibri" w:hAnsi="Calibri" w:eastAsia="Microsoft YaHei"/>
          <w:b/>
          <w:color w:val="1F4D78"/>
        </w:rPr>
        <w:t>反演与分析：</w:t>
      </w:r>
      <w:r>
        <w:rPr>
          <w:rFonts w:ascii="Calibri" w:hAnsi="Calibri" w:eastAsia="Microsoft YaHei"/>
        </w:rPr>
        <w:t>过程趋势、物料衡算和设备状态残差用于定位腐蚀、堵塞或效率退化；公开证据未给出通用预测模型。</w:t>
      </w:r>
    </w:p>
    <w:p>
      <w:pPr>
        <w:widowControl/>
      </w:pPr>
      <w:r>
        <w:rPr>
          <w:rFonts w:ascii="Calibri" w:hAnsi="Calibri" w:eastAsia="Microsoft YaHei"/>
          <w:b/>
          <w:color w:val="1F4D78"/>
        </w:rPr>
        <w:t>验证与应用：</w:t>
      </w:r>
      <w:r>
        <w:rPr>
          <w:rFonts w:ascii="Calibri" w:hAnsi="Calibri" w:eastAsia="Microsoft YaHei"/>
        </w:rPr>
        <w:t>替换系统的 commissioning 与最近 D-T campaigns 运行。</w:t>
      </w:r>
    </w:p>
    <w:p>
      <w:pPr>
        <w:widowControl/>
      </w:pPr>
      <w:r>
        <w:rPr>
          <w:rFonts w:ascii="Calibri" w:hAnsi="Calibri" w:eastAsia="Microsoft YaHei"/>
          <w:b/>
          <w:color w:val="1F4D78"/>
        </w:rPr>
        <w:t>局限与边界：</w:t>
      </w:r>
      <w:r>
        <w:rPr>
          <w:rFonts w:ascii="Calibri" w:hAnsi="Calibri" w:eastAsia="Microsoft YaHei"/>
        </w:rPr>
        <w:t>特定卤素事件和化学工艺不能泛化为所有腐蚀模式；在线腐蚀速率与剩余寿命仍需模型/检验结合。</w:t>
      </w:r>
    </w:p>
    <w:tbl>
      <w:tblPr>
        <w:tblStyle w:val="TableGrid"/>
        <w:tblW w:type="dxa" w:w="9360"/>
        <w:jc w:val="left"/>
        <w:tblLayout w:type="fixed"/>
        <w:tblLook w:firstColumn="1" w:firstRow="1" w:lastColumn="0" w:lastRow="0" w:noHBand="0" w:noVBand="1" w:val="04A0"/>
        <w:tblInd w:w="120" w:type="dxa"/>
      </w:tblPr>
      <w:tblGrid>
        <w:gridCol w:w="9360"/>
      </w:tblGrid>
      <w:tr>
        <w:trPr>
          <w:cantSplit/>
        </w:trPr>
        <w:tc>
          <w:tcPr>
            <w:tcW w:type="dxa" w:w="9360"/>
            <w:tcMar>
              <w:top w:w="80" w:type="dxa"/>
              <w:bottom w:w="80" w:type="dxa"/>
              <w:start w:w="120" w:type="dxa"/>
              <w:end w:w="120" w:type="dxa"/>
            </w:tcMar>
            <w:vAlign w:val="center"/>
            <w:shd w:fill="EEF7F7"/>
          </w:tcPr>
          <w:p>
            <w:pPr>
              <w:keepNext/>
              <w:keepLines/>
              <w:spacing w:after="40"/>
            </w:pPr>
            <w:r>
              <w:rPr>
                <w:rFonts w:ascii="Calibri" w:hAnsi="Calibri" w:eastAsia="Microsoft YaHei"/>
                <w:b/>
                <w:color w:val="008C95"/>
                <w:sz w:val="17"/>
              </w:rPr>
              <w:t>DIGITAL-TWIN RELEVANCE</w:t>
            </w:r>
          </w:p>
          <w:p>
            <w:pPr>
              <w:spacing w:after="0"/>
            </w:pPr>
            <w:r>
              <w:rPr>
                <w:rFonts w:ascii="Calibri" w:hAnsi="Calibri" w:eastAsia="Microsoft YaHei"/>
                <w:color w:val="0B2545"/>
                <w:sz w:val="20"/>
              </w:rPr>
              <w:t>展示异常事件—根因—设计变更—commissioning—性能指标闭环，是资产孪生和经验复用的范例。</w:t>
            </w:r>
          </w:p>
        </w:tc>
      </w:tr>
    </w:tbl>
    <w:p>
      <w:pPr>
        <w:spacing w:after="40"/>
      </w:pPr>
    </w:p>
    <w:tbl>
      <w:tblPr>
        <w:tblStyle w:val="TableGrid"/>
        <w:tblW w:type="dxa" w:w="9360"/>
        <w:jc w:val="left"/>
        <w:tblLayout w:type="fixed"/>
        <w:tblLook w:firstColumn="1" w:firstRow="1" w:lastColumn="0" w:lastRow="0" w:noHBand="0" w:noVBand="1" w:val="04A0"/>
        <w:tblInd w:w="120" w:type="dxa"/>
      </w:tblPr>
      <w:tblGrid>
        <w:gridCol w:w="850"/>
        <w:gridCol w:w="2500"/>
        <w:gridCol w:w="1600"/>
        <w:gridCol w:w="2300"/>
        <w:gridCol w:w="2110"/>
      </w:tblGrid>
      <w:tr>
        <w:trPr>
          <w:tblHeader w:val="true"/>
        </w:trPr>
        <w:tc>
          <w:tcPr>
            <w:tcW w:type="dxa" w:w="8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年份/类型</w:t>
            </w:r>
          </w:p>
        </w:tc>
        <w:tc>
          <w:tcPr>
            <w:tcW w:type="dxa" w:w="25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论文或软件</w:t>
            </w:r>
          </w:p>
        </w:tc>
        <w:tc>
          <w:tcPr>
            <w:tcW w:type="dxa" w:w="16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期刊/开放性</w:t>
            </w:r>
          </w:p>
        </w:tc>
        <w:tc>
          <w:tcPr>
            <w:tcW w:type="dxa" w:w="23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来源类型/关系</w:t>
            </w:r>
          </w:p>
        </w:tc>
        <w:tc>
          <w:tcPr>
            <w:tcW w:type="dxa" w:w="211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链接</w:t>
            </w:r>
          </w:p>
        </w:tc>
      </w:tr>
      <w:tr>
        <w:trPr>
          <w:cantSplit/>
        </w:trPr>
        <w:tc>
          <w:tcPr>
            <w:tcW w:type="dxa" w:w="850"/>
          </w:tcPr>
          <w:p>
            <w:pPr>
              <w:keepLines/>
              <w:spacing w:after="0" w:line="276" w:lineRule="auto"/>
            </w:pPr>
            <w:r>
              <w:rPr>
                <w:rFonts w:ascii="Calibri" w:hAnsi="Calibri" w:eastAsia="Microsoft YaHei"/>
                <w:color w:val="0B2545"/>
                <w:sz w:val="14"/>
              </w:rPr>
              <w:t>2023</w:t>
            </w:r>
          </w:p>
        </w:tc>
        <w:tc>
          <w:tcPr>
            <w:tcW w:type="dxa" w:w="2500"/>
          </w:tcPr>
          <w:p>
            <w:pPr>
              <w:keepLines/>
              <w:spacing w:after="0" w:line="276" w:lineRule="auto"/>
            </w:pPr>
            <w:r>
              <w:rPr>
                <w:rFonts w:ascii="Calibri" w:hAnsi="Calibri" w:eastAsia="Microsoft YaHei"/>
                <w:color w:val="0B2545"/>
                <w:sz w:val="14"/>
              </w:rPr>
              <w:t>JET Exhaust Detritiation System replacement—design, commissioning, and operation</w:t>
            </w:r>
          </w:p>
        </w:tc>
        <w:tc>
          <w:tcPr>
            <w:tcW w:type="dxa" w:w="1600"/>
          </w:tcPr>
          <w:p>
            <w:pPr>
              <w:keepLines/>
              <w:spacing w:after="0" w:line="276" w:lineRule="auto"/>
            </w:pPr>
            <w:r>
              <w:rPr>
                <w:rFonts w:ascii="Calibri" w:hAnsi="Calibri" w:eastAsia="Microsoft YaHei"/>
                <w:color w:val="0B2545"/>
                <w:sz w:val="14"/>
              </w:rPr>
              <w:t>原始论文 / 官方来源</w:t>
            </w:r>
          </w:p>
        </w:tc>
        <w:tc>
          <w:tcPr>
            <w:tcW w:type="dxa" w:w="2300"/>
          </w:tcPr>
          <w:p>
            <w:pPr>
              <w:keepLines/>
              <w:spacing w:after="0" w:line="276" w:lineRule="auto"/>
            </w:pPr>
            <w:r>
              <w:rPr>
                <w:rFonts w:ascii="Calibri" w:hAnsi="Calibri" w:eastAsia="Microsoft YaHei"/>
                <w:color w:val="0B2545"/>
                <w:sz w:val="14"/>
              </w:rPr>
              <w:t>peer-reviewed plant commissioning/operation paper</w:t>
            </w:r>
          </w:p>
        </w:tc>
        <w:tc>
          <w:tcPr>
            <w:tcW w:type="dxa" w:w="2110"/>
          </w:tcPr>
          <w:p>
            <w:pPr>
              <w:keepLines/>
              <w:spacing w:after="0" w:line="276" w:lineRule="auto"/>
            </w:pPr>
            <w:hyperlink r:id="rId148">
              <w:r>
                <w:rPr>
                  <w:rFonts w:ascii="Calibri" w:hAnsi="Calibri" w:eastAsia="Microsoft YaHei"/>
                  <w:color w:val="008C95"/>
                  <w:u w:val="single"/>
                </w:rPr>
                <w:t>打开原始来源 ↗</w:t>
              </w:r>
            </w:hyperlink>
          </w:p>
        </w:tc>
      </w:tr>
      <w:tr>
        <w:trPr>
          <w:cantSplit/>
        </w:trPr>
        <w:tc>
          <w:tcPr>
            <w:tcW w:type="dxa" w:w="850"/>
          </w:tcPr>
          <w:p>
            <w:pPr>
              <w:keepLines/>
              <w:spacing w:after="0" w:line="276" w:lineRule="auto"/>
            </w:pPr>
            <w:r>
              <w:rPr>
                <w:rFonts w:ascii="Calibri" w:hAnsi="Calibri" w:eastAsia="Microsoft YaHei"/>
                <w:color w:val="0B2545"/>
                <w:sz w:val="14"/>
              </w:rPr>
              <w:t>软件</w:t>
            </w:r>
          </w:p>
        </w:tc>
        <w:tc>
          <w:tcPr>
            <w:tcW w:type="dxa" w:w="2500"/>
          </w:tcPr>
          <w:p>
            <w:pPr>
              <w:keepLines/>
              <w:spacing w:after="0" w:line="276" w:lineRule="auto"/>
            </w:pPr>
            <w:r>
              <w:rPr>
                <w:rFonts w:ascii="Calibri" w:hAnsi="Calibri" w:eastAsia="Microsoft YaHei"/>
                <w:color w:val="0B2545"/>
                <w:sz w:val="14"/>
              </w:rPr>
              <w:t>JET EDS control and monitoring</w:t>
            </w:r>
          </w:p>
        </w:tc>
        <w:tc>
          <w:tcPr>
            <w:tcW w:type="dxa" w:w="1600"/>
          </w:tcPr>
          <w:p>
            <w:pPr>
              <w:keepLines/>
              <w:spacing w:after="0" w:line="276" w:lineRule="auto"/>
            </w:pPr>
            <w:r>
              <w:rPr>
                <w:rFonts w:ascii="Calibri" w:hAnsi="Calibri" w:eastAsia="Microsoft YaHei"/>
                <w:color w:val="0B2545"/>
                <w:sz w:val="14"/>
              </w:rPr>
              <w:t>not-public</w:t>
            </w:r>
          </w:p>
        </w:tc>
        <w:tc>
          <w:tcPr>
            <w:tcW w:type="dxa" w:w="2300"/>
          </w:tcPr>
          <w:p>
            <w:pPr>
              <w:keepLines/>
              <w:spacing w:after="0" w:line="276" w:lineRule="auto"/>
            </w:pPr>
            <w:r>
              <w:rPr>
                <w:rFonts w:ascii="Calibri" w:hAnsi="Calibri" w:eastAsia="Microsoft YaHei"/>
                <w:color w:val="0B2545"/>
                <w:sz w:val="14"/>
              </w:rPr>
              <w:t>生产流程和 historian 未公开。</w:t>
            </w:r>
          </w:p>
        </w:tc>
        <w:tc>
          <w:tcPr>
            <w:tcW w:type="dxa" w:w="2110"/>
          </w:tcPr>
          <w:p>
            <w:pPr>
              <w:keepLines/>
              <w:spacing w:after="0" w:line="276" w:lineRule="auto"/>
            </w:pPr>
            <w:r>
              <w:rPr>
                <w:rFonts w:ascii="Calibri" w:hAnsi="Calibri" w:eastAsia="Microsoft YaHei"/>
                <w:color w:val="0B2545"/>
                <w:sz w:val="14"/>
              </w:rPr>
              <w:t>未公开</w:t>
            </w:r>
          </w:p>
        </w:tc>
      </w:tr>
    </w:tbl>
    <w:p>
      <w:pPr>
        <w:spacing w:before="0" w:after="60"/>
      </w:pPr>
    </w:p>
    <w:p>
      <w:pPr>
        <w:pStyle w:val="Heading3"/>
        <w:keepNext/>
      </w:pPr>
      <w:r>
        <w:t>DG8.16  ITER 在役远程视觉、计量与诊断维护</w:t>
      </w:r>
    </w:p>
    <w:p>
      <w:pPr>
        <w:keepNext/>
        <w:spacing w:after="80"/>
      </w:pPr>
      <w:r>
        <w:rPr>
          <w:rFonts w:ascii="Calibri" w:hAnsi="Calibri" w:eastAsia="Microsoft YaHei"/>
          <w:i/>
          <w:color w:val="566573"/>
          <w:sz w:val="18"/>
        </w:rPr>
        <w:t>ITER in-vessel remote viewing, metrology and diagnostic maintenance</w:t>
      </w:r>
    </w:p>
    <w:tbl>
      <w:tblPr>
        <w:tblStyle w:val="TableGrid"/>
        <w:tblW w:type="dxa" w:w="9360"/>
        <w:jc w:val="left"/>
        <w:tblLayout w:type="fixed"/>
        <w:tblLook w:firstColumn="1" w:firstRow="1" w:lastColumn="0" w:lastRow="0" w:noHBand="0" w:noVBand="1" w:val="04A0"/>
        <w:tblInd w:w="120" w:type="dxa"/>
      </w:tblPr>
      <w:tblGrid>
        <w:gridCol w:w="1200"/>
        <w:gridCol w:w="750"/>
        <w:gridCol w:w="750"/>
        <w:gridCol w:w="2100"/>
        <w:gridCol w:w="4560"/>
      </w:tblGrid>
      <w:tr>
        <w:trPr>
          <w:tblHeader w:val="true"/>
        </w:trPr>
        <w:tc>
          <w:tcPr>
            <w:tcW w:type="dxa" w:w="12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工作 ID</w:t>
            </w:r>
          </w:p>
        </w:tc>
        <w:tc>
          <w:tcPr>
            <w:tcW w:type="dxa" w:w="7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证据</w:t>
            </w:r>
          </w:p>
        </w:tc>
        <w:tc>
          <w:tcPr>
            <w:tcW w:type="dxa" w:w="7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部署</w:t>
            </w:r>
          </w:p>
        </w:tc>
        <w:tc>
          <w:tcPr>
            <w:tcW w:type="dxa" w:w="21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技术族</w:t>
            </w:r>
          </w:p>
        </w:tc>
        <w:tc>
          <w:tcPr>
            <w:tcW w:type="dxa" w:w="456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装置</w:t>
            </w:r>
          </w:p>
        </w:tc>
      </w:tr>
      <w:tr>
        <w:trPr>
          <w:cantSplit/>
        </w:trPr>
        <w:tc>
          <w:tcPr>
            <w:tcW w:type="dxa" w:w="1200"/>
          </w:tcPr>
          <w:p>
            <w:pPr>
              <w:keepLines/>
              <w:spacing w:after="0" w:line="276" w:lineRule="auto"/>
            </w:pPr>
            <w:r>
              <w:rPr>
                <w:rFonts w:ascii="Calibri" w:hAnsi="Calibri" w:eastAsia="Microsoft YaHei"/>
                <w:color w:val="0B2545"/>
                <w:sz w:val="15"/>
              </w:rPr>
              <w:t>PDT-015</w:t>
            </w:r>
          </w:p>
        </w:tc>
        <w:tc>
          <w:tcPr>
            <w:tcW w:type="dxa" w:w="750"/>
          </w:tcPr>
          <w:p>
            <w:pPr>
              <w:keepLines/>
              <w:spacing w:after="0" w:line="276" w:lineRule="auto"/>
            </w:pPr>
            <w:r>
              <w:rPr>
                <w:rFonts w:ascii="Calibri" w:hAnsi="Calibri" w:eastAsia="Microsoft YaHei"/>
                <w:color w:val="0B2545"/>
                <w:sz w:val="15"/>
              </w:rPr>
              <w:t>E2</w:t>
            </w:r>
          </w:p>
        </w:tc>
        <w:tc>
          <w:tcPr>
            <w:tcW w:type="dxa" w:w="750"/>
          </w:tcPr>
          <w:p>
            <w:pPr>
              <w:keepLines/>
              <w:spacing w:after="0" w:line="276" w:lineRule="auto"/>
            </w:pPr>
            <w:r>
              <w:rPr>
                <w:rFonts w:ascii="Calibri" w:hAnsi="Calibri" w:eastAsia="Microsoft YaHei"/>
                <w:color w:val="0B2545"/>
                <w:sz w:val="15"/>
              </w:rPr>
              <w:t>D2</w:t>
            </w:r>
          </w:p>
        </w:tc>
        <w:tc>
          <w:tcPr>
            <w:tcW w:type="dxa" w:w="2100"/>
          </w:tcPr>
          <w:p>
            <w:pPr>
              <w:keepLines/>
              <w:spacing w:after="0" w:line="276" w:lineRule="auto"/>
            </w:pPr>
            <w:r>
              <w:rPr>
                <w:rFonts w:ascii="Calibri" w:hAnsi="Calibri" w:eastAsia="Microsoft YaHei"/>
                <w:color w:val="0B2545"/>
                <w:sz w:val="15"/>
              </w:rPr>
              <w:t>OPTICAL；ENGINEERING_SENSOR；COMPUTATIONAL</w:t>
            </w:r>
          </w:p>
        </w:tc>
        <w:tc>
          <w:tcPr>
            <w:tcW w:type="dxa" w:w="4560"/>
          </w:tcPr>
          <w:p>
            <w:pPr>
              <w:keepLines/>
              <w:spacing w:after="0" w:line="276" w:lineRule="auto"/>
            </w:pPr>
            <w:r>
              <w:rPr>
                <w:rFonts w:ascii="Calibri" w:hAnsi="Calibri" w:eastAsia="Microsoft YaHei"/>
                <w:color w:val="0B2545"/>
                <w:sz w:val="15"/>
              </w:rPr>
              <w:t>ITER remote handling prototypes；RACE mock-ups</w:t>
            </w:r>
          </w:p>
        </w:tc>
      </w:tr>
    </w:tbl>
    <w:p>
      <w:pPr>
        <w:spacing w:before="0" w:after="60"/>
      </w:pPr>
    </w:p>
    <w:p>
      <w:pPr>
        <w:widowControl/>
      </w:pPr>
      <w:r>
        <w:rPr>
          <w:rFonts w:ascii="Calibri" w:hAnsi="Calibri" w:eastAsia="Microsoft YaHei"/>
          <w:b/>
          <w:color w:val="1F4D78"/>
        </w:rPr>
        <w:t>解决问题：</w:t>
      </w:r>
      <w:r>
        <w:rPr>
          <w:rFonts w:ascii="Calibri" w:hAnsi="Calibri" w:eastAsia="Microsoft YaHei"/>
        </w:rPr>
        <w:t>D-T 后活化和氚污染使人员无法进入，需在低可视、辐照、真空和狭窄空间中检查 PFC、定位缺陷并维护诊断。</w:t>
      </w:r>
    </w:p>
    <w:p>
      <w:pPr>
        <w:widowControl/>
      </w:pPr>
      <w:r>
        <w:rPr>
          <w:rFonts w:ascii="Calibri" w:hAnsi="Calibri" w:eastAsia="Microsoft YaHei"/>
          <w:b/>
          <w:color w:val="1F4D78"/>
        </w:rPr>
        <w:t>测量原理：</w:t>
      </w:r>
      <w:r>
        <w:rPr>
          <w:rFonts w:ascii="Calibri" w:hAnsi="Calibri" w:eastAsia="Microsoft YaHei"/>
        </w:rPr>
        <w:t>IVVS、多用途部署器、转运/热室系统与 eye-in-hand 视觉/三维标记完成检查和计量；通过全尺寸 mock-up、远程连接器和维护流程试验验证。</w:t>
      </w:r>
    </w:p>
    <w:p>
      <w:pPr>
        <w:widowControl/>
      </w:pPr>
      <w:r>
        <w:rPr>
          <w:rFonts w:ascii="Calibri" w:hAnsi="Calibri" w:eastAsia="Microsoft YaHei"/>
          <w:b/>
          <w:color w:val="1F4D78"/>
        </w:rPr>
        <w:t>测量产品：</w:t>
      </w:r>
      <w:r>
        <w:rPr>
          <w:rFonts w:ascii="Calibri" w:hAnsi="Calibri" w:eastAsia="Microsoft YaHei"/>
        </w:rPr>
        <w:t>部件位姿 [m/rad]；尺寸/间隙 [mm]；图像缺陷与污染；机器人关节/载荷状态；任务与证据状态</w:t>
      </w:r>
    </w:p>
    <w:p>
      <w:pPr>
        <w:widowControl/>
      </w:pPr>
      <w:r>
        <w:rPr>
          <w:rFonts w:ascii="Calibri" w:hAnsi="Calibri" w:eastAsia="Microsoft YaHei"/>
          <w:b/>
          <w:color w:val="1F4D78"/>
        </w:rPr>
        <w:t>时空分辨与覆盖：</w:t>
      </w:r>
      <w:r>
        <w:rPr>
          <w:rFonts w:ascii="Calibri" w:hAnsi="Calibri" w:eastAsia="Microsoft YaHei"/>
        </w:rPr>
        <w:t>时间：脉冲间检查、停堆维护小时—月；空间：由视线、几何和反演设定；原始来源未给出统一数值。</w:t>
      </w:r>
    </w:p>
    <w:p>
      <w:pPr>
        <w:widowControl/>
      </w:pPr>
      <w:r>
        <w:rPr>
          <w:rFonts w:ascii="Calibri" w:hAnsi="Calibri" w:eastAsia="Microsoft YaHei"/>
          <w:b/>
          <w:color w:val="1F4D78"/>
        </w:rPr>
        <w:t>仪器与传感器：</w:t>
      </w:r>
      <w:r>
        <w:rPr>
          <w:rFonts w:ascii="Calibri" w:hAnsi="Calibri" w:eastAsia="Microsoft YaHei"/>
        </w:rPr>
        <w:t>radiation-tolerant cameras；structured/marker vision；joint encoders；force/torque；tool status；metrology targets</w:t>
      </w:r>
    </w:p>
    <w:p>
      <w:pPr>
        <w:widowControl/>
      </w:pPr>
      <w:r>
        <w:rPr>
          <w:rFonts w:ascii="Calibri" w:hAnsi="Calibri" w:eastAsia="Microsoft YaHei"/>
          <w:b/>
          <w:color w:val="1F4D78"/>
        </w:rPr>
        <w:t>标定与质量：</w:t>
      </w:r>
      <w:r>
        <w:rPr>
          <w:rFonts w:ascii="Calibri" w:hAnsi="Calibri" w:eastAsia="Microsoft YaHei"/>
        </w:rPr>
        <w:t>以相机内外参、机器人运动学、计量基准件和全尺寸 mock-up 校准，并对连接器/工具重复定位和辐照后漂移复验。</w:t>
      </w:r>
    </w:p>
    <w:p>
      <w:pPr>
        <w:widowControl/>
      </w:pPr>
      <w:r>
        <w:rPr>
          <w:rFonts w:ascii="Calibri" w:hAnsi="Calibri" w:eastAsia="Microsoft YaHei"/>
          <w:b/>
          <w:color w:val="1F4D78"/>
        </w:rPr>
        <w:t>反演与分析：</w:t>
      </w:r>
      <w:r>
        <w:rPr>
          <w:rFonts w:ascii="Calibri" w:hAnsi="Calibri" w:eastAsia="Microsoft YaHei"/>
        </w:rPr>
        <w:t>视觉配准、尺寸/间隙判据、变化检测与机器人状态一致性检查支持人工审批；自动化边界取决于已验证算法。</w:t>
      </w:r>
    </w:p>
    <w:p>
      <w:pPr>
        <w:widowControl/>
      </w:pPr>
      <w:r>
        <w:rPr>
          <w:rFonts w:ascii="Calibri" w:hAnsi="Calibri" w:eastAsia="Microsoft YaHei"/>
          <w:b/>
          <w:color w:val="1F4D78"/>
        </w:rPr>
        <w:t>验证与应用：</w:t>
      </w:r>
      <w:r>
        <w:rPr>
          <w:rFonts w:ascii="Calibri" w:hAnsi="Calibri" w:eastAsia="Microsoft YaHei"/>
        </w:rPr>
        <w:t>设计、部件样机和全尺寸关键接口/载荷演示；尚无活化 ITER in-vessel operation。</w:t>
      </w:r>
    </w:p>
    <w:p>
      <w:pPr>
        <w:widowControl/>
      </w:pPr>
      <w:r>
        <w:rPr>
          <w:rFonts w:ascii="Calibri" w:hAnsi="Calibri" w:eastAsia="Microsoft YaHei"/>
          <w:b/>
          <w:color w:val="1F4D78"/>
        </w:rPr>
        <w:t>局限与边界：</w:t>
      </w:r>
      <w:r>
        <w:rPr>
          <w:rFonts w:ascii="Calibri" w:hAnsi="Calibri" w:eastAsia="Microsoft YaHei"/>
        </w:rPr>
        <w:t>mock-up 无法完全覆盖辐照、污染、视野退化、长时延和罕见 recovery；人的授权和应急接管不可省略。</w:t>
      </w:r>
    </w:p>
    <w:tbl>
      <w:tblPr>
        <w:tblStyle w:val="TableGrid"/>
        <w:tblW w:type="dxa" w:w="9360"/>
        <w:jc w:val="left"/>
        <w:tblLayout w:type="fixed"/>
        <w:tblLook w:firstColumn="1" w:firstRow="1" w:lastColumn="0" w:lastRow="0" w:noHBand="0" w:noVBand="1" w:val="04A0"/>
        <w:tblInd w:w="120" w:type="dxa"/>
      </w:tblPr>
      <w:tblGrid>
        <w:gridCol w:w="9360"/>
      </w:tblGrid>
      <w:tr>
        <w:trPr>
          <w:cantSplit/>
        </w:trPr>
        <w:tc>
          <w:tcPr>
            <w:tcW w:type="dxa" w:w="9360"/>
            <w:tcMar>
              <w:top w:w="80" w:type="dxa"/>
              <w:bottom w:w="80" w:type="dxa"/>
              <w:start w:w="120" w:type="dxa"/>
              <w:end w:w="120" w:type="dxa"/>
            </w:tcMar>
            <w:vAlign w:val="center"/>
            <w:shd w:fill="EEF7F7"/>
          </w:tcPr>
          <w:p>
            <w:pPr>
              <w:keepNext/>
              <w:keepLines/>
              <w:spacing w:after="40"/>
            </w:pPr>
            <w:r>
              <w:rPr>
                <w:rFonts w:ascii="Calibri" w:hAnsi="Calibri" w:eastAsia="Microsoft YaHei"/>
                <w:b/>
                <w:color w:val="008C95"/>
                <w:sz w:val="17"/>
              </w:rPr>
              <w:t>DIGITAL-TWIN RELEVANCE</w:t>
            </w:r>
          </w:p>
          <w:p>
            <w:pPr>
              <w:spacing w:after="0"/>
            </w:pPr>
            <w:r>
              <w:rPr>
                <w:rFonts w:ascii="Calibri" w:hAnsi="Calibri" w:eastAsia="Microsoft YaHei"/>
                <w:color w:val="0B2545"/>
                <w:sz w:val="20"/>
              </w:rPr>
              <w:t>需要 as-maintained CAD、辐照剂量、可达性、工具/机器人健康和步骤证据共同驱动维护孪生。</w:t>
            </w:r>
          </w:p>
        </w:tc>
      </w:tr>
    </w:tbl>
    <w:p>
      <w:pPr>
        <w:spacing w:after="40"/>
      </w:pPr>
    </w:p>
    <w:tbl>
      <w:tblPr>
        <w:tblStyle w:val="TableGrid"/>
        <w:tblW w:type="dxa" w:w="9360"/>
        <w:jc w:val="left"/>
        <w:tblLayout w:type="fixed"/>
        <w:tblLook w:firstColumn="1" w:firstRow="1" w:lastColumn="0" w:lastRow="0" w:noHBand="0" w:noVBand="1" w:val="04A0"/>
        <w:tblInd w:w="120" w:type="dxa"/>
      </w:tblPr>
      <w:tblGrid>
        <w:gridCol w:w="850"/>
        <w:gridCol w:w="2500"/>
        <w:gridCol w:w="1600"/>
        <w:gridCol w:w="2300"/>
        <w:gridCol w:w="2110"/>
      </w:tblGrid>
      <w:tr>
        <w:trPr>
          <w:tblHeader w:val="true"/>
        </w:trPr>
        <w:tc>
          <w:tcPr>
            <w:tcW w:type="dxa" w:w="8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年份/类型</w:t>
            </w:r>
          </w:p>
        </w:tc>
        <w:tc>
          <w:tcPr>
            <w:tcW w:type="dxa" w:w="25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论文或软件</w:t>
            </w:r>
          </w:p>
        </w:tc>
        <w:tc>
          <w:tcPr>
            <w:tcW w:type="dxa" w:w="16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期刊/开放性</w:t>
            </w:r>
          </w:p>
        </w:tc>
        <w:tc>
          <w:tcPr>
            <w:tcW w:type="dxa" w:w="23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来源类型/关系</w:t>
            </w:r>
          </w:p>
        </w:tc>
        <w:tc>
          <w:tcPr>
            <w:tcW w:type="dxa" w:w="211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链接</w:t>
            </w:r>
          </w:p>
        </w:tc>
      </w:tr>
      <w:tr>
        <w:trPr>
          <w:cantSplit/>
        </w:trPr>
        <w:tc>
          <w:tcPr>
            <w:tcW w:type="dxa" w:w="850"/>
          </w:tcPr>
          <w:p>
            <w:pPr>
              <w:keepLines/>
              <w:spacing w:after="0" w:line="276" w:lineRule="auto"/>
            </w:pPr>
            <w:r>
              <w:rPr>
                <w:rFonts w:ascii="Calibri" w:hAnsi="Calibri" w:eastAsia="Microsoft YaHei"/>
                <w:color w:val="0B2545"/>
                <w:sz w:val="14"/>
              </w:rPr>
              <w:t>2011</w:t>
            </w:r>
          </w:p>
        </w:tc>
        <w:tc>
          <w:tcPr>
            <w:tcW w:type="dxa" w:w="2500"/>
          </w:tcPr>
          <w:p>
            <w:pPr>
              <w:keepLines/>
              <w:spacing w:after="0" w:line="276" w:lineRule="auto"/>
            </w:pPr>
            <w:r>
              <w:rPr>
                <w:rFonts w:ascii="Calibri" w:hAnsi="Calibri" w:eastAsia="Microsoft YaHei"/>
                <w:color w:val="0B2545"/>
                <w:sz w:val="14"/>
              </w:rPr>
              <w:t>The remote handling systems for ITER</w:t>
            </w:r>
          </w:p>
        </w:tc>
        <w:tc>
          <w:tcPr>
            <w:tcW w:type="dxa" w:w="1600"/>
          </w:tcPr>
          <w:p>
            <w:pPr>
              <w:keepLines/>
              <w:spacing w:after="0" w:line="276" w:lineRule="auto"/>
            </w:pPr>
            <w:r>
              <w:rPr>
                <w:rFonts w:ascii="Calibri" w:hAnsi="Calibri" w:eastAsia="Microsoft YaHei"/>
                <w:color w:val="0B2545"/>
                <w:sz w:val="14"/>
              </w:rPr>
              <w:t>Fusion Engineering and Design</w:t>
            </w:r>
          </w:p>
        </w:tc>
        <w:tc>
          <w:tcPr>
            <w:tcW w:type="dxa" w:w="2300"/>
          </w:tcPr>
          <w:p>
            <w:pPr>
              <w:keepLines/>
              <w:spacing w:after="0" w:line="276" w:lineRule="auto"/>
            </w:pPr>
            <w:r>
              <w:rPr>
                <w:rFonts w:ascii="Calibri" w:hAnsi="Calibri" w:eastAsia="Microsoft YaHei"/>
                <w:color w:val="0B2545"/>
                <w:sz w:val="14"/>
              </w:rPr>
              <w:t>peer-reviewed system design paper</w:t>
            </w:r>
          </w:p>
        </w:tc>
        <w:tc>
          <w:tcPr>
            <w:tcW w:type="dxa" w:w="2110"/>
          </w:tcPr>
          <w:p>
            <w:pPr>
              <w:keepLines/>
              <w:spacing w:after="0" w:line="276" w:lineRule="auto"/>
            </w:pPr>
            <w:hyperlink r:id="rId149">
              <w:r>
                <w:rPr>
                  <w:rFonts w:ascii="Calibri" w:hAnsi="Calibri" w:eastAsia="Microsoft YaHei"/>
                  <w:color w:val="008C95"/>
                  <w:u w:val="single"/>
                </w:rPr>
                <w:t>打开原始来源 ↗</w:t>
              </w:r>
            </w:hyperlink>
          </w:p>
        </w:tc>
      </w:tr>
      <w:tr>
        <w:trPr>
          <w:cantSplit/>
        </w:trPr>
        <w:tc>
          <w:tcPr>
            <w:tcW w:type="dxa" w:w="850"/>
          </w:tcPr>
          <w:p>
            <w:pPr>
              <w:keepLines/>
              <w:spacing w:after="0" w:line="276" w:lineRule="auto"/>
            </w:pPr>
            <w:r>
              <w:rPr>
                <w:rFonts w:ascii="Calibri" w:hAnsi="Calibri" w:eastAsia="Microsoft YaHei"/>
                <w:color w:val="0B2545"/>
                <w:sz w:val="14"/>
              </w:rPr>
              <w:t>2023</w:t>
            </w:r>
          </w:p>
        </w:tc>
        <w:tc>
          <w:tcPr>
            <w:tcW w:type="dxa" w:w="2500"/>
          </w:tcPr>
          <w:p>
            <w:pPr>
              <w:keepLines/>
              <w:spacing w:after="0" w:line="276" w:lineRule="auto"/>
            </w:pPr>
            <w:r>
              <w:rPr>
                <w:rFonts w:ascii="Calibri" w:hAnsi="Calibri" w:eastAsia="Microsoft YaHei"/>
                <w:color w:val="0B2545"/>
                <w:sz w:val="14"/>
              </w:rPr>
              <w:t>Design and Prototyping of Remote Handling Electrical Connector for Diagnostic Rack in ITER</w:t>
            </w:r>
          </w:p>
        </w:tc>
        <w:tc>
          <w:tcPr>
            <w:tcW w:type="dxa" w:w="1600"/>
          </w:tcPr>
          <w:p>
            <w:pPr>
              <w:keepLines/>
              <w:spacing w:after="0" w:line="276" w:lineRule="auto"/>
            </w:pPr>
            <w:r>
              <w:rPr>
                <w:rFonts w:ascii="Calibri" w:hAnsi="Calibri" w:eastAsia="Microsoft YaHei"/>
                <w:color w:val="0B2545"/>
                <w:sz w:val="14"/>
              </w:rPr>
              <w:t>原始论文 / 官方来源</w:t>
            </w:r>
          </w:p>
        </w:tc>
        <w:tc>
          <w:tcPr>
            <w:tcW w:type="dxa" w:w="2300"/>
          </w:tcPr>
          <w:p>
            <w:pPr>
              <w:keepLines/>
              <w:spacing w:after="0" w:line="276" w:lineRule="auto"/>
            </w:pPr>
            <w:r>
              <w:rPr>
                <w:rFonts w:ascii="Calibri" w:hAnsi="Calibri" w:eastAsia="Microsoft YaHei"/>
                <w:color w:val="0B2545"/>
                <w:sz w:val="14"/>
              </w:rPr>
              <w:t>peer-reviewed component prototype</w:t>
            </w:r>
          </w:p>
        </w:tc>
        <w:tc>
          <w:tcPr>
            <w:tcW w:type="dxa" w:w="2110"/>
          </w:tcPr>
          <w:p>
            <w:pPr>
              <w:keepLines/>
              <w:spacing w:after="0" w:line="276" w:lineRule="auto"/>
            </w:pPr>
            <w:hyperlink r:id="rId150">
              <w:r>
                <w:rPr>
                  <w:rFonts w:ascii="Calibri" w:hAnsi="Calibri" w:eastAsia="Microsoft YaHei"/>
                  <w:color w:val="008C95"/>
                  <w:u w:val="single"/>
                </w:rPr>
                <w:t>打开原始来源 ↗</w:t>
              </w:r>
            </w:hyperlink>
          </w:p>
        </w:tc>
      </w:tr>
      <w:tr>
        <w:trPr>
          <w:cantSplit/>
        </w:trPr>
        <w:tc>
          <w:tcPr>
            <w:tcW w:type="dxa" w:w="850"/>
          </w:tcPr>
          <w:p>
            <w:pPr>
              <w:keepLines/>
              <w:spacing w:after="0" w:line="276" w:lineRule="auto"/>
            </w:pPr>
            <w:r>
              <w:rPr>
                <w:rFonts w:ascii="Calibri" w:hAnsi="Calibri" w:eastAsia="Microsoft YaHei"/>
                <w:color w:val="0B2545"/>
                <w:sz w:val="14"/>
              </w:rPr>
              <w:t>2018</w:t>
            </w:r>
          </w:p>
        </w:tc>
        <w:tc>
          <w:tcPr>
            <w:tcW w:type="dxa" w:w="2500"/>
          </w:tcPr>
          <w:p>
            <w:pPr>
              <w:keepLines/>
              <w:spacing w:after="0" w:line="276" w:lineRule="auto"/>
            </w:pPr>
            <w:r>
              <w:rPr>
                <w:rFonts w:ascii="Calibri" w:hAnsi="Calibri" w:eastAsia="Microsoft YaHei"/>
                <w:color w:val="0B2545"/>
                <w:sz w:val="14"/>
              </w:rPr>
              <w:t>Remote handling confirmed</w:t>
            </w:r>
          </w:p>
        </w:tc>
        <w:tc>
          <w:tcPr>
            <w:tcW w:type="dxa" w:w="1600"/>
          </w:tcPr>
          <w:p>
            <w:pPr>
              <w:keepLines/>
              <w:spacing w:after="0" w:line="276" w:lineRule="auto"/>
            </w:pPr>
            <w:r>
              <w:rPr>
                <w:rFonts w:ascii="Calibri" w:hAnsi="Calibri" w:eastAsia="Microsoft YaHei"/>
                <w:color w:val="0B2545"/>
                <w:sz w:val="14"/>
              </w:rPr>
              <w:t>原始论文 / 官方来源</w:t>
            </w:r>
          </w:p>
        </w:tc>
        <w:tc>
          <w:tcPr>
            <w:tcW w:type="dxa" w:w="2300"/>
          </w:tcPr>
          <w:p>
            <w:pPr>
              <w:keepLines/>
              <w:spacing w:after="0" w:line="276" w:lineRule="auto"/>
            </w:pPr>
            <w:r>
              <w:rPr>
                <w:rFonts w:ascii="Calibri" w:hAnsi="Calibri" w:eastAsia="Microsoft YaHei"/>
                <w:color w:val="0B2545"/>
                <w:sz w:val="14"/>
              </w:rPr>
              <w:t>official mock-up test report</w:t>
            </w:r>
          </w:p>
        </w:tc>
        <w:tc>
          <w:tcPr>
            <w:tcW w:type="dxa" w:w="2110"/>
          </w:tcPr>
          <w:p>
            <w:pPr>
              <w:keepLines/>
              <w:spacing w:after="0" w:line="276" w:lineRule="auto"/>
            </w:pPr>
            <w:hyperlink r:id="rId151">
              <w:r>
                <w:rPr>
                  <w:rFonts w:ascii="Calibri" w:hAnsi="Calibri" w:eastAsia="Microsoft YaHei"/>
                  <w:color w:val="008C95"/>
                  <w:u w:val="single"/>
                </w:rPr>
                <w:t>打开原始来源 ↗</w:t>
              </w:r>
            </w:hyperlink>
          </w:p>
        </w:tc>
      </w:tr>
      <w:tr>
        <w:trPr>
          <w:cantSplit/>
        </w:trPr>
        <w:tc>
          <w:tcPr>
            <w:tcW w:type="dxa" w:w="850"/>
          </w:tcPr>
          <w:p>
            <w:pPr>
              <w:keepLines/>
              <w:spacing w:after="0" w:line="276" w:lineRule="auto"/>
            </w:pPr>
            <w:r>
              <w:rPr>
                <w:rFonts w:ascii="Calibri" w:hAnsi="Calibri" w:eastAsia="Microsoft YaHei"/>
                <w:color w:val="0B2545"/>
                <w:sz w:val="14"/>
              </w:rPr>
              <w:t>软件</w:t>
            </w:r>
          </w:p>
        </w:tc>
        <w:tc>
          <w:tcPr>
            <w:tcW w:type="dxa" w:w="2500"/>
          </w:tcPr>
          <w:p>
            <w:pPr>
              <w:keepLines/>
              <w:spacing w:after="0" w:line="276" w:lineRule="auto"/>
            </w:pPr>
            <w:r>
              <w:rPr>
                <w:rFonts w:ascii="Calibri" w:hAnsi="Calibri" w:eastAsia="Microsoft YaHei"/>
                <w:color w:val="0B2545"/>
                <w:sz w:val="14"/>
              </w:rPr>
              <w:t>ITER RH/IVVS control and digital work instructions</w:t>
            </w:r>
          </w:p>
        </w:tc>
        <w:tc>
          <w:tcPr>
            <w:tcW w:type="dxa" w:w="1600"/>
          </w:tcPr>
          <w:p>
            <w:pPr>
              <w:keepLines/>
              <w:spacing w:after="0" w:line="276" w:lineRule="auto"/>
            </w:pPr>
            <w:r>
              <w:rPr>
                <w:rFonts w:ascii="Calibri" w:hAnsi="Calibri" w:eastAsia="Microsoft YaHei"/>
                <w:color w:val="0B2545"/>
                <w:sz w:val="14"/>
              </w:rPr>
              <w:t>not-public</w:t>
            </w:r>
          </w:p>
        </w:tc>
        <w:tc>
          <w:tcPr>
            <w:tcW w:type="dxa" w:w="2300"/>
          </w:tcPr>
          <w:p>
            <w:pPr>
              <w:keepLines/>
              <w:spacing w:after="0" w:line="276" w:lineRule="auto"/>
            </w:pPr>
            <w:r>
              <w:rPr>
                <w:rFonts w:ascii="Calibri" w:hAnsi="Calibri" w:eastAsia="Microsoft YaHei"/>
                <w:color w:val="0B2545"/>
                <w:sz w:val="14"/>
              </w:rPr>
              <w:t>生产机器人、视觉和流程软件受控。</w:t>
            </w:r>
          </w:p>
        </w:tc>
        <w:tc>
          <w:tcPr>
            <w:tcW w:type="dxa" w:w="2110"/>
          </w:tcPr>
          <w:p>
            <w:pPr>
              <w:keepLines/>
              <w:spacing w:after="0" w:line="276" w:lineRule="auto"/>
            </w:pPr>
            <w:r>
              <w:rPr>
                <w:rFonts w:ascii="Calibri" w:hAnsi="Calibri" w:eastAsia="Microsoft YaHei"/>
                <w:color w:val="0B2545"/>
                <w:sz w:val="14"/>
              </w:rPr>
              <w:t>未公开</w:t>
            </w:r>
          </w:p>
        </w:tc>
      </w:tr>
    </w:tbl>
    <w:p>
      <w:pPr>
        <w:spacing w:before="0" w:after="60"/>
      </w:pPr>
    </w:p>
    <w:p>
      <w:pPr>
        <w:pStyle w:val="Heading3"/>
        <w:keepNext/>
      </w:pPr>
      <w:r>
        <w:t>DG8.17  ITER 冷却水系统的热工、水化学、氚与环境排放监测</w:t>
      </w:r>
    </w:p>
    <w:p>
      <w:pPr>
        <w:keepNext/>
        <w:spacing w:after="80"/>
      </w:pPr>
      <w:r>
        <w:rPr>
          <w:rFonts w:ascii="Calibri" w:hAnsi="Calibri" w:eastAsia="Microsoft YaHei"/>
          <w:i/>
          <w:color w:val="566573"/>
          <w:sz w:val="18"/>
        </w:rPr>
        <w:t>Thermal-hydraulic, chemistry, tritium and discharge monitoring for ITER cooling water</w:t>
      </w:r>
    </w:p>
    <w:tbl>
      <w:tblPr>
        <w:tblStyle w:val="TableGrid"/>
        <w:tblW w:type="dxa" w:w="9360"/>
        <w:jc w:val="left"/>
        <w:tblLayout w:type="fixed"/>
        <w:tblLook w:firstColumn="1" w:firstRow="1" w:lastColumn="0" w:lastRow="0" w:noHBand="0" w:noVBand="1" w:val="04A0"/>
        <w:tblInd w:w="120" w:type="dxa"/>
      </w:tblPr>
      <w:tblGrid>
        <w:gridCol w:w="1200"/>
        <w:gridCol w:w="750"/>
        <w:gridCol w:w="750"/>
        <w:gridCol w:w="2100"/>
        <w:gridCol w:w="4560"/>
      </w:tblGrid>
      <w:tr>
        <w:trPr>
          <w:tblHeader w:val="true"/>
        </w:trPr>
        <w:tc>
          <w:tcPr>
            <w:tcW w:type="dxa" w:w="12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工作 ID</w:t>
            </w:r>
          </w:p>
        </w:tc>
        <w:tc>
          <w:tcPr>
            <w:tcW w:type="dxa" w:w="7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证据</w:t>
            </w:r>
          </w:p>
        </w:tc>
        <w:tc>
          <w:tcPr>
            <w:tcW w:type="dxa" w:w="7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部署</w:t>
            </w:r>
          </w:p>
        </w:tc>
        <w:tc>
          <w:tcPr>
            <w:tcW w:type="dxa" w:w="21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技术族</w:t>
            </w:r>
          </w:p>
        </w:tc>
        <w:tc>
          <w:tcPr>
            <w:tcW w:type="dxa" w:w="456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装置</w:t>
            </w:r>
          </w:p>
        </w:tc>
      </w:tr>
      <w:tr>
        <w:trPr>
          <w:cantSplit/>
        </w:trPr>
        <w:tc>
          <w:tcPr>
            <w:tcW w:type="dxa" w:w="1200"/>
          </w:tcPr>
          <w:p>
            <w:pPr>
              <w:keepLines/>
              <w:spacing w:after="0" w:line="276" w:lineRule="auto"/>
            </w:pPr>
            <w:r>
              <w:rPr>
                <w:rFonts w:ascii="Calibri" w:hAnsi="Calibri" w:eastAsia="Microsoft YaHei"/>
                <w:color w:val="0B2545"/>
                <w:sz w:val="15"/>
              </w:rPr>
              <w:t>PDT-016</w:t>
            </w:r>
          </w:p>
        </w:tc>
        <w:tc>
          <w:tcPr>
            <w:tcW w:type="dxa" w:w="750"/>
          </w:tcPr>
          <w:p>
            <w:pPr>
              <w:keepLines/>
              <w:spacing w:after="0" w:line="276" w:lineRule="auto"/>
            </w:pPr>
            <w:r>
              <w:rPr>
                <w:rFonts w:ascii="Calibri" w:hAnsi="Calibri" w:eastAsia="Microsoft YaHei"/>
                <w:color w:val="0B2545"/>
                <w:sz w:val="15"/>
              </w:rPr>
              <w:t>E1</w:t>
            </w:r>
          </w:p>
        </w:tc>
        <w:tc>
          <w:tcPr>
            <w:tcW w:type="dxa" w:w="750"/>
          </w:tcPr>
          <w:p>
            <w:pPr>
              <w:keepLines/>
              <w:spacing w:after="0" w:line="276" w:lineRule="auto"/>
            </w:pPr>
            <w:r>
              <w:rPr>
                <w:rFonts w:ascii="Calibri" w:hAnsi="Calibri" w:eastAsia="Microsoft YaHei"/>
                <w:color w:val="0B2545"/>
                <w:sz w:val="15"/>
              </w:rPr>
              <w:t>D2</w:t>
            </w:r>
          </w:p>
        </w:tc>
        <w:tc>
          <w:tcPr>
            <w:tcW w:type="dxa" w:w="2100"/>
          </w:tcPr>
          <w:p>
            <w:pPr>
              <w:keepLines/>
              <w:spacing w:after="0" w:line="276" w:lineRule="auto"/>
            </w:pPr>
            <w:r>
              <w:rPr>
                <w:rFonts w:ascii="Calibri" w:hAnsi="Calibri" w:eastAsia="Microsoft YaHei"/>
                <w:color w:val="0B2545"/>
                <w:sz w:val="15"/>
              </w:rPr>
              <w:t>PROBE_SAMPLING；ENGINEERING_SENSOR；COMPUTATIONAL</w:t>
            </w:r>
          </w:p>
        </w:tc>
        <w:tc>
          <w:tcPr>
            <w:tcW w:type="dxa" w:w="4560"/>
          </w:tcPr>
          <w:p>
            <w:pPr>
              <w:keepLines/>
              <w:spacing w:after="0" w:line="276" w:lineRule="auto"/>
            </w:pPr>
            <w:r>
              <w:rPr>
                <w:rFonts w:ascii="Calibri" w:hAnsi="Calibri" w:eastAsia="Microsoft YaHei"/>
                <w:color w:val="0B2545"/>
                <w:sz w:val="15"/>
              </w:rPr>
              <w:t>ITER cooling-water plant</w:t>
            </w:r>
          </w:p>
        </w:tc>
      </w:tr>
    </w:tbl>
    <w:p>
      <w:pPr>
        <w:spacing w:before="0" w:after="60"/>
      </w:pPr>
    </w:p>
    <w:p>
      <w:pPr>
        <w:widowControl/>
      </w:pPr>
      <w:r>
        <w:rPr>
          <w:rFonts w:ascii="Calibri" w:hAnsi="Calibri" w:eastAsia="Microsoft YaHei"/>
          <w:b/>
          <w:color w:val="1F4D78"/>
        </w:rPr>
        <w:t>解决问题：</w:t>
      </w:r>
      <w:r>
        <w:rPr>
          <w:rFonts w:ascii="Calibri" w:hAnsi="Calibri" w:eastAsia="Microsoft YaHei"/>
        </w:rPr>
        <w:t>多级闭式换热和开放式排热系统需监视巨大流量、温压、水化学与氚，既保障设备冷却也满足环境排放边界。</w:t>
      </w:r>
    </w:p>
    <w:p>
      <w:pPr>
        <w:widowControl/>
      </w:pPr>
      <w:r>
        <w:rPr>
          <w:rFonts w:ascii="Calibri" w:hAnsi="Calibri" w:eastAsia="Microsoft YaHei"/>
          <w:b/>
          <w:color w:val="1F4D78"/>
        </w:rPr>
        <w:t>测量原理：</w:t>
      </w:r>
      <w:r>
        <w:rPr>
          <w:rFonts w:ascii="Calibri" w:hAnsi="Calibri" w:eastAsia="Microsoft YaHei"/>
        </w:rPr>
        <w:t>在 TCWS/CCWS/HRS 测量 flow、temperature、pressure 和设备状态；排放控制池检测温度、pH、hydrocarbon、chloride、sulphate 与 tritium，越界禁止排放。</w:t>
      </w:r>
    </w:p>
    <w:p>
      <w:pPr>
        <w:widowControl/>
      </w:pPr>
      <w:r>
        <w:rPr>
          <w:rFonts w:ascii="Calibri" w:hAnsi="Calibri" w:eastAsia="Microsoft YaHei"/>
          <w:b/>
          <w:color w:val="1F4D78"/>
        </w:rPr>
        <w:t>测量产品：</w:t>
      </w:r>
      <w:r>
        <w:rPr>
          <w:rFonts w:ascii="Calibri" w:hAnsi="Calibri" w:eastAsia="Microsoft YaHei"/>
        </w:rPr>
        <w:t>温度 [K]；压力 [Pa]；流量 [kg/s]；电导率/pH/溶解组分；氚活度 [Bq]；排放量</w:t>
      </w:r>
    </w:p>
    <w:p>
      <w:pPr>
        <w:widowControl/>
      </w:pPr>
      <w:r>
        <w:rPr>
          <w:rFonts w:ascii="Calibri" w:hAnsi="Calibri" w:eastAsia="Microsoft YaHei"/>
          <w:b/>
          <w:color w:val="1F4D78"/>
        </w:rPr>
        <w:t>时空分辨与覆盖：</w:t>
      </w:r>
      <w:r>
        <w:rPr>
          <w:rFonts w:ascii="Calibri" w:hAnsi="Calibri" w:eastAsia="Microsoft YaHei"/>
        </w:rPr>
        <w:t>时间：秒—分钟过程控制；脉冲热负荷与季节性水质尺度；空间：由视线、几何和反演设定；原始来源未给出统一数值。</w:t>
      </w:r>
    </w:p>
    <w:p>
      <w:pPr>
        <w:widowControl/>
      </w:pPr>
      <w:r>
        <w:rPr>
          <w:rFonts w:ascii="Calibri" w:hAnsi="Calibri" w:eastAsia="Microsoft YaHei"/>
          <w:b/>
          <w:color w:val="1F4D78"/>
        </w:rPr>
        <w:t>仪器与传感器：</w:t>
      </w:r>
      <w:r>
        <w:rPr>
          <w:rFonts w:ascii="Calibri" w:hAnsi="Calibri" w:eastAsia="Microsoft YaHei"/>
        </w:rPr>
        <w:t>flowmeters；temperature/pressure；pH/conductivity/ion chemistry；hydrocarbon analyzers；tritium monitors</w:t>
      </w:r>
    </w:p>
    <w:p>
      <w:pPr>
        <w:widowControl/>
      </w:pPr>
      <w:r>
        <w:rPr>
          <w:rFonts w:ascii="Calibri" w:hAnsi="Calibri" w:eastAsia="Microsoft YaHei"/>
          <w:b/>
          <w:color w:val="1F4D78"/>
        </w:rPr>
        <w:t>标定与质量：</w:t>
      </w:r>
      <w:r>
        <w:rPr>
          <w:rFonts w:ascii="Calibri" w:hAnsi="Calibri" w:eastAsia="Microsoft YaHei"/>
        </w:rPr>
        <w:t>流量、温压、水化学和辐射监测器需按核设施计量链校准，并以取样实验室、质量/能量衡算和功能试验交叉验证。</w:t>
      </w:r>
    </w:p>
    <w:p>
      <w:pPr>
        <w:widowControl/>
      </w:pPr>
      <w:r>
        <w:rPr>
          <w:rFonts w:ascii="Calibri" w:hAnsi="Calibri" w:eastAsia="Microsoft YaHei"/>
          <w:b/>
          <w:color w:val="1F4D78"/>
        </w:rPr>
        <w:t>反演与分析：</w:t>
      </w:r>
      <w:r>
        <w:rPr>
          <w:rFonts w:ascii="Calibri" w:hAnsi="Calibri" w:eastAsia="Microsoft YaHei"/>
        </w:rPr>
        <w:t>质量/能量衡算、化学限值、泄漏/氚趋势和排放许可规则联合产生状态与报警；安全职责保持独立。</w:t>
      </w:r>
    </w:p>
    <w:p>
      <w:pPr>
        <w:widowControl/>
      </w:pPr>
      <w:r>
        <w:rPr>
          <w:rFonts w:ascii="Calibri" w:hAnsi="Calibri" w:eastAsia="Microsoft YaHei"/>
          <w:b/>
          <w:color w:val="1F4D78"/>
        </w:rPr>
        <w:t>验证与应用：</w:t>
      </w:r>
      <w:r>
        <w:rPr>
          <w:rFonts w:ascii="Calibri" w:hAnsi="Calibri" w:eastAsia="Microsoft YaHei"/>
        </w:rPr>
        <w:t>官方系统设计/建设要求；截至报告日期尚无核运行性能证据。</w:t>
      </w:r>
    </w:p>
    <w:p>
      <w:pPr>
        <w:widowControl/>
      </w:pPr>
      <w:r>
        <w:rPr>
          <w:rFonts w:ascii="Calibri" w:hAnsi="Calibri" w:eastAsia="Microsoft YaHei"/>
          <w:b/>
          <w:color w:val="1F4D78"/>
        </w:rPr>
        <w:t>局限与边界：</w:t>
      </w:r>
      <w:r>
        <w:rPr>
          <w:rFonts w:ascii="Calibri" w:hAnsi="Calibri" w:eastAsia="Microsoft YaHei"/>
        </w:rPr>
        <w:t>官方设计参数不是运行统计；传感器冗余、校准、SIL/核安全分级和在线质量控制需项目文件确认。</w:t>
      </w:r>
    </w:p>
    <w:tbl>
      <w:tblPr>
        <w:tblStyle w:val="TableGrid"/>
        <w:tblW w:type="dxa" w:w="9360"/>
        <w:jc w:val="left"/>
        <w:tblLayout w:type="fixed"/>
        <w:tblLook w:firstColumn="1" w:firstRow="1" w:lastColumn="0" w:lastRow="0" w:noHBand="0" w:noVBand="1" w:val="04A0"/>
        <w:tblInd w:w="120" w:type="dxa"/>
      </w:tblPr>
      <w:tblGrid>
        <w:gridCol w:w="9360"/>
      </w:tblGrid>
      <w:tr>
        <w:trPr>
          <w:cantSplit/>
        </w:trPr>
        <w:tc>
          <w:tcPr>
            <w:tcW w:type="dxa" w:w="9360"/>
            <w:tcMar>
              <w:top w:w="80" w:type="dxa"/>
              <w:bottom w:w="80" w:type="dxa"/>
              <w:start w:w="120" w:type="dxa"/>
              <w:end w:w="120" w:type="dxa"/>
            </w:tcMar>
            <w:vAlign w:val="center"/>
            <w:shd w:fill="EEF7F7"/>
          </w:tcPr>
          <w:p>
            <w:pPr>
              <w:keepNext/>
              <w:keepLines/>
              <w:spacing w:after="40"/>
            </w:pPr>
            <w:r>
              <w:rPr>
                <w:rFonts w:ascii="Calibri" w:hAnsi="Calibri" w:eastAsia="Microsoft YaHei"/>
                <w:b/>
                <w:color w:val="008C95"/>
                <w:sz w:val="17"/>
              </w:rPr>
              <w:t>DIGITAL-TWIN RELEVANCE</w:t>
            </w:r>
          </w:p>
          <w:p>
            <w:pPr>
              <w:spacing w:after="0"/>
            </w:pPr>
            <w:r>
              <w:rPr>
                <w:rFonts w:ascii="Calibri" w:hAnsi="Calibri" w:eastAsia="Microsoft YaHei"/>
                <w:color w:val="0B2545"/>
                <w:sz w:val="20"/>
              </w:rPr>
              <w:t>电厂孪生需将 plasma pulse heat、组件热容、回路动态、冷却塔和排放许可统一计算，并保留测量不确定度。</w:t>
            </w:r>
          </w:p>
        </w:tc>
      </w:tr>
    </w:tbl>
    <w:p>
      <w:pPr>
        <w:spacing w:after="40"/>
      </w:pPr>
    </w:p>
    <w:tbl>
      <w:tblPr>
        <w:tblStyle w:val="TableGrid"/>
        <w:tblW w:type="dxa" w:w="9360"/>
        <w:jc w:val="left"/>
        <w:tblLayout w:type="fixed"/>
        <w:tblLook w:firstColumn="1" w:firstRow="1" w:lastColumn="0" w:lastRow="0" w:noHBand="0" w:noVBand="1" w:val="04A0"/>
        <w:tblInd w:w="120" w:type="dxa"/>
      </w:tblPr>
      <w:tblGrid>
        <w:gridCol w:w="850"/>
        <w:gridCol w:w="2500"/>
        <w:gridCol w:w="1600"/>
        <w:gridCol w:w="2300"/>
        <w:gridCol w:w="2110"/>
      </w:tblGrid>
      <w:tr>
        <w:trPr>
          <w:tblHeader w:val="true"/>
        </w:trPr>
        <w:tc>
          <w:tcPr>
            <w:tcW w:type="dxa" w:w="8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年份/类型</w:t>
            </w:r>
          </w:p>
        </w:tc>
        <w:tc>
          <w:tcPr>
            <w:tcW w:type="dxa" w:w="25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论文或软件</w:t>
            </w:r>
          </w:p>
        </w:tc>
        <w:tc>
          <w:tcPr>
            <w:tcW w:type="dxa" w:w="16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期刊/开放性</w:t>
            </w:r>
          </w:p>
        </w:tc>
        <w:tc>
          <w:tcPr>
            <w:tcW w:type="dxa" w:w="23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来源类型/关系</w:t>
            </w:r>
          </w:p>
        </w:tc>
        <w:tc>
          <w:tcPr>
            <w:tcW w:type="dxa" w:w="211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链接</w:t>
            </w:r>
          </w:p>
        </w:tc>
      </w:tr>
      <w:tr>
        <w:trPr>
          <w:cantSplit/>
        </w:trPr>
        <w:tc>
          <w:tcPr>
            <w:tcW w:type="dxa" w:w="850"/>
          </w:tcPr>
          <w:p>
            <w:pPr>
              <w:keepLines/>
              <w:spacing w:after="0" w:line="276" w:lineRule="auto"/>
            </w:pPr>
            <w:r>
              <w:rPr>
                <w:rFonts w:ascii="Calibri" w:hAnsi="Calibri" w:eastAsia="Microsoft YaHei"/>
                <w:color w:val="0B2545"/>
                <w:sz w:val="14"/>
              </w:rPr>
              <w:t>2026</w:t>
            </w:r>
          </w:p>
        </w:tc>
        <w:tc>
          <w:tcPr>
            <w:tcW w:type="dxa" w:w="2500"/>
          </w:tcPr>
          <w:p>
            <w:pPr>
              <w:keepLines/>
              <w:spacing w:after="0" w:line="276" w:lineRule="auto"/>
            </w:pPr>
            <w:r>
              <w:rPr>
                <w:rFonts w:ascii="Calibri" w:hAnsi="Calibri" w:eastAsia="Microsoft YaHei"/>
                <w:color w:val="0B2545"/>
                <w:sz w:val="14"/>
              </w:rPr>
              <w:t>ITER Cooling Water</w:t>
            </w:r>
          </w:p>
        </w:tc>
        <w:tc>
          <w:tcPr>
            <w:tcW w:type="dxa" w:w="1600"/>
          </w:tcPr>
          <w:p>
            <w:pPr>
              <w:keepLines/>
              <w:spacing w:after="0" w:line="276" w:lineRule="auto"/>
            </w:pPr>
            <w:r>
              <w:rPr>
                <w:rFonts w:ascii="Calibri" w:hAnsi="Calibri" w:eastAsia="Microsoft YaHei"/>
                <w:color w:val="0B2545"/>
                <w:sz w:val="14"/>
              </w:rPr>
              <w:t>原始论文 / 官方来源</w:t>
            </w:r>
          </w:p>
        </w:tc>
        <w:tc>
          <w:tcPr>
            <w:tcW w:type="dxa" w:w="2300"/>
          </w:tcPr>
          <w:p>
            <w:pPr>
              <w:keepLines/>
              <w:spacing w:after="0" w:line="276" w:lineRule="auto"/>
            </w:pPr>
            <w:r>
              <w:rPr>
                <w:rFonts w:ascii="Calibri" w:hAnsi="Calibri" w:eastAsia="Microsoft YaHei"/>
                <w:color w:val="0B2545"/>
                <w:sz w:val="14"/>
              </w:rPr>
              <w:t>official system description</w:t>
            </w:r>
          </w:p>
        </w:tc>
        <w:tc>
          <w:tcPr>
            <w:tcW w:type="dxa" w:w="2110"/>
          </w:tcPr>
          <w:p>
            <w:pPr>
              <w:keepLines/>
              <w:spacing w:after="0" w:line="276" w:lineRule="auto"/>
            </w:pPr>
            <w:hyperlink r:id="rId152">
              <w:r>
                <w:rPr>
                  <w:rFonts w:ascii="Calibri" w:hAnsi="Calibri" w:eastAsia="Microsoft YaHei"/>
                  <w:color w:val="008C95"/>
                  <w:u w:val="single"/>
                </w:rPr>
                <w:t>打开原始来源 ↗</w:t>
              </w:r>
            </w:hyperlink>
          </w:p>
        </w:tc>
      </w:tr>
      <w:tr>
        <w:trPr>
          <w:cantSplit/>
        </w:trPr>
        <w:tc>
          <w:tcPr>
            <w:tcW w:type="dxa" w:w="850"/>
          </w:tcPr>
          <w:p>
            <w:pPr>
              <w:keepLines/>
              <w:spacing w:after="0" w:line="276" w:lineRule="auto"/>
            </w:pPr>
            <w:r>
              <w:rPr>
                <w:rFonts w:ascii="Calibri" w:hAnsi="Calibri" w:eastAsia="Microsoft YaHei"/>
                <w:color w:val="0B2545"/>
                <w:sz w:val="14"/>
              </w:rPr>
              <w:t>软件</w:t>
            </w:r>
          </w:p>
        </w:tc>
        <w:tc>
          <w:tcPr>
            <w:tcW w:type="dxa" w:w="2500"/>
          </w:tcPr>
          <w:p>
            <w:pPr>
              <w:keepLines/>
              <w:spacing w:after="0" w:line="276" w:lineRule="auto"/>
            </w:pPr>
            <w:r>
              <w:rPr>
                <w:rFonts w:ascii="Calibri" w:hAnsi="Calibri" w:eastAsia="Microsoft YaHei"/>
                <w:color w:val="0B2545"/>
                <w:sz w:val="14"/>
              </w:rPr>
              <w:t>ITER TCWS/CCWS/HRS I&amp;C</w:t>
            </w:r>
          </w:p>
        </w:tc>
        <w:tc>
          <w:tcPr>
            <w:tcW w:type="dxa" w:w="1600"/>
          </w:tcPr>
          <w:p>
            <w:pPr>
              <w:keepLines/>
              <w:spacing w:after="0" w:line="276" w:lineRule="auto"/>
            </w:pPr>
            <w:r>
              <w:rPr>
                <w:rFonts w:ascii="Calibri" w:hAnsi="Calibri" w:eastAsia="Microsoft YaHei"/>
                <w:color w:val="0B2545"/>
                <w:sz w:val="14"/>
              </w:rPr>
              <w:t>not-public</w:t>
            </w:r>
          </w:p>
        </w:tc>
        <w:tc>
          <w:tcPr>
            <w:tcW w:type="dxa" w:w="2300"/>
          </w:tcPr>
          <w:p>
            <w:pPr>
              <w:keepLines/>
              <w:spacing w:after="0" w:line="276" w:lineRule="auto"/>
            </w:pPr>
            <w:r>
              <w:rPr>
                <w:rFonts w:ascii="Calibri" w:hAnsi="Calibri" w:eastAsia="Microsoft YaHei"/>
                <w:color w:val="0B2545"/>
                <w:sz w:val="14"/>
              </w:rPr>
              <w:t>生产 I&amp;C 和 historian 未公开。</w:t>
            </w:r>
          </w:p>
        </w:tc>
        <w:tc>
          <w:tcPr>
            <w:tcW w:type="dxa" w:w="2110"/>
          </w:tcPr>
          <w:p>
            <w:pPr>
              <w:keepLines/>
              <w:spacing w:after="0" w:line="276" w:lineRule="auto"/>
            </w:pPr>
            <w:r>
              <w:rPr>
                <w:rFonts w:ascii="Calibri" w:hAnsi="Calibri" w:eastAsia="Microsoft YaHei"/>
                <w:color w:val="0B2545"/>
                <w:sz w:val="14"/>
              </w:rPr>
              <w:t>未公开</w:t>
            </w:r>
          </w:p>
        </w:tc>
      </w:tr>
    </w:tbl>
    <w:p>
      <w:pPr>
        <w:spacing w:before="0" w:after="60"/>
      </w:pPr>
    </w:p>
    <w:p>
      <w:pPr>
        <w:pStyle w:val="Heading3"/>
        <w:keepNext/>
      </w:pPr>
      <w:r>
        <w:t>DG8.18  EU-DEMO 能量转换与 BOP 状态监测的公开证据缺口</w:t>
      </w:r>
    </w:p>
    <w:p>
      <w:pPr>
        <w:keepNext/>
        <w:spacing w:after="80"/>
      </w:pPr>
      <w:r>
        <w:rPr>
          <w:rFonts w:ascii="Calibri" w:hAnsi="Calibri" w:eastAsia="Microsoft YaHei"/>
          <w:i/>
          <w:color w:val="566573"/>
          <w:sz w:val="18"/>
        </w:rPr>
        <w:t>Evidence gap for condition monitoring of EU-DEMO power conversion and balance of plant</w:t>
      </w:r>
    </w:p>
    <w:tbl>
      <w:tblPr>
        <w:tblStyle w:val="TableGrid"/>
        <w:tblW w:type="dxa" w:w="9360"/>
        <w:jc w:val="left"/>
        <w:tblLayout w:type="fixed"/>
        <w:tblLook w:firstColumn="1" w:firstRow="1" w:lastColumn="0" w:lastRow="0" w:noHBand="0" w:noVBand="1" w:val="04A0"/>
        <w:tblInd w:w="120" w:type="dxa"/>
      </w:tblPr>
      <w:tblGrid>
        <w:gridCol w:w="1200"/>
        <w:gridCol w:w="750"/>
        <w:gridCol w:w="750"/>
        <w:gridCol w:w="2100"/>
        <w:gridCol w:w="4560"/>
      </w:tblGrid>
      <w:tr>
        <w:trPr>
          <w:tblHeader w:val="true"/>
        </w:trPr>
        <w:tc>
          <w:tcPr>
            <w:tcW w:type="dxa" w:w="12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工作 ID</w:t>
            </w:r>
          </w:p>
        </w:tc>
        <w:tc>
          <w:tcPr>
            <w:tcW w:type="dxa" w:w="7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证据</w:t>
            </w:r>
          </w:p>
        </w:tc>
        <w:tc>
          <w:tcPr>
            <w:tcW w:type="dxa" w:w="7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部署</w:t>
            </w:r>
          </w:p>
        </w:tc>
        <w:tc>
          <w:tcPr>
            <w:tcW w:type="dxa" w:w="21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技术族</w:t>
            </w:r>
          </w:p>
        </w:tc>
        <w:tc>
          <w:tcPr>
            <w:tcW w:type="dxa" w:w="456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装置</w:t>
            </w:r>
          </w:p>
        </w:tc>
      </w:tr>
      <w:tr>
        <w:trPr>
          <w:cantSplit/>
        </w:trPr>
        <w:tc>
          <w:tcPr>
            <w:tcW w:type="dxa" w:w="1200"/>
          </w:tcPr>
          <w:p>
            <w:pPr>
              <w:keepLines/>
              <w:spacing w:after="0" w:line="276" w:lineRule="auto"/>
            </w:pPr>
            <w:r>
              <w:rPr>
                <w:rFonts w:ascii="Calibri" w:hAnsi="Calibri" w:eastAsia="Microsoft YaHei"/>
                <w:color w:val="0B2545"/>
                <w:sz w:val="15"/>
              </w:rPr>
              <w:t>PDT-017</w:t>
            </w:r>
          </w:p>
        </w:tc>
        <w:tc>
          <w:tcPr>
            <w:tcW w:type="dxa" w:w="750"/>
          </w:tcPr>
          <w:p>
            <w:pPr>
              <w:keepLines/>
              <w:spacing w:after="0" w:line="276" w:lineRule="auto"/>
            </w:pPr>
            <w:r>
              <w:rPr>
                <w:rFonts w:ascii="Calibri" w:hAnsi="Calibri" w:eastAsia="Microsoft YaHei"/>
                <w:color w:val="0B2545"/>
                <w:sz w:val="15"/>
              </w:rPr>
              <w:t>E0</w:t>
            </w:r>
          </w:p>
        </w:tc>
        <w:tc>
          <w:tcPr>
            <w:tcW w:type="dxa" w:w="750"/>
          </w:tcPr>
          <w:p>
            <w:pPr>
              <w:keepLines/>
              <w:spacing w:after="0" w:line="276" w:lineRule="auto"/>
            </w:pPr>
            <w:r>
              <w:rPr>
                <w:rFonts w:ascii="Calibri" w:hAnsi="Calibri" w:eastAsia="Microsoft YaHei"/>
                <w:color w:val="0B2545"/>
                <w:sz w:val="15"/>
              </w:rPr>
              <w:t>D1</w:t>
            </w:r>
          </w:p>
        </w:tc>
        <w:tc>
          <w:tcPr>
            <w:tcW w:type="dxa" w:w="2100"/>
          </w:tcPr>
          <w:p>
            <w:pPr>
              <w:keepLines/>
              <w:spacing w:after="0" w:line="276" w:lineRule="auto"/>
            </w:pPr>
            <w:r>
              <w:rPr>
                <w:rFonts w:ascii="Calibri" w:hAnsi="Calibri" w:eastAsia="Microsoft YaHei"/>
                <w:color w:val="0B2545"/>
                <w:sz w:val="15"/>
              </w:rPr>
              <w:t>ENGINEERING_SENSOR；COMPUTATIONAL</w:t>
            </w:r>
          </w:p>
        </w:tc>
        <w:tc>
          <w:tcPr>
            <w:tcW w:type="dxa" w:w="4560"/>
          </w:tcPr>
          <w:p>
            <w:pPr>
              <w:keepLines/>
              <w:spacing w:after="0" w:line="276" w:lineRule="auto"/>
            </w:pPr>
            <w:r>
              <w:rPr>
                <w:rFonts w:ascii="Calibri" w:hAnsi="Calibri" w:eastAsia="Microsoft YaHei"/>
                <w:color w:val="0B2545"/>
                <w:sz w:val="15"/>
              </w:rPr>
              <w:t>EU-DEMO conceptual BOP; no fusion-plant deployment</w:t>
            </w:r>
          </w:p>
        </w:tc>
      </w:tr>
    </w:tbl>
    <w:p>
      <w:pPr>
        <w:spacing w:before="0" w:after="60"/>
      </w:pPr>
    </w:p>
    <w:p>
      <w:pPr>
        <w:widowControl/>
      </w:pPr>
      <w:r>
        <w:rPr>
          <w:rFonts w:ascii="Calibri" w:hAnsi="Calibri" w:eastAsia="Microsoft YaHei"/>
          <w:b/>
          <w:color w:val="1F4D78"/>
        </w:rPr>
        <w:t>解决问题：</w:t>
      </w:r>
      <w:r>
        <w:rPr>
          <w:rFonts w:ascii="Calibri" w:hAnsi="Calibri" w:eastAsia="Microsoft YaHei"/>
        </w:rPr>
        <w:t>脉冲聚变热源通过 PHTS、储能、蒸汽发生器、汽轮机/发电机转换为电力；转子振动、轴承、阀门、换热器污堵、热应力和效率退化需要监测，但当前没有运行中的聚变电厂验证。</w:t>
      </w:r>
    </w:p>
    <w:p>
      <w:pPr>
        <w:widowControl/>
      </w:pPr>
      <w:r>
        <w:rPr>
          <w:rFonts w:ascii="Calibri" w:hAnsi="Calibri" w:eastAsia="Microsoft YaHei"/>
          <w:b/>
          <w:color w:val="1F4D78"/>
        </w:rPr>
        <w:t>测量原理：</w:t>
      </w:r>
      <w:r>
        <w:rPr>
          <w:rFonts w:ascii="Calibri" w:hAnsi="Calibri" w:eastAsia="Microsoft YaHei"/>
        </w:rPr>
        <w:t>公开 EU-DEMO 研究主要比较热力架构、脉冲缓冲和循环效率；未来需引入工业汽轮机振动/油液/温压、发电机局放/电气、换热器性能和阀泵健康，并用热力孪生做残差。</w:t>
      </w:r>
    </w:p>
    <w:p>
      <w:pPr>
        <w:widowControl/>
      </w:pPr>
      <w:r>
        <w:rPr>
          <w:rFonts w:ascii="Calibri" w:hAnsi="Calibri" w:eastAsia="Microsoft YaHei"/>
          <w:b/>
          <w:color w:val="1F4D78"/>
        </w:rPr>
        <w:t>测量产品：</w:t>
      </w:r>
      <w:r>
        <w:rPr>
          <w:rFonts w:ascii="Calibri" w:hAnsi="Calibri" w:eastAsia="Microsoft YaHei"/>
        </w:rPr>
        <w:t>蒸汽/工质温度与压力；流量；换热器温差；泵/汽轮机振动；发电功率与效率；储能状态</w:t>
      </w:r>
    </w:p>
    <w:p>
      <w:pPr>
        <w:widowControl/>
      </w:pPr>
      <w:r>
        <w:rPr>
          <w:rFonts w:ascii="Calibri" w:hAnsi="Calibri" w:eastAsia="Microsoft YaHei"/>
          <w:b/>
          <w:color w:val="1F4D78"/>
        </w:rPr>
        <w:t>时空分辨与覆盖：</w:t>
      </w:r>
      <w:r>
        <w:rPr>
          <w:rFonts w:ascii="Calibri" w:hAnsi="Calibri" w:eastAsia="Microsoft YaHei"/>
        </w:rPr>
        <w:t>时间：毫秒电气扰动、秒—小时热力动态、月—年退化；空间：由视线、几何和反演设定；原始来源未给出统一数值。</w:t>
      </w:r>
    </w:p>
    <w:p>
      <w:pPr>
        <w:widowControl/>
      </w:pPr>
      <w:r>
        <w:rPr>
          <w:rFonts w:ascii="Calibri" w:hAnsi="Calibri" w:eastAsia="Microsoft YaHei"/>
          <w:b/>
          <w:color w:val="1F4D78"/>
        </w:rPr>
        <w:t>仪器与传感器：</w:t>
      </w:r>
      <w:r>
        <w:rPr>
          <w:rFonts w:ascii="Calibri" w:hAnsi="Calibri" w:eastAsia="Microsoft YaHei"/>
        </w:rPr>
        <w:t>shaft vibration/position；bearing temperature/oil debris；pressure/flow/temperature；generator electrical/partial discharge；valve/pump status；chemistry</w:t>
      </w:r>
    </w:p>
    <w:p>
      <w:pPr>
        <w:widowControl/>
      </w:pPr>
      <w:r>
        <w:rPr>
          <w:rFonts w:ascii="Calibri" w:hAnsi="Calibri" w:eastAsia="Microsoft YaHei"/>
          <w:b/>
          <w:color w:val="1F4D78"/>
        </w:rPr>
        <w:t>标定与质量：</w:t>
      </w:r>
      <w:r>
        <w:rPr>
          <w:rFonts w:ascii="Calibri" w:hAnsi="Calibri" w:eastAsia="Microsoft YaHei"/>
        </w:rPr>
        <w:t>公开研究尚未形成聚变电厂装置级标定方案；未来须按汽轮机、泵、换热器、储能和核级仪表标准建立可追溯校准。</w:t>
      </w:r>
    </w:p>
    <w:p>
      <w:pPr>
        <w:widowControl/>
      </w:pPr>
      <w:r>
        <w:rPr>
          <w:rFonts w:ascii="Calibri" w:hAnsi="Calibri" w:eastAsia="Microsoft YaHei"/>
          <w:b/>
          <w:color w:val="1F4D78"/>
        </w:rPr>
        <w:t>反演与分析：</w:t>
      </w:r>
      <w:r>
        <w:rPr>
          <w:rFonts w:ascii="Calibri" w:hAnsi="Calibri" w:eastAsia="Microsoft YaHei"/>
        </w:rPr>
        <w:t>概念上可用热力学残差、性能曲线、振动特征和寿命模型做健康估计，但本记录不声称已在聚变发电厂部署。</w:t>
      </w:r>
    </w:p>
    <w:p>
      <w:pPr>
        <w:widowControl/>
      </w:pPr>
      <w:r>
        <w:rPr>
          <w:rFonts w:ascii="Calibri" w:hAnsi="Calibri" w:eastAsia="Microsoft YaHei"/>
          <w:b/>
          <w:color w:val="1F4D78"/>
        </w:rPr>
        <w:t>验证与应用：</w:t>
      </w:r>
      <w:r>
        <w:rPr>
          <w:rFonts w:ascii="Calibri" w:hAnsi="Calibri" w:eastAsia="Microsoft YaHei"/>
        </w:rPr>
        <w:t>E0：系统设计/仿真；不存在聚变发电运行数据。</w:t>
      </w:r>
    </w:p>
    <w:p>
      <w:pPr>
        <w:widowControl/>
      </w:pPr>
      <w:r>
        <w:rPr>
          <w:rFonts w:ascii="Calibri" w:hAnsi="Calibri" w:eastAsia="Microsoft YaHei"/>
          <w:b/>
          <w:color w:val="1F4D78"/>
        </w:rPr>
        <w:t>局限与边界：</w:t>
      </w:r>
      <w:r>
        <w:rPr>
          <w:rFonts w:ascii="Calibri" w:hAnsi="Calibri" w:eastAsia="Microsoft YaHei"/>
        </w:rPr>
        <w:t>不能用常规电厂传感器清单冒充 fusion validation；脉冲热源、核边界、氚渗透和高可用率会改变故障模式。</w:t>
      </w:r>
    </w:p>
    <w:tbl>
      <w:tblPr>
        <w:tblStyle w:val="TableGrid"/>
        <w:tblW w:type="dxa" w:w="9360"/>
        <w:jc w:val="left"/>
        <w:tblLayout w:type="fixed"/>
        <w:tblLook w:firstColumn="1" w:firstRow="1" w:lastColumn="0" w:lastRow="0" w:noHBand="0" w:noVBand="1" w:val="04A0"/>
        <w:tblInd w:w="120" w:type="dxa"/>
      </w:tblPr>
      <w:tblGrid>
        <w:gridCol w:w="9360"/>
      </w:tblGrid>
      <w:tr>
        <w:trPr>
          <w:cantSplit/>
        </w:trPr>
        <w:tc>
          <w:tcPr>
            <w:tcW w:type="dxa" w:w="9360"/>
            <w:tcMar>
              <w:top w:w="80" w:type="dxa"/>
              <w:bottom w:w="80" w:type="dxa"/>
              <w:start w:w="120" w:type="dxa"/>
              <w:end w:w="120" w:type="dxa"/>
            </w:tcMar>
            <w:vAlign w:val="center"/>
            <w:shd w:fill="EEF7F7"/>
          </w:tcPr>
          <w:p>
            <w:pPr>
              <w:keepNext/>
              <w:keepLines/>
              <w:spacing w:after="40"/>
            </w:pPr>
            <w:r>
              <w:rPr>
                <w:rFonts w:ascii="Calibri" w:hAnsi="Calibri" w:eastAsia="Microsoft YaHei"/>
                <w:b/>
                <w:color w:val="008C95"/>
                <w:sz w:val="17"/>
              </w:rPr>
              <w:t>DIGITAL-TWIN RELEVANCE</w:t>
            </w:r>
          </w:p>
          <w:p>
            <w:pPr>
              <w:spacing w:after="0"/>
            </w:pPr>
            <w:r>
              <w:rPr>
                <w:rFonts w:ascii="Calibri" w:hAnsi="Calibri" w:eastAsia="Microsoft YaHei"/>
                <w:color w:val="0B2545"/>
                <w:sz w:val="20"/>
              </w:rPr>
              <w:t>路线应从可校核热平衡和设备 residual 开始，逐步接入旋转设备与电气健康，而非直接训练无真值的全厂 AI。</w:t>
            </w:r>
          </w:p>
        </w:tc>
      </w:tr>
    </w:tbl>
    <w:p>
      <w:pPr>
        <w:spacing w:after="40"/>
      </w:pPr>
    </w:p>
    <w:tbl>
      <w:tblPr>
        <w:tblStyle w:val="TableGrid"/>
        <w:tblW w:type="dxa" w:w="9360"/>
        <w:jc w:val="left"/>
        <w:tblLayout w:type="fixed"/>
        <w:tblLook w:firstColumn="1" w:firstRow="1" w:lastColumn="0" w:lastRow="0" w:noHBand="0" w:noVBand="1" w:val="04A0"/>
        <w:tblInd w:w="120" w:type="dxa"/>
      </w:tblPr>
      <w:tblGrid>
        <w:gridCol w:w="850"/>
        <w:gridCol w:w="2500"/>
        <w:gridCol w:w="1600"/>
        <w:gridCol w:w="2300"/>
        <w:gridCol w:w="2110"/>
      </w:tblGrid>
      <w:tr>
        <w:trPr>
          <w:tblHeader w:val="true"/>
        </w:trPr>
        <w:tc>
          <w:tcPr>
            <w:tcW w:type="dxa" w:w="8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年份/类型</w:t>
            </w:r>
          </w:p>
        </w:tc>
        <w:tc>
          <w:tcPr>
            <w:tcW w:type="dxa" w:w="25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论文或软件</w:t>
            </w:r>
          </w:p>
        </w:tc>
        <w:tc>
          <w:tcPr>
            <w:tcW w:type="dxa" w:w="16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期刊/开放性</w:t>
            </w:r>
          </w:p>
        </w:tc>
        <w:tc>
          <w:tcPr>
            <w:tcW w:type="dxa" w:w="23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来源类型/关系</w:t>
            </w:r>
          </w:p>
        </w:tc>
        <w:tc>
          <w:tcPr>
            <w:tcW w:type="dxa" w:w="211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链接</w:t>
            </w:r>
          </w:p>
        </w:tc>
      </w:tr>
      <w:tr>
        <w:trPr>
          <w:cantSplit/>
        </w:trPr>
        <w:tc>
          <w:tcPr>
            <w:tcW w:type="dxa" w:w="850"/>
          </w:tcPr>
          <w:p>
            <w:pPr>
              <w:keepLines/>
              <w:spacing w:after="0" w:line="276" w:lineRule="auto"/>
            </w:pPr>
            <w:r>
              <w:rPr>
                <w:rFonts w:ascii="Calibri" w:hAnsi="Calibri" w:eastAsia="Microsoft YaHei"/>
                <w:color w:val="0B2545"/>
                <w:sz w:val="14"/>
              </w:rPr>
              <w:t>2026</w:t>
            </w:r>
          </w:p>
        </w:tc>
        <w:tc>
          <w:tcPr>
            <w:tcW w:type="dxa" w:w="2500"/>
          </w:tcPr>
          <w:p>
            <w:pPr>
              <w:keepLines/>
              <w:spacing w:after="0" w:line="276" w:lineRule="auto"/>
            </w:pPr>
            <w:r>
              <w:rPr>
                <w:rFonts w:ascii="Calibri" w:hAnsi="Calibri" w:eastAsia="Microsoft YaHei"/>
                <w:color w:val="0B2545"/>
                <w:sz w:val="14"/>
              </w:rPr>
              <w:t>Water cooled lithium lead balance of plant indirectly coupled with power conversion system operated with small energy storage in EU DEMO</w:t>
            </w:r>
          </w:p>
        </w:tc>
        <w:tc>
          <w:tcPr>
            <w:tcW w:type="dxa" w:w="1600"/>
          </w:tcPr>
          <w:p>
            <w:pPr>
              <w:keepLines/>
              <w:spacing w:after="0" w:line="276" w:lineRule="auto"/>
            </w:pPr>
            <w:r>
              <w:rPr>
                <w:rFonts w:ascii="Calibri" w:hAnsi="Calibri" w:eastAsia="Microsoft YaHei"/>
                <w:color w:val="0B2545"/>
                <w:sz w:val="14"/>
              </w:rPr>
              <w:t>Fusion Engineering and Design</w:t>
            </w:r>
          </w:p>
        </w:tc>
        <w:tc>
          <w:tcPr>
            <w:tcW w:type="dxa" w:w="2300"/>
          </w:tcPr>
          <w:p>
            <w:pPr>
              <w:keepLines/>
              <w:spacing w:after="0" w:line="276" w:lineRule="auto"/>
            </w:pPr>
            <w:r>
              <w:rPr>
                <w:rFonts w:ascii="Calibri" w:hAnsi="Calibri" w:eastAsia="Microsoft YaHei"/>
                <w:color w:val="0B2545"/>
                <w:sz w:val="14"/>
              </w:rPr>
              <w:t>peer-reviewed conceptual system study</w:t>
            </w:r>
          </w:p>
        </w:tc>
        <w:tc>
          <w:tcPr>
            <w:tcW w:type="dxa" w:w="2110"/>
          </w:tcPr>
          <w:p>
            <w:pPr>
              <w:keepLines/>
              <w:spacing w:after="0" w:line="276" w:lineRule="auto"/>
            </w:pPr>
            <w:hyperlink r:id="rId153">
              <w:r>
                <w:rPr>
                  <w:rFonts w:ascii="Calibri" w:hAnsi="Calibri" w:eastAsia="Microsoft YaHei"/>
                  <w:color w:val="008C95"/>
                  <w:u w:val="single"/>
                </w:rPr>
                <w:t>打开原始来源 ↗</w:t>
              </w:r>
            </w:hyperlink>
          </w:p>
        </w:tc>
      </w:tr>
      <w:tr>
        <w:trPr>
          <w:cantSplit/>
        </w:trPr>
        <w:tc>
          <w:tcPr>
            <w:tcW w:type="dxa" w:w="850"/>
          </w:tcPr>
          <w:p>
            <w:pPr>
              <w:keepLines/>
              <w:spacing w:after="0" w:line="276" w:lineRule="auto"/>
            </w:pPr>
            <w:r>
              <w:rPr>
                <w:rFonts w:ascii="Calibri" w:hAnsi="Calibri" w:eastAsia="Microsoft YaHei"/>
                <w:color w:val="0B2545"/>
                <w:sz w:val="14"/>
              </w:rPr>
              <w:t>软件</w:t>
            </w:r>
          </w:p>
        </w:tc>
        <w:tc>
          <w:tcPr>
            <w:tcW w:type="dxa" w:w="2500"/>
          </w:tcPr>
          <w:p>
            <w:pPr>
              <w:keepLines/>
              <w:spacing w:after="0" w:line="276" w:lineRule="auto"/>
            </w:pPr>
            <w:r>
              <w:rPr>
                <w:rFonts w:ascii="Calibri" w:hAnsi="Calibri" w:eastAsia="Microsoft YaHei"/>
                <w:color w:val="0B2545"/>
                <w:sz w:val="14"/>
              </w:rPr>
              <w:t>EU-DEMO BOP condition-monitoring implementation</w:t>
            </w:r>
          </w:p>
        </w:tc>
        <w:tc>
          <w:tcPr>
            <w:tcW w:type="dxa" w:w="1600"/>
          </w:tcPr>
          <w:p>
            <w:pPr>
              <w:keepLines/>
              <w:spacing w:after="0" w:line="276" w:lineRule="auto"/>
            </w:pPr>
            <w:r>
              <w:rPr>
                <w:rFonts w:ascii="Calibri" w:hAnsi="Calibri" w:eastAsia="Microsoft YaHei"/>
                <w:color w:val="0B2545"/>
                <w:sz w:val="14"/>
              </w:rPr>
              <w:t>not-public</w:t>
            </w:r>
          </w:p>
        </w:tc>
        <w:tc>
          <w:tcPr>
            <w:tcW w:type="dxa" w:w="2300"/>
          </w:tcPr>
          <w:p>
            <w:pPr>
              <w:keepLines/>
              <w:spacing w:after="0" w:line="276" w:lineRule="auto"/>
            </w:pPr>
            <w:r>
              <w:rPr>
                <w:rFonts w:ascii="Calibri" w:hAnsi="Calibri" w:eastAsia="Microsoft YaHei"/>
                <w:color w:val="0B2545"/>
                <w:sz w:val="14"/>
              </w:rPr>
              <w:t>未发现装置级公开实现或数据集。</w:t>
            </w:r>
          </w:p>
        </w:tc>
        <w:tc>
          <w:tcPr>
            <w:tcW w:type="dxa" w:w="2110"/>
          </w:tcPr>
          <w:p>
            <w:pPr>
              <w:keepLines/>
              <w:spacing w:after="0" w:line="276" w:lineRule="auto"/>
            </w:pPr>
            <w:r>
              <w:rPr>
                <w:rFonts w:ascii="Calibri" w:hAnsi="Calibri" w:eastAsia="Microsoft YaHei"/>
                <w:color w:val="0B2545"/>
                <w:sz w:val="14"/>
              </w:rPr>
              <w:t>未公开</w:t>
            </w:r>
          </w:p>
        </w:tc>
      </w:tr>
    </w:tbl>
    <w:p>
      <w:pPr>
        <w:spacing w:before="0" w:after="60"/>
      </w:pPr>
    </w:p>
    <w:p>
      <w:pPr>
        <w:pStyle w:val="Heading3"/>
        <w:keepNext/>
      </w:pPr>
      <w:r>
        <w:t>DG8.19  W7-X 超导线圈独立保护与设备状态链</w:t>
      </w:r>
    </w:p>
    <w:p>
      <w:pPr>
        <w:keepNext/>
        <w:spacing w:after="80"/>
      </w:pPr>
      <w:r>
        <w:rPr>
          <w:rFonts w:ascii="Calibri" w:hAnsi="Calibri" w:eastAsia="Microsoft YaHei"/>
          <w:i/>
          <w:color w:val="566573"/>
          <w:sz w:val="18"/>
        </w:rPr>
        <w:t>Independent superconducting-coil protection and machine-state chain on W7-X</w:t>
      </w:r>
    </w:p>
    <w:tbl>
      <w:tblPr>
        <w:tblStyle w:val="TableGrid"/>
        <w:tblW w:type="dxa" w:w="9360"/>
        <w:jc w:val="left"/>
        <w:tblLayout w:type="fixed"/>
        <w:tblLook w:firstColumn="1" w:firstRow="1" w:lastColumn="0" w:lastRow="0" w:noHBand="0" w:noVBand="1" w:val="04A0"/>
        <w:tblInd w:w="120" w:type="dxa"/>
      </w:tblPr>
      <w:tblGrid>
        <w:gridCol w:w="1200"/>
        <w:gridCol w:w="750"/>
        <w:gridCol w:w="750"/>
        <w:gridCol w:w="2100"/>
        <w:gridCol w:w="4560"/>
      </w:tblGrid>
      <w:tr>
        <w:trPr>
          <w:tblHeader w:val="true"/>
        </w:trPr>
        <w:tc>
          <w:tcPr>
            <w:tcW w:type="dxa" w:w="12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工作 ID</w:t>
            </w:r>
          </w:p>
        </w:tc>
        <w:tc>
          <w:tcPr>
            <w:tcW w:type="dxa" w:w="7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证据</w:t>
            </w:r>
          </w:p>
        </w:tc>
        <w:tc>
          <w:tcPr>
            <w:tcW w:type="dxa" w:w="7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部署</w:t>
            </w:r>
          </w:p>
        </w:tc>
        <w:tc>
          <w:tcPr>
            <w:tcW w:type="dxa" w:w="21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技术族</w:t>
            </w:r>
          </w:p>
        </w:tc>
        <w:tc>
          <w:tcPr>
            <w:tcW w:type="dxa" w:w="456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装置</w:t>
            </w:r>
          </w:p>
        </w:tc>
      </w:tr>
      <w:tr>
        <w:trPr>
          <w:cantSplit/>
        </w:trPr>
        <w:tc>
          <w:tcPr>
            <w:tcW w:type="dxa" w:w="1200"/>
          </w:tcPr>
          <w:p>
            <w:pPr>
              <w:keepLines/>
              <w:spacing w:after="0" w:line="276" w:lineRule="auto"/>
            </w:pPr>
            <w:r>
              <w:rPr>
                <w:rFonts w:ascii="Calibri" w:hAnsi="Calibri" w:eastAsia="Microsoft YaHei"/>
                <w:color w:val="0B2545"/>
                <w:sz w:val="15"/>
              </w:rPr>
              <w:t>PDT-018</w:t>
            </w:r>
          </w:p>
        </w:tc>
        <w:tc>
          <w:tcPr>
            <w:tcW w:type="dxa" w:w="750"/>
          </w:tcPr>
          <w:p>
            <w:pPr>
              <w:keepLines/>
              <w:spacing w:after="0" w:line="276" w:lineRule="auto"/>
            </w:pPr>
            <w:r>
              <w:rPr>
                <w:rFonts w:ascii="Calibri" w:hAnsi="Calibri" w:eastAsia="Microsoft YaHei"/>
                <w:color w:val="0B2545"/>
                <w:sz w:val="15"/>
              </w:rPr>
              <w:t>E3</w:t>
            </w:r>
          </w:p>
        </w:tc>
        <w:tc>
          <w:tcPr>
            <w:tcW w:type="dxa" w:w="750"/>
          </w:tcPr>
          <w:p>
            <w:pPr>
              <w:keepLines/>
              <w:spacing w:after="0" w:line="276" w:lineRule="auto"/>
            </w:pPr>
            <w:r>
              <w:rPr>
                <w:rFonts w:ascii="Calibri" w:hAnsi="Calibri" w:eastAsia="Microsoft YaHei"/>
                <w:color w:val="0B2545"/>
                <w:sz w:val="15"/>
              </w:rPr>
              <w:t>D3</w:t>
            </w:r>
          </w:p>
        </w:tc>
        <w:tc>
          <w:tcPr>
            <w:tcW w:type="dxa" w:w="2100"/>
          </w:tcPr>
          <w:p>
            <w:pPr>
              <w:keepLines/>
              <w:spacing w:after="0" w:line="276" w:lineRule="auto"/>
            </w:pPr>
            <w:r>
              <w:rPr>
                <w:rFonts w:ascii="Calibri" w:hAnsi="Calibri" w:eastAsia="Microsoft YaHei"/>
                <w:color w:val="0B2545"/>
                <w:sz w:val="15"/>
              </w:rPr>
              <w:t>ENGINEERING_SENSOR；COMPUTATIONAL</w:t>
            </w:r>
          </w:p>
        </w:tc>
        <w:tc>
          <w:tcPr>
            <w:tcW w:type="dxa" w:w="4560"/>
          </w:tcPr>
          <w:p>
            <w:pPr>
              <w:keepLines/>
              <w:spacing w:after="0" w:line="276" w:lineRule="auto"/>
            </w:pPr>
            <w:r>
              <w:rPr>
                <w:rFonts w:ascii="Calibri" w:hAnsi="Calibri" w:eastAsia="Microsoft YaHei"/>
                <w:color w:val="0B2545"/>
                <w:sz w:val="15"/>
              </w:rPr>
              <w:t>Wendelstein 7-X</w:t>
            </w:r>
          </w:p>
        </w:tc>
      </w:tr>
    </w:tbl>
    <w:p>
      <w:pPr>
        <w:spacing w:before="0" w:after="60"/>
      </w:pPr>
    </w:p>
    <w:p>
      <w:pPr>
        <w:widowControl/>
      </w:pPr>
      <w:r>
        <w:rPr>
          <w:rFonts w:ascii="Calibri" w:hAnsi="Calibri" w:eastAsia="Microsoft YaHei"/>
          <w:b/>
          <w:color w:val="1F4D78"/>
        </w:rPr>
        <w:t>解决问题：</w:t>
      </w:r>
      <w:r>
        <w:rPr>
          <w:rFonts w:ascii="Calibri" w:hAnsi="Calibri" w:eastAsia="Microsoft YaHei"/>
        </w:rPr>
        <w:t>五十个非平面线圈和二十个平面线圈的复杂耦合需要可靠识别失超并快速释放能量，避免级联损伤。</w:t>
      </w:r>
    </w:p>
    <w:p>
      <w:pPr>
        <w:widowControl/>
      </w:pPr>
      <w:r>
        <w:rPr>
          <w:rFonts w:ascii="Calibri" w:hAnsi="Calibri" w:eastAsia="Microsoft YaHei"/>
          <w:b/>
          <w:color w:val="1F4D78"/>
        </w:rPr>
        <w:t>测量原理：</w:t>
      </w:r>
      <w:r>
        <w:rPr>
          <w:rFonts w:ascii="Calibri" w:hAnsi="Calibri" w:eastAsia="Microsoft YaHei"/>
        </w:rPr>
        <w:t>独立保护系统监视线圈电压/电流与状态，触发断路/放电电阻；关键组件在系统集成前做试验。</w:t>
      </w:r>
    </w:p>
    <w:p>
      <w:pPr>
        <w:widowControl/>
      </w:pPr>
      <w:r>
        <w:rPr>
          <w:rFonts w:ascii="Calibri" w:hAnsi="Calibri" w:eastAsia="Microsoft YaHei"/>
          <w:b/>
          <w:color w:val="1F4D78"/>
        </w:rPr>
        <w:t>测量产品：</w:t>
      </w:r>
      <w:r>
        <w:rPr>
          <w:rFonts w:ascii="Calibri" w:hAnsi="Calibri" w:eastAsia="Microsoft YaHei"/>
        </w:rPr>
        <w:t>线圈差分电压 [V]；电流 [A]；温度 [K]；保护状态与触发时刻</w:t>
      </w:r>
    </w:p>
    <w:p>
      <w:pPr>
        <w:widowControl/>
      </w:pPr>
      <w:r>
        <w:rPr>
          <w:rFonts w:ascii="Calibri" w:hAnsi="Calibri" w:eastAsia="Microsoft YaHei"/>
          <w:b/>
          <w:color w:val="1F4D78"/>
        </w:rPr>
        <w:t>时空分辨与覆盖：</w:t>
      </w:r>
      <w:r>
        <w:rPr>
          <w:rFonts w:ascii="Calibri" w:hAnsi="Calibri" w:eastAsia="Microsoft YaHei"/>
        </w:rPr>
        <w:t>时间：失超毫秒—秒；冷却/恢复小时—天；空间：由视线、几何和反演设定；原始来源未给出统一数值。</w:t>
      </w:r>
    </w:p>
    <w:p>
      <w:pPr>
        <w:widowControl/>
      </w:pPr>
      <w:r>
        <w:rPr>
          <w:rFonts w:ascii="Calibri" w:hAnsi="Calibri" w:eastAsia="Microsoft YaHei"/>
          <w:b/>
          <w:color w:val="1F4D78"/>
        </w:rPr>
        <w:t>仪器与传感器：</w:t>
      </w:r>
      <w:r>
        <w:rPr>
          <w:rFonts w:ascii="Calibri" w:hAnsi="Calibri" w:eastAsia="Microsoft YaHei"/>
        </w:rPr>
        <w:t>voltage taps；current transducers；temperature/pressure；breaker/discharge resistor state</w:t>
      </w:r>
    </w:p>
    <w:p>
      <w:pPr>
        <w:widowControl/>
      </w:pPr>
      <w:r>
        <w:rPr>
          <w:rFonts w:ascii="Calibri" w:hAnsi="Calibri" w:eastAsia="Microsoft YaHei"/>
          <w:b/>
          <w:color w:val="1F4D78"/>
        </w:rPr>
        <w:t>标定与质量：</w:t>
      </w:r>
      <w:r>
        <w:rPr>
          <w:rFonts w:ascii="Calibri" w:hAnsi="Calibri" w:eastAsia="Microsoft YaHei"/>
        </w:rPr>
        <w:t>通过通道注入、桥路平衡、组件试验和装置 commissioning 核对探测器、冗余逻辑与独立保护动作。</w:t>
      </w:r>
    </w:p>
    <w:p>
      <w:pPr>
        <w:widowControl/>
      </w:pPr>
      <w:r>
        <w:rPr>
          <w:rFonts w:ascii="Calibri" w:hAnsi="Calibri" w:eastAsia="Microsoft YaHei"/>
          <w:b/>
          <w:color w:val="1F4D78"/>
        </w:rPr>
        <w:t>反演与分析：</w:t>
      </w:r>
      <w:r>
        <w:rPr>
          <w:rFonts w:ascii="Calibri" w:hAnsi="Calibri" w:eastAsia="Microsoft YaHei"/>
        </w:rPr>
        <w:t>多通道电压残差、持续时间和冗余符合逻辑识别失超；最终动作由独立保护系统执行。</w:t>
      </w:r>
    </w:p>
    <w:p>
      <w:pPr>
        <w:widowControl/>
      </w:pPr>
      <w:r>
        <w:rPr>
          <w:rFonts w:ascii="Calibri" w:hAnsi="Calibri" w:eastAsia="Microsoft YaHei"/>
          <w:b/>
          <w:color w:val="1F4D78"/>
        </w:rPr>
        <w:t>验证与应用：</w:t>
      </w:r>
      <w:r>
        <w:rPr>
          <w:rFonts w:ascii="Calibri" w:hAnsi="Calibri" w:eastAsia="Microsoft YaHei"/>
        </w:rPr>
        <w:t>保护系统组件试验和 W7-X 集成/运行；公开论文以设计和初步试验为主。</w:t>
      </w:r>
    </w:p>
    <w:p>
      <w:pPr>
        <w:widowControl/>
      </w:pPr>
      <w:r>
        <w:rPr>
          <w:rFonts w:ascii="Calibri" w:hAnsi="Calibri" w:eastAsia="Microsoft YaHei"/>
          <w:b/>
          <w:color w:val="1F4D78"/>
        </w:rPr>
        <w:t>局限与边界：</w:t>
      </w:r>
      <w:r>
        <w:rPr>
          <w:rFonts w:ascii="Calibri" w:hAnsi="Calibri" w:eastAsia="Microsoft YaHei"/>
        </w:rPr>
        <w:t>旧设计论文不覆盖全部后续修改和运行统计；保护系统的安全完整性不能由论文推断。</w:t>
      </w:r>
    </w:p>
    <w:tbl>
      <w:tblPr>
        <w:tblStyle w:val="TableGrid"/>
        <w:tblW w:type="dxa" w:w="9360"/>
        <w:jc w:val="left"/>
        <w:tblLayout w:type="fixed"/>
        <w:tblLook w:firstColumn="1" w:firstRow="1" w:lastColumn="0" w:lastRow="0" w:noHBand="0" w:noVBand="1" w:val="04A0"/>
        <w:tblInd w:w="120" w:type="dxa"/>
      </w:tblPr>
      <w:tblGrid>
        <w:gridCol w:w="9360"/>
      </w:tblGrid>
      <w:tr>
        <w:trPr>
          <w:cantSplit/>
        </w:trPr>
        <w:tc>
          <w:tcPr>
            <w:tcW w:type="dxa" w:w="9360"/>
            <w:tcMar>
              <w:top w:w="80" w:type="dxa"/>
              <w:bottom w:w="80" w:type="dxa"/>
              <w:start w:w="120" w:type="dxa"/>
              <w:end w:w="120" w:type="dxa"/>
            </w:tcMar>
            <w:vAlign w:val="center"/>
            <w:shd w:fill="EEF7F7"/>
          </w:tcPr>
          <w:p>
            <w:pPr>
              <w:keepNext/>
              <w:keepLines/>
              <w:spacing w:after="40"/>
            </w:pPr>
            <w:r>
              <w:rPr>
                <w:rFonts w:ascii="Calibri" w:hAnsi="Calibri" w:eastAsia="Microsoft YaHei"/>
                <w:b/>
                <w:color w:val="008C95"/>
                <w:sz w:val="17"/>
              </w:rPr>
              <w:t>DIGITAL-TWIN RELEVANCE</w:t>
            </w:r>
          </w:p>
          <w:p>
            <w:pPr>
              <w:spacing w:after="0"/>
            </w:pPr>
            <w:r>
              <w:rPr>
                <w:rFonts w:ascii="Calibri" w:hAnsi="Calibri" w:eastAsia="Microsoft YaHei"/>
                <w:color w:val="0B2545"/>
                <w:sz w:val="20"/>
              </w:rPr>
              <w:t>孪生只能旁路解释和预测，不能替代独立硬接线/安全仪表保护；应记录触发因果和恢复过程。</w:t>
            </w:r>
          </w:p>
        </w:tc>
      </w:tr>
    </w:tbl>
    <w:p>
      <w:pPr>
        <w:spacing w:after="40"/>
      </w:pPr>
    </w:p>
    <w:tbl>
      <w:tblPr>
        <w:tblStyle w:val="TableGrid"/>
        <w:tblW w:type="dxa" w:w="9360"/>
        <w:jc w:val="left"/>
        <w:tblLayout w:type="fixed"/>
        <w:tblLook w:firstColumn="1" w:firstRow="1" w:lastColumn="0" w:lastRow="0" w:noHBand="0" w:noVBand="1" w:val="04A0"/>
        <w:tblInd w:w="120" w:type="dxa"/>
      </w:tblPr>
      <w:tblGrid>
        <w:gridCol w:w="850"/>
        <w:gridCol w:w="2500"/>
        <w:gridCol w:w="1600"/>
        <w:gridCol w:w="2300"/>
        <w:gridCol w:w="2110"/>
      </w:tblGrid>
      <w:tr>
        <w:trPr>
          <w:tblHeader w:val="true"/>
        </w:trPr>
        <w:tc>
          <w:tcPr>
            <w:tcW w:type="dxa" w:w="8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年份/类型</w:t>
            </w:r>
          </w:p>
        </w:tc>
        <w:tc>
          <w:tcPr>
            <w:tcW w:type="dxa" w:w="25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论文或软件</w:t>
            </w:r>
          </w:p>
        </w:tc>
        <w:tc>
          <w:tcPr>
            <w:tcW w:type="dxa" w:w="16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期刊/开放性</w:t>
            </w:r>
          </w:p>
        </w:tc>
        <w:tc>
          <w:tcPr>
            <w:tcW w:type="dxa" w:w="23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来源类型/关系</w:t>
            </w:r>
          </w:p>
        </w:tc>
        <w:tc>
          <w:tcPr>
            <w:tcW w:type="dxa" w:w="211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链接</w:t>
            </w:r>
          </w:p>
        </w:tc>
      </w:tr>
      <w:tr>
        <w:trPr>
          <w:cantSplit/>
        </w:trPr>
        <w:tc>
          <w:tcPr>
            <w:tcW w:type="dxa" w:w="850"/>
          </w:tcPr>
          <w:p>
            <w:pPr>
              <w:keepLines/>
              <w:spacing w:after="0" w:line="276" w:lineRule="auto"/>
            </w:pPr>
            <w:r>
              <w:rPr>
                <w:rFonts w:ascii="Calibri" w:hAnsi="Calibri" w:eastAsia="Microsoft YaHei"/>
                <w:color w:val="0B2545"/>
                <w:sz w:val="14"/>
              </w:rPr>
              <w:t>2003</w:t>
            </w:r>
          </w:p>
        </w:tc>
        <w:tc>
          <w:tcPr>
            <w:tcW w:type="dxa" w:w="2500"/>
          </w:tcPr>
          <w:p>
            <w:pPr>
              <w:keepLines/>
              <w:spacing w:after="0" w:line="276" w:lineRule="auto"/>
            </w:pPr>
            <w:r>
              <w:rPr>
                <w:rFonts w:ascii="Calibri" w:hAnsi="Calibri" w:eastAsia="Microsoft YaHei"/>
                <w:color w:val="0B2545"/>
                <w:sz w:val="14"/>
              </w:rPr>
              <w:t>Protection system for the superconducting coils in WENDELSTEIN 7-X</w:t>
            </w:r>
          </w:p>
        </w:tc>
        <w:tc>
          <w:tcPr>
            <w:tcW w:type="dxa" w:w="1600"/>
          </w:tcPr>
          <w:p>
            <w:pPr>
              <w:keepLines/>
              <w:spacing w:after="0" w:line="276" w:lineRule="auto"/>
            </w:pPr>
            <w:r>
              <w:rPr>
                <w:rFonts w:ascii="Calibri" w:hAnsi="Calibri" w:eastAsia="Microsoft YaHei"/>
                <w:color w:val="0B2545"/>
                <w:sz w:val="14"/>
              </w:rPr>
              <w:t>原始论文 / 官方来源</w:t>
            </w:r>
          </w:p>
        </w:tc>
        <w:tc>
          <w:tcPr>
            <w:tcW w:type="dxa" w:w="2300"/>
          </w:tcPr>
          <w:p>
            <w:pPr>
              <w:keepLines/>
              <w:spacing w:after="0" w:line="276" w:lineRule="auto"/>
            </w:pPr>
            <w:r>
              <w:rPr>
                <w:rFonts w:ascii="Calibri" w:hAnsi="Calibri" w:eastAsia="Microsoft YaHei"/>
                <w:color w:val="0B2545"/>
                <w:sz w:val="14"/>
              </w:rPr>
              <w:t>peer-reviewed protection-system paper</w:t>
            </w:r>
          </w:p>
        </w:tc>
        <w:tc>
          <w:tcPr>
            <w:tcW w:type="dxa" w:w="2110"/>
          </w:tcPr>
          <w:p>
            <w:pPr>
              <w:keepLines/>
              <w:spacing w:after="0" w:line="276" w:lineRule="auto"/>
            </w:pPr>
            <w:hyperlink r:id="rId154">
              <w:r>
                <w:rPr>
                  <w:rFonts w:ascii="Calibri" w:hAnsi="Calibri" w:eastAsia="Microsoft YaHei"/>
                  <w:color w:val="008C95"/>
                  <w:u w:val="single"/>
                </w:rPr>
                <w:t>打开原始来源 ↗</w:t>
              </w:r>
            </w:hyperlink>
          </w:p>
        </w:tc>
      </w:tr>
      <w:tr>
        <w:trPr>
          <w:cantSplit/>
        </w:trPr>
        <w:tc>
          <w:tcPr>
            <w:tcW w:type="dxa" w:w="850"/>
          </w:tcPr>
          <w:p>
            <w:pPr>
              <w:keepLines/>
              <w:spacing w:after="0" w:line="276" w:lineRule="auto"/>
            </w:pPr>
            <w:r>
              <w:rPr>
                <w:rFonts w:ascii="Calibri" w:hAnsi="Calibri" w:eastAsia="Microsoft YaHei"/>
                <w:color w:val="0B2545"/>
                <w:sz w:val="14"/>
              </w:rPr>
              <w:t>软件</w:t>
            </w:r>
          </w:p>
        </w:tc>
        <w:tc>
          <w:tcPr>
            <w:tcW w:type="dxa" w:w="2500"/>
          </w:tcPr>
          <w:p>
            <w:pPr>
              <w:keepLines/>
              <w:spacing w:after="0" w:line="276" w:lineRule="auto"/>
            </w:pPr>
            <w:r>
              <w:rPr>
                <w:rFonts w:ascii="Calibri" w:hAnsi="Calibri" w:eastAsia="Microsoft YaHei"/>
                <w:color w:val="0B2545"/>
                <w:sz w:val="14"/>
              </w:rPr>
              <w:t>W7-X coil protection logic</w:t>
            </w:r>
          </w:p>
        </w:tc>
        <w:tc>
          <w:tcPr>
            <w:tcW w:type="dxa" w:w="1600"/>
          </w:tcPr>
          <w:p>
            <w:pPr>
              <w:keepLines/>
              <w:spacing w:after="0" w:line="276" w:lineRule="auto"/>
            </w:pPr>
            <w:r>
              <w:rPr>
                <w:rFonts w:ascii="Calibri" w:hAnsi="Calibri" w:eastAsia="Microsoft YaHei"/>
                <w:color w:val="0B2545"/>
                <w:sz w:val="14"/>
              </w:rPr>
              <w:t>not-public</w:t>
            </w:r>
          </w:p>
        </w:tc>
        <w:tc>
          <w:tcPr>
            <w:tcW w:type="dxa" w:w="2300"/>
          </w:tcPr>
          <w:p>
            <w:pPr>
              <w:keepLines/>
              <w:spacing w:after="0" w:line="276" w:lineRule="auto"/>
            </w:pPr>
            <w:r>
              <w:rPr>
                <w:rFonts w:ascii="Calibri" w:hAnsi="Calibri" w:eastAsia="Microsoft YaHei"/>
                <w:color w:val="0B2545"/>
                <w:sz w:val="14"/>
              </w:rPr>
              <w:t>生产安全逻辑受控。</w:t>
            </w:r>
          </w:p>
        </w:tc>
        <w:tc>
          <w:tcPr>
            <w:tcW w:type="dxa" w:w="2110"/>
          </w:tcPr>
          <w:p>
            <w:pPr>
              <w:keepLines/>
              <w:spacing w:after="0" w:line="276" w:lineRule="auto"/>
            </w:pPr>
            <w:r>
              <w:rPr>
                <w:rFonts w:ascii="Calibri" w:hAnsi="Calibri" w:eastAsia="Microsoft YaHei"/>
                <w:color w:val="0B2545"/>
                <w:sz w:val="14"/>
              </w:rPr>
              <w:t>未公开</w:t>
            </w:r>
          </w:p>
        </w:tc>
      </w:tr>
    </w:tbl>
    <w:p>
      <w:pPr>
        <w:spacing w:before="0" w:after="60"/>
      </w:pPr>
    </w:p>
    <w:p>
      <w:pPr>
        <w:pStyle w:val="Heading3"/>
        <w:keepNext/>
      </w:pPr>
      <w:r>
        <w:t>DG8.20  NSTX-U 物理诊断与工程 EPICS 数据的统一可追溯归档</w:t>
      </w:r>
    </w:p>
    <w:p>
      <w:pPr>
        <w:keepNext/>
        <w:spacing w:after="80"/>
      </w:pPr>
      <w:r>
        <w:rPr>
          <w:rFonts w:ascii="Calibri" w:hAnsi="Calibri" w:eastAsia="Microsoft YaHei"/>
          <w:i/>
          <w:color w:val="566573"/>
          <w:sz w:val="18"/>
        </w:rPr>
        <w:t>Traceable co-archiving of physics diagnostics and engineering EPICS data on NSTX-U</w:t>
      </w:r>
    </w:p>
    <w:tbl>
      <w:tblPr>
        <w:tblStyle w:val="TableGrid"/>
        <w:tblW w:type="dxa" w:w="9360"/>
        <w:jc w:val="left"/>
        <w:tblLayout w:type="fixed"/>
        <w:tblLook w:firstColumn="1" w:firstRow="1" w:lastColumn="0" w:lastRow="0" w:noHBand="0" w:noVBand="1" w:val="04A0"/>
        <w:tblInd w:w="120" w:type="dxa"/>
      </w:tblPr>
      <w:tblGrid>
        <w:gridCol w:w="1200"/>
        <w:gridCol w:w="750"/>
        <w:gridCol w:w="750"/>
        <w:gridCol w:w="2100"/>
        <w:gridCol w:w="4560"/>
      </w:tblGrid>
      <w:tr>
        <w:trPr>
          <w:tblHeader w:val="true"/>
        </w:trPr>
        <w:tc>
          <w:tcPr>
            <w:tcW w:type="dxa" w:w="12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工作 ID</w:t>
            </w:r>
          </w:p>
        </w:tc>
        <w:tc>
          <w:tcPr>
            <w:tcW w:type="dxa" w:w="7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证据</w:t>
            </w:r>
          </w:p>
        </w:tc>
        <w:tc>
          <w:tcPr>
            <w:tcW w:type="dxa" w:w="7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部署</w:t>
            </w:r>
          </w:p>
        </w:tc>
        <w:tc>
          <w:tcPr>
            <w:tcW w:type="dxa" w:w="21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技术族</w:t>
            </w:r>
          </w:p>
        </w:tc>
        <w:tc>
          <w:tcPr>
            <w:tcW w:type="dxa" w:w="456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装置</w:t>
            </w:r>
          </w:p>
        </w:tc>
      </w:tr>
      <w:tr>
        <w:trPr>
          <w:cantSplit/>
        </w:trPr>
        <w:tc>
          <w:tcPr>
            <w:tcW w:type="dxa" w:w="1200"/>
          </w:tcPr>
          <w:p>
            <w:pPr>
              <w:keepLines/>
              <w:spacing w:after="0" w:line="276" w:lineRule="auto"/>
            </w:pPr>
            <w:r>
              <w:rPr>
                <w:rFonts w:ascii="Calibri" w:hAnsi="Calibri" w:eastAsia="Microsoft YaHei"/>
                <w:color w:val="0B2545"/>
                <w:sz w:val="15"/>
              </w:rPr>
              <w:t>PDT-019</w:t>
            </w:r>
          </w:p>
        </w:tc>
        <w:tc>
          <w:tcPr>
            <w:tcW w:type="dxa" w:w="750"/>
          </w:tcPr>
          <w:p>
            <w:pPr>
              <w:keepLines/>
              <w:spacing w:after="0" w:line="276" w:lineRule="auto"/>
            </w:pPr>
            <w:r>
              <w:rPr>
                <w:rFonts w:ascii="Calibri" w:hAnsi="Calibri" w:eastAsia="Microsoft YaHei"/>
                <w:color w:val="0B2545"/>
                <w:sz w:val="15"/>
              </w:rPr>
              <w:t>E2</w:t>
            </w:r>
          </w:p>
        </w:tc>
        <w:tc>
          <w:tcPr>
            <w:tcW w:type="dxa" w:w="750"/>
          </w:tcPr>
          <w:p>
            <w:pPr>
              <w:keepLines/>
              <w:spacing w:after="0" w:line="276" w:lineRule="auto"/>
            </w:pPr>
            <w:r>
              <w:rPr>
                <w:rFonts w:ascii="Calibri" w:hAnsi="Calibri" w:eastAsia="Microsoft YaHei"/>
                <w:color w:val="0B2545"/>
                <w:sz w:val="15"/>
              </w:rPr>
              <w:t>D2</w:t>
            </w:r>
          </w:p>
        </w:tc>
        <w:tc>
          <w:tcPr>
            <w:tcW w:type="dxa" w:w="2100"/>
          </w:tcPr>
          <w:p>
            <w:pPr>
              <w:keepLines/>
              <w:spacing w:after="0" w:line="276" w:lineRule="auto"/>
            </w:pPr>
            <w:r>
              <w:rPr>
                <w:rFonts w:ascii="Calibri" w:hAnsi="Calibri" w:eastAsia="Microsoft YaHei"/>
                <w:color w:val="0B2545"/>
                <w:sz w:val="15"/>
              </w:rPr>
              <w:t>COMPUTATIONAL</w:t>
            </w:r>
          </w:p>
        </w:tc>
        <w:tc>
          <w:tcPr>
            <w:tcW w:type="dxa" w:w="4560"/>
          </w:tcPr>
          <w:p>
            <w:pPr>
              <w:keepLines/>
              <w:spacing w:after="0" w:line="276" w:lineRule="auto"/>
            </w:pPr>
            <w:r>
              <w:rPr>
                <w:rFonts w:ascii="Calibri" w:hAnsi="Calibri" w:eastAsia="Microsoft YaHei"/>
                <w:color w:val="0B2545"/>
                <w:sz w:val="15"/>
              </w:rPr>
              <w:t>NSTX-U</w:t>
            </w:r>
          </w:p>
        </w:tc>
      </w:tr>
    </w:tbl>
    <w:p>
      <w:pPr>
        <w:spacing w:before="0" w:after="60"/>
      </w:pPr>
    </w:p>
    <w:p>
      <w:pPr>
        <w:widowControl/>
      </w:pPr>
      <w:r>
        <w:rPr>
          <w:rFonts w:ascii="Calibri" w:hAnsi="Calibri" w:eastAsia="Microsoft YaHei"/>
          <w:b/>
          <w:color w:val="1F4D78"/>
        </w:rPr>
        <w:t>解决问题：</w:t>
      </w:r>
      <w:r>
        <w:rPr>
          <w:rFonts w:ascii="Calibri" w:hAnsi="Calibri" w:eastAsia="Microsoft YaHei"/>
        </w:rPr>
        <w:t>设备故障、诊断异常和 plasma event 经常共享根因；若工程 EPICS、物理诊断、视频和分析产品分散，事后无法复原。</w:t>
      </w:r>
    </w:p>
    <w:p>
      <w:pPr>
        <w:widowControl/>
      </w:pPr>
      <w:r>
        <w:rPr>
          <w:rFonts w:ascii="Calibri" w:hAnsi="Calibri" w:eastAsia="Microsoft YaHei"/>
          <w:b/>
          <w:color w:val="1F4D78"/>
        </w:rPr>
        <w:t>测量原理：</w:t>
      </w:r>
      <w:r>
        <w:rPr>
          <w:rFonts w:ascii="Calibri" w:hAnsi="Calibri" w:eastAsia="Microsoft YaHei"/>
        </w:rPr>
        <w:t>MDSplus 按 shot/tree 保存原始、约化和分析物理数据；EPICS archiver 保存工程运行数据；CAMDATA 保存高速视频；logbook/Web Tools 和数据负责人制度维护可解释性。</w:t>
      </w:r>
    </w:p>
    <w:p>
      <w:pPr>
        <w:widowControl/>
      </w:pPr>
      <w:r>
        <w:rPr>
          <w:rFonts w:ascii="Calibri" w:hAnsi="Calibri" w:eastAsia="Microsoft YaHei"/>
          <w:b/>
          <w:color w:val="1F4D78"/>
        </w:rPr>
        <w:t>测量产品：</w:t>
      </w:r>
      <w:r>
        <w:rPr>
          <w:rFonts w:ascii="Calibri" w:hAnsi="Calibri" w:eastAsia="Microsoft YaHei"/>
        </w:rPr>
        <w:t>统一时间戳；工程单位；通道质量标志；配置版本；shot/运行事件关联；数据可用性</w:t>
      </w:r>
    </w:p>
    <w:p>
      <w:pPr>
        <w:widowControl/>
      </w:pPr>
      <w:r>
        <w:rPr>
          <w:rFonts w:ascii="Calibri" w:hAnsi="Calibri" w:eastAsia="Microsoft YaHei"/>
          <w:b/>
          <w:color w:val="1F4D78"/>
        </w:rPr>
        <w:t>时空分辨与覆盖：</w:t>
      </w:r>
      <w:r>
        <w:rPr>
          <w:rFonts w:ascii="Calibri" w:hAnsi="Calibri" w:eastAsia="Microsoft YaHei"/>
        </w:rPr>
        <w:t>时间：实时/shot cycle 到长期归档；空间：由视线、几何和反演设定；原始来源未给出统一数值。</w:t>
      </w:r>
    </w:p>
    <w:p>
      <w:pPr>
        <w:widowControl/>
      </w:pPr>
      <w:r>
        <w:rPr>
          <w:rFonts w:ascii="Calibri" w:hAnsi="Calibri" w:eastAsia="Microsoft YaHei"/>
          <w:b/>
          <w:color w:val="1F4D78"/>
        </w:rPr>
        <w:t>仪器与传感器：</w:t>
      </w:r>
      <w:r>
        <w:rPr>
          <w:rFonts w:ascii="Calibri" w:hAnsi="Calibri" w:eastAsia="Microsoft YaHei"/>
        </w:rPr>
        <w:t>all physics diagnostics；EPICS plant channels；fast cameras；analysis provenance</w:t>
      </w:r>
    </w:p>
    <w:p>
      <w:pPr>
        <w:widowControl/>
      </w:pPr>
      <w:r>
        <w:rPr>
          <w:rFonts w:ascii="Calibri" w:hAnsi="Calibri" w:eastAsia="Microsoft YaHei"/>
          <w:b/>
          <w:color w:val="1F4D78"/>
        </w:rPr>
        <w:t>标定与质量：</w:t>
      </w:r>
      <w:r>
        <w:rPr>
          <w:rFonts w:ascii="Calibri" w:hAnsi="Calibri" w:eastAsia="Microsoft YaHei"/>
        </w:rPr>
        <w:t>用时钟同步测试、通道映射审计、单位/量程核对、配置哈希与物理—工程事件对齐验证语义和时间一致性。</w:t>
      </w:r>
    </w:p>
    <w:p>
      <w:pPr>
        <w:widowControl/>
      </w:pPr>
      <w:r>
        <w:rPr>
          <w:rFonts w:ascii="Calibri" w:hAnsi="Calibri" w:eastAsia="Microsoft YaHei"/>
          <w:b/>
          <w:color w:val="1F4D78"/>
        </w:rPr>
        <w:t>反演与分析：</w:t>
      </w:r>
      <w:r>
        <w:rPr>
          <w:rFonts w:ascii="Calibri" w:hAnsi="Calibri" w:eastAsia="Microsoft YaHei"/>
        </w:rPr>
        <w:t>跨 tree/EPICS 数据联接、缺失/坏道规则和来源追踪形成可审计状态；平台本身不替代物理反演。</w:t>
      </w:r>
    </w:p>
    <w:p>
      <w:pPr>
        <w:widowControl/>
      </w:pPr>
      <w:r>
        <w:rPr>
          <w:rFonts w:ascii="Calibri" w:hAnsi="Calibri" w:eastAsia="Microsoft YaHei"/>
          <w:b/>
          <w:color w:val="1F4D78"/>
        </w:rPr>
        <w:t>验证与应用：</w:t>
      </w:r>
      <w:r>
        <w:rPr>
          <w:rFonts w:ascii="Calibri" w:hAnsi="Calibri" w:eastAsia="Microsoft YaHei"/>
        </w:rPr>
        <w:t>官方数据管理计划证明了拟采用的归档、访问与治理架构；本记录没有提供相应版本在 NSTX-U 例行放电中的端到端运行或长期服务指标。</w:t>
      </w:r>
    </w:p>
    <w:p>
      <w:pPr>
        <w:widowControl/>
      </w:pPr>
      <w:r>
        <w:rPr>
          <w:rFonts w:ascii="Calibri" w:hAnsi="Calibri" w:eastAsia="Microsoft YaHei"/>
          <w:b/>
          <w:color w:val="1F4D78"/>
        </w:rPr>
        <w:t>局限与边界：</w:t>
      </w:r>
      <w:r>
        <w:rPr>
          <w:rFonts w:ascii="Calibri" w:hAnsi="Calibri" w:eastAsia="Microsoft YaHei"/>
        </w:rPr>
        <w:t>共用 shot number 不自动保证单位、时钟、坐标、质量位和数据版本一致；不同仓库权限和生命周期仍需编排。</w:t>
      </w:r>
    </w:p>
    <w:tbl>
      <w:tblPr>
        <w:tblStyle w:val="TableGrid"/>
        <w:tblW w:type="dxa" w:w="9360"/>
        <w:jc w:val="left"/>
        <w:tblLayout w:type="fixed"/>
        <w:tblLook w:firstColumn="1" w:firstRow="1" w:lastColumn="0" w:lastRow="0" w:noHBand="0" w:noVBand="1" w:val="04A0"/>
        <w:tblInd w:w="120" w:type="dxa"/>
      </w:tblPr>
      <w:tblGrid>
        <w:gridCol w:w="9360"/>
      </w:tblGrid>
      <w:tr>
        <w:trPr>
          <w:cantSplit/>
        </w:trPr>
        <w:tc>
          <w:tcPr>
            <w:tcW w:type="dxa" w:w="9360"/>
            <w:tcMar>
              <w:top w:w="80" w:type="dxa"/>
              <w:bottom w:w="80" w:type="dxa"/>
              <w:start w:w="120" w:type="dxa"/>
              <w:end w:w="120" w:type="dxa"/>
            </w:tcMar>
            <w:vAlign w:val="center"/>
            <w:shd w:fill="EEF7F7"/>
          </w:tcPr>
          <w:p>
            <w:pPr>
              <w:keepNext/>
              <w:keepLines/>
              <w:spacing w:after="40"/>
            </w:pPr>
            <w:r>
              <w:rPr>
                <w:rFonts w:ascii="Calibri" w:hAnsi="Calibri" w:eastAsia="Microsoft YaHei"/>
                <w:b/>
                <w:color w:val="008C95"/>
                <w:sz w:val="17"/>
              </w:rPr>
              <w:t>DIGITAL-TWIN RELEVANCE</w:t>
            </w:r>
          </w:p>
          <w:p>
            <w:pPr>
              <w:spacing w:after="0"/>
            </w:pPr>
            <w:r>
              <w:rPr>
                <w:rFonts w:ascii="Calibri" w:hAnsi="Calibri" w:eastAsia="Microsoft YaHei"/>
                <w:color w:val="0B2545"/>
                <w:sz w:val="20"/>
              </w:rPr>
              <w:t>提供诊断数字孪生最低数据契约：原始信号、校准、约化值、权威分析、工程状态和责任人不可混成单一表。</w:t>
            </w:r>
          </w:p>
        </w:tc>
      </w:tr>
    </w:tbl>
    <w:p>
      <w:pPr>
        <w:spacing w:after="40"/>
      </w:pPr>
    </w:p>
    <w:tbl>
      <w:tblPr>
        <w:tblStyle w:val="TableGrid"/>
        <w:tblW w:type="dxa" w:w="9360"/>
        <w:jc w:val="left"/>
        <w:tblLayout w:type="fixed"/>
        <w:tblLook w:firstColumn="1" w:firstRow="1" w:lastColumn="0" w:lastRow="0" w:noHBand="0" w:noVBand="1" w:val="04A0"/>
        <w:tblInd w:w="120" w:type="dxa"/>
      </w:tblPr>
      <w:tblGrid>
        <w:gridCol w:w="850"/>
        <w:gridCol w:w="2500"/>
        <w:gridCol w:w="1600"/>
        <w:gridCol w:w="2300"/>
        <w:gridCol w:w="2110"/>
      </w:tblGrid>
      <w:tr>
        <w:trPr>
          <w:tblHeader w:val="true"/>
        </w:trPr>
        <w:tc>
          <w:tcPr>
            <w:tcW w:type="dxa" w:w="8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年份/类型</w:t>
            </w:r>
          </w:p>
        </w:tc>
        <w:tc>
          <w:tcPr>
            <w:tcW w:type="dxa" w:w="25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论文或软件</w:t>
            </w:r>
          </w:p>
        </w:tc>
        <w:tc>
          <w:tcPr>
            <w:tcW w:type="dxa" w:w="16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期刊/开放性</w:t>
            </w:r>
          </w:p>
        </w:tc>
        <w:tc>
          <w:tcPr>
            <w:tcW w:type="dxa" w:w="23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来源类型/关系</w:t>
            </w:r>
          </w:p>
        </w:tc>
        <w:tc>
          <w:tcPr>
            <w:tcW w:type="dxa" w:w="211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链接</w:t>
            </w:r>
          </w:p>
        </w:tc>
      </w:tr>
      <w:tr>
        <w:trPr>
          <w:cantSplit/>
        </w:trPr>
        <w:tc>
          <w:tcPr>
            <w:tcW w:type="dxa" w:w="850"/>
          </w:tcPr>
          <w:p>
            <w:pPr>
              <w:keepLines/>
              <w:spacing w:after="0" w:line="276" w:lineRule="auto"/>
            </w:pPr>
            <w:r>
              <w:rPr>
                <w:rFonts w:ascii="Calibri" w:hAnsi="Calibri" w:eastAsia="Microsoft YaHei"/>
                <w:color w:val="0B2545"/>
                <w:sz w:val="14"/>
              </w:rPr>
              <w:t>2025</w:t>
            </w:r>
          </w:p>
        </w:tc>
        <w:tc>
          <w:tcPr>
            <w:tcW w:type="dxa" w:w="2500"/>
          </w:tcPr>
          <w:p>
            <w:pPr>
              <w:keepLines/>
              <w:spacing w:after="0" w:line="276" w:lineRule="auto"/>
            </w:pPr>
            <w:r>
              <w:rPr>
                <w:rFonts w:ascii="Calibri" w:hAnsi="Calibri" w:eastAsia="Microsoft YaHei"/>
                <w:color w:val="0B2545"/>
                <w:sz w:val="14"/>
              </w:rPr>
              <w:t>NSTX-U Data Management Plan</w:t>
            </w:r>
          </w:p>
        </w:tc>
        <w:tc>
          <w:tcPr>
            <w:tcW w:type="dxa" w:w="1600"/>
          </w:tcPr>
          <w:p>
            <w:pPr>
              <w:keepLines/>
              <w:spacing w:after="0" w:line="276" w:lineRule="auto"/>
            </w:pPr>
            <w:r>
              <w:rPr>
                <w:rFonts w:ascii="Calibri" w:hAnsi="Calibri" w:eastAsia="Microsoft YaHei"/>
                <w:color w:val="0B2545"/>
                <w:sz w:val="14"/>
              </w:rPr>
              <w:t>原始论文 / 官方来源</w:t>
            </w:r>
          </w:p>
        </w:tc>
        <w:tc>
          <w:tcPr>
            <w:tcW w:type="dxa" w:w="2300"/>
          </w:tcPr>
          <w:p>
            <w:pPr>
              <w:keepLines/>
              <w:spacing w:after="0" w:line="276" w:lineRule="auto"/>
            </w:pPr>
            <w:r>
              <w:rPr>
                <w:rFonts w:ascii="Calibri" w:hAnsi="Calibri" w:eastAsia="Microsoft YaHei"/>
                <w:color w:val="0B2545"/>
                <w:sz w:val="14"/>
              </w:rPr>
              <w:t>official facility data policy</w:t>
            </w:r>
          </w:p>
        </w:tc>
        <w:tc>
          <w:tcPr>
            <w:tcW w:type="dxa" w:w="2110"/>
          </w:tcPr>
          <w:p>
            <w:pPr>
              <w:keepLines/>
              <w:spacing w:after="0" w:line="276" w:lineRule="auto"/>
            </w:pPr>
            <w:hyperlink r:id="rId155">
              <w:r>
                <w:rPr>
                  <w:rFonts w:ascii="Calibri" w:hAnsi="Calibri" w:eastAsia="Microsoft YaHei"/>
                  <w:color w:val="008C95"/>
                  <w:u w:val="single"/>
                </w:rPr>
                <w:t>打开原始来源 ↗</w:t>
              </w:r>
            </w:hyperlink>
          </w:p>
        </w:tc>
      </w:tr>
      <w:tr>
        <w:trPr>
          <w:cantSplit/>
        </w:trPr>
        <w:tc>
          <w:tcPr>
            <w:tcW w:type="dxa" w:w="850"/>
          </w:tcPr>
          <w:p>
            <w:pPr>
              <w:keepLines/>
              <w:spacing w:after="0" w:line="276" w:lineRule="auto"/>
            </w:pPr>
            <w:r>
              <w:rPr>
                <w:rFonts w:ascii="Calibri" w:hAnsi="Calibri" w:eastAsia="Microsoft YaHei"/>
                <w:color w:val="0B2545"/>
                <w:sz w:val="14"/>
              </w:rPr>
              <w:t>软件</w:t>
            </w:r>
          </w:p>
        </w:tc>
        <w:tc>
          <w:tcPr>
            <w:tcW w:type="dxa" w:w="2500"/>
          </w:tcPr>
          <w:p>
            <w:pPr>
              <w:keepLines/>
              <w:spacing w:after="0" w:line="276" w:lineRule="auto"/>
            </w:pPr>
            <w:r>
              <w:rPr>
                <w:rFonts w:ascii="Calibri" w:hAnsi="Calibri" w:eastAsia="Microsoft YaHei"/>
                <w:color w:val="0B2545"/>
                <w:sz w:val="14"/>
              </w:rPr>
              <w:t>MDSplus</w:t>
            </w:r>
          </w:p>
        </w:tc>
        <w:tc>
          <w:tcPr>
            <w:tcW w:type="dxa" w:w="1600"/>
          </w:tcPr>
          <w:p>
            <w:pPr>
              <w:keepLines/>
              <w:spacing w:after="0" w:line="276" w:lineRule="auto"/>
            </w:pPr>
            <w:r>
              <w:rPr>
                <w:rFonts w:ascii="Calibri" w:hAnsi="Calibri" w:eastAsia="Microsoft YaHei"/>
                <w:color w:val="0B2545"/>
                <w:sz w:val="14"/>
              </w:rPr>
              <w:t>official-enabling</w:t>
            </w:r>
          </w:p>
        </w:tc>
        <w:tc>
          <w:tcPr>
            <w:tcW w:type="dxa" w:w="2300"/>
          </w:tcPr>
          <w:p>
            <w:pPr>
              <w:keepLines/>
              <w:spacing w:after="0" w:line="276" w:lineRule="auto"/>
            </w:pPr>
            <w:r>
              <w:rPr>
                <w:rFonts w:ascii="Calibri" w:hAnsi="Calibri" w:eastAsia="Microsoft YaHei"/>
                <w:color w:val="0B2545"/>
                <w:sz w:val="14"/>
              </w:rPr>
              <w:t>官方使用的公共数据平台；NSTX-U trees/data separate.</w:t>
            </w:r>
          </w:p>
        </w:tc>
        <w:tc>
          <w:tcPr>
            <w:tcW w:type="dxa" w:w="2110"/>
          </w:tcPr>
          <w:p>
            <w:pPr>
              <w:keepLines/>
              <w:spacing w:after="0" w:line="276" w:lineRule="auto"/>
            </w:pPr>
            <w:hyperlink r:id="rId21">
              <w:r>
                <w:rPr>
                  <w:rFonts w:ascii="Calibri" w:hAnsi="Calibri" w:eastAsia="Microsoft YaHei"/>
                  <w:color w:val="008C95"/>
                  <w:u w:val="single"/>
                </w:rPr>
                <w:t>打开原始来源 ↗</w:t>
              </w:r>
            </w:hyperlink>
          </w:p>
        </w:tc>
      </w:tr>
      <w:tr>
        <w:trPr>
          <w:cantSplit/>
        </w:trPr>
        <w:tc>
          <w:tcPr>
            <w:tcW w:type="dxa" w:w="850"/>
          </w:tcPr>
          <w:p>
            <w:pPr>
              <w:keepLines/>
              <w:spacing w:after="0" w:line="276" w:lineRule="auto"/>
            </w:pPr>
            <w:r>
              <w:rPr>
                <w:rFonts w:ascii="Calibri" w:hAnsi="Calibri" w:eastAsia="Microsoft YaHei"/>
                <w:color w:val="0B2545"/>
                <w:sz w:val="14"/>
              </w:rPr>
              <w:t>软件</w:t>
            </w:r>
          </w:p>
        </w:tc>
        <w:tc>
          <w:tcPr>
            <w:tcW w:type="dxa" w:w="2500"/>
          </w:tcPr>
          <w:p>
            <w:pPr>
              <w:keepLines/>
              <w:spacing w:after="0" w:line="276" w:lineRule="auto"/>
            </w:pPr>
            <w:r>
              <w:rPr>
                <w:rFonts w:ascii="Calibri" w:hAnsi="Calibri" w:eastAsia="Microsoft YaHei"/>
                <w:color w:val="0B2545"/>
                <w:sz w:val="14"/>
              </w:rPr>
              <w:t>NSTX-U Web Tools</w:t>
            </w:r>
          </w:p>
        </w:tc>
        <w:tc>
          <w:tcPr>
            <w:tcW w:type="dxa" w:w="1600"/>
          </w:tcPr>
          <w:p>
            <w:pPr>
              <w:keepLines/>
              <w:spacing w:after="0" w:line="276" w:lineRule="auto"/>
            </w:pPr>
            <w:r>
              <w:rPr>
                <w:rFonts w:ascii="Calibri" w:hAnsi="Calibri" w:eastAsia="Microsoft YaHei"/>
                <w:color w:val="0B2545"/>
                <w:sz w:val="14"/>
              </w:rPr>
              <w:t>official-enabling</w:t>
            </w:r>
          </w:p>
        </w:tc>
        <w:tc>
          <w:tcPr>
            <w:tcW w:type="dxa" w:w="2300"/>
          </w:tcPr>
          <w:p>
            <w:pPr>
              <w:keepLines/>
              <w:spacing w:after="0" w:line="276" w:lineRule="auto"/>
            </w:pPr>
            <w:r>
              <w:rPr>
                <w:rFonts w:ascii="Calibri" w:hAnsi="Calibri" w:eastAsia="Microsoft YaHei"/>
                <w:color w:val="0B2545"/>
                <w:sz w:val="14"/>
              </w:rPr>
              <w:t>装置官方可视化/访问入口。</w:t>
            </w:r>
          </w:p>
        </w:tc>
        <w:tc>
          <w:tcPr>
            <w:tcW w:type="dxa" w:w="2110"/>
          </w:tcPr>
          <w:p>
            <w:pPr>
              <w:keepLines/>
              <w:spacing w:after="0" w:line="276" w:lineRule="auto"/>
            </w:pPr>
            <w:hyperlink r:id="rId156">
              <w:r>
                <w:rPr>
                  <w:rFonts w:ascii="Calibri" w:hAnsi="Calibri" w:eastAsia="Microsoft YaHei"/>
                  <w:color w:val="008C95"/>
                  <w:u w:val="single"/>
                </w:rPr>
                <w:t>打开原始来源 ↗</w:t>
              </w:r>
            </w:hyperlink>
          </w:p>
        </w:tc>
      </w:tr>
    </w:tbl>
    <w:p>
      <w:pPr>
        <w:spacing w:before="0" w:after="60"/>
      </w:pPr>
    </w:p>
    <w:p>
      <w:pPr>
        <w:pStyle w:val="Heading3"/>
        <w:keepNext/>
      </w:pPr>
      <w:r>
        <w:t>DG8.21  SPARC 诊断电子学与部件的强场、辐照、热、真空环境资格</w:t>
      </w:r>
    </w:p>
    <w:p>
      <w:pPr>
        <w:keepNext/>
        <w:spacing w:after="80"/>
      </w:pPr>
      <w:r>
        <w:rPr>
          <w:rFonts w:ascii="Calibri" w:hAnsi="Calibri" w:eastAsia="Microsoft YaHei"/>
          <w:i/>
          <w:color w:val="566573"/>
          <w:sz w:val="18"/>
        </w:rPr>
        <w:t>Environmental qualification of SPARC diagnostic components and electronics</w:t>
      </w:r>
    </w:p>
    <w:tbl>
      <w:tblPr>
        <w:tblStyle w:val="TableGrid"/>
        <w:tblW w:type="dxa" w:w="9360"/>
        <w:jc w:val="left"/>
        <w:tblLayout w:type="fixed"/>
        <w:tblLook w:firstColumn="1" w:firstRow="1" w:lastColumn="0" w:lastRow="0" w:noHBand="0" w:noVBand="1" w:val="04A0"/>
        <w:tblInd w:w="120" w:type="dxa"/>
      </w:tblPr>
      <w:tblGrid>
        <w:gridCol w:w="1200"/>
        <w:gridCol w:w="750"/>
        <w:gridCol w:w="750"/>
        <w:gridCol w:w="2100"/>
        <w:gridCol w:w="4560"/>
      </w:tblGrid>
      <w:tr>
        <w:trPr>
          <w:tblHeader w:val="true"/>
        </w:trPr>
        <w:tc>
          <w:tcPr>
            <w:tcW w:type="dxa" w:w="12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工作 ID</w:t>
            </w:r>
          </w:p>
        </w:tc>
        <w:tc>
          <w:tcPr>
            <w:tcW w:type="dxa" w:w="7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证据</w:t>
            </w:r>
          </w:p>
        </w:tc>
        <w:tc>
          <w:tcPr>
            <w:tcW w:type="dxa" w:w="7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部署</w:t>
            </w:r>
          </w:p>
        </w:tc>
        <w:tc>
          <w:tcPr>
            <w:tcW w:type="dxa" w:w="21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技术族</w:t>
            </w:r>
          </w:p>
        </w:tc>
        <w:tc>
          <w:tcPr>
            <w:tcW w:type="dxa" w:w="456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装置</w:t>
            </w:r>
          </w:p>
        </w:tc>
      </w:tr>
      <w:tr>
        <w:trPr>
          <w:cantSplit/>
        </w:trPr>
        <w:tc>
          <w:tcPr>
            <w:tcW w:type="dxa" w:w="1200"/>
          </w:tcPr>
          <w:p>
            <w:pPr>
              <w:keepLines/>
              <w:spacing w:after="0" w:line="276" w:lineRule="auto"/>
            </w:pPr>
            <w:r>
              <w:rPr>
                <w:rFonts w:ascii="Calibri" w:hAnsi="Calibri" w:eastAsia="Microsoft YaHei"/>
                <w:color w:val="0B2545"/>
                <w:sz w:val="15"/>
              </w:rPr>
              <w:t>PDT-020</w:t>
            </w:r>
          </w:p>
        </w:tc>
        <w:tc>
          <w:tcPr>
            <w:tcW w:type="dxa" w:w="750"/>
          </w:tcPr>
          <w:p>
            <w:pPr>
              <w:keepLines/>
              <w:spacing w:after="0" w:line="276" w:lineRule="auto"/>
            </w:pPr>
            <w:r>
              <w:rPr>
                <w:rFonts w:ascii="Calibri" w:hAnsi="Calibri" w:eastAsia="Microsoft YaHei"/>
                <w:color w:val="0B2545"/>
                <w:sz w:val="15"/>
              </w:rPr>
              <w:t>E2</w:t>
            </w:r>
          </w:p>
        </w:tc>
        <w:tc>
          <w:tcPr>
            <w:tcW w:type="dxa" w:w="750"/>
          </w:tcPr>
          <w:p>
            <w:pPr>
              <w:keepLines/>
              <w:spacing w:after="0" w:line="276" w:lineRule="auto"/>
            </w:pPr>
            <w:r>
              <w:rPr>
                <w:rFonts w:ascii="Calibri" w:hAnsi="Calibri" w:eastAsia="Microsoft YaHei"/>
                <w:color w:val="0B2545"/>
                <w:sz w:val="15"/>
              </w:rPr>
              <w:t>D2</w:t>
            </w:r>
          </w:p>
        </w:tc>
        <w:tc>
          <w:tcPr>
            <w:tcW w:type="dxa" w:w="2100"/>
          </w:tcPr>
          <w:p>
            <w:pPr>
              <w:keepLines/>
              <w:spacing w:after="0" w:line="276" w:lineRule="auto"/>
            </w:pPr>
            <w:r>
              <w:rPr>
                <w:rFonts w:ascii="Calibri" w:hAnsi="Calibri" w:eastAsia="Microsoft YaHei"/>
                <w:color w:val="0B2545"/>
                <w:sz w:val="15"/>
              </w:rPr>
              <w:t>ENGINEERING_SENSOR；COMPUTATIONAL</w:t>
            </w:r>
          </w:p>
        </w:tc>
        <w:tc>
          <w:tcPr>
            <w:tcW w:type="dxa" w:w="4560"/>
          </w:tcPr>
          <w:p>
            <w:pPr>
              <w:keepLines/>
              <w:spacing w:after="0" w:line="276" w:lineRule="auto"/>
            </w:pPr>
            <w:r>
              <w:rPr>
                <w:rFonts w:ascii="Calibri" w:hAnsi="Calibri" w:eastAsia="Microsoft YaHei"/>
                <w:color w:val="0B2545"/>
                <w:sz w:val="15"/>
              </w:rPr>
              <w:t>SPARC diagnostic prototypes</w:t>
            </w:r>
          </w:p>
        </w:tc>
      </w:tr>
    </w:tbl>
    <w:p>
      <w:pPr>
        <w:spacing w:before="0" w:after="60"/>
      </w:pPr>
    </w:p>
    <w:p>
      <w:pPr>
        <w:widowControl/>
      </w:pPr>
      <w:r>
        <w:rPr>
          <w:rFonts w:ascii="Calibri" w:hAnsi="Calibri" w:eastAsia="Microsoft YaHei"/>
          <w:b/>
          <w:color w:val="1F4D78"/>
        </w:rPr>
        <w:t>解决问题：</w:t>
      </w:r>
      <w:r>
        <w:rPr>
          <w:rFonts w:ascii="Calibri" w:hAnsi="Calibri" w:eastAsia="Microsoft YaHei"/>
        </w:rPr>
        <w:t>高场紧凑 D-T 机器的诊断需在机械冲击/振动、强磁、中子、热、真空和长距离屏蔽穿透下保持增益、噪声和真空边界。</w:t>
      </w:r>
    </w:p>
    <w:p>
      <w:pPr>
        <w:widowControl/>
      </w:pPr>
      <w:r>
        <w:rPr>
          <w:rFonts w:ascii="Calibri" w:hAnsi="Calibri" w:eastAsia="Microsoft YaHei"/>
          <w:b/>
          <w:color w:val="1F4D78"/>
        </w:rPr>
        <w:t>测量原理：</w:t>
      </w:r>
      <w:r>
        <w:rPr>
          <w:rFonts w:ascii="Calibri" w:hAnsi="Calibri" w:eastAsia="Microsoft YaHei"/>
        </w:rPr>
        <w:t>把 electronics/cameras/lasers 放在屏蔽墙外诊断实验室，端口内只保留必要部件；对 feedthrough、探测器和电子学进行 vibration/shock、magnetic-field/neutron exposure、thermal/vacuum tests，并以约五十套早期诊断统一系统工程。</w:t>
      </w:r>
    </w:p>
    <w:p>
      <w:pPr>
        <w:widowControl/>
      </w:pPr>
      <w:r>
        <w:rPr>
          <w:rFonts w:ascii="Calibri" w:hAnsi="Calibri" w:eastAsia="Microsoft YaHei"/>
          <w:b/>
          <w:color w:val="1F4D78"/>
        </w:rPr>
        <w:t>测量产品：</w:t>
      </w:r>
      <w:r>
        <w:rPr>
          <w:rFonts w:ascii="Calibri" w:hAnsi="Calibri" w:eastAsia="Microsoft YaHei"/>
        </w:rPr>
        <w:t>增益/零点漂移；噪声与带宽；绝缘/漏电；辐照剂量；温度/真空/磁场应力；资格裕量</w:t>
      </w:r>
    </w:p>
    <w:p>
      <w:pPr>
        <w:widowControl/>
      </w:pPr>
      <w:r>
        <w:rPr>
          <w:rFonts w:ascii="Calibri" w:hAnsi="Calibri" w:eastAsia="Microsoft YaHei"/>
          <w:b/>
          <w:color w:val="1F4D78"/>
        </w:rPr>
        <w:t>时空分辨与覆盖：</w:t>
      </w:r>
      <w:r>
        <w:rPr>
          <w:rFonts w:ascii="Calibri" w:hAnsi="Calibri" w:eastAsia="Microsoft YaHei"/>
        </w:rPr>
        <w:t>时间：资格试验到 campaign 寿命；实时信号链微秒—秒；空间：由视线、几何和反演设定；原始来源未给出统一数值。</w:t>
      </w:r>
    </w:p>
    <w:p>
      <w:pPr>
        <w:widowControl/>
      </w:pPr>
      <w:r>
        <w:rPr>
          <w:rFonts w:ascii="Calibri" w:hAnsi="Calibri" w:eastAsia="Microsoft YaHei"/>
          <w:b/>
          <w:color w:val="1F4D78"/>
        </w:rPr>
        <w:t>仪器与传感器：</w:t>
      </w:r>
      <w:r>
        <w:rPr>
          <w:rFonts w:ascii="Calibri" w:hAnsi="Calibri" w:eastAsia="Microsoft YaHei"/>
        </w:rPr>
        <w:t>environmental test instrumentation；detector dark/gain/noise；vacuum leak；temperature；radiation dose；magnetic field</w:t>
      </w:r>
    </w:p>
    <w:p>
      <w:pPr>
        <w:widowControl/>
      </w:pPr>
      <w:r>
        <w:rPr>
          <w:rFonts w:ascii="Calibri" w:hAnsi="Calibri" w:eastAsia="Microsoft YaHei"/>
          <w:b/>
          <w:color w:val="1F4D78"/>
        </w:rPr>
        <w:t>标定与质量：</w:t>
      </w:r>
      <w:r>
        <w:rPr>
          <w:rFonts w:ascii="Calibri" w:hAnsi="Calibri" w:eastAsia="Microsoft YaHei"/>
        </w:rPr>
        <w:t>环境试验前后以可追溯信号源和参考传感器复测增益、噪声、绝缘和时延，并记录试件、批次与配置。</w:t>
      </w:r>
    </w:p>
    <w:p>
      <w:pPr>
        <w:widowControl/>
      </w:pPr>
      <w:r>
        <w:rPr>
          <w:rFonts w:ascii="Calibri" w:hAnsi="Calibri" w:eastAsia="Microsoft YaHei"/>
          <w:b/>
          <w:color w:val="1F4D78"/>
        </w:rPr>
        <w:t>反演与分析：</w:t>
      </w:r>
      <w:r>
        <w:rPr>
          <w:rFonts w:ascii="Calibri" w:hAnsi="Calibri" w:eastAsia="Microsoft YaHei"/>
        </w:rPr>
        <w:t>环境响应曲线、漂移预算和失效判据给出资格裕量；无 SPARC 等离子体运行前不得上升为在机可用率结论。</w:t>
      </w:r>
    </w:p>
    <w:p>
      <w:pPr>
        <w:widowControl/>
      </w:pPr>
      <w:r>
        <w:rPr>
          <w:rFonts w:ascii="Calibri" w:hAnsi="Calibri" w:eastAsia="Microsoft YaHei"/>
          <w:b/>
          <w:color w:val="1F4D78"/>
        </w:rPr>
        <w:t>验证与应用：</w:t>
      </w:r>
      <w:r>
        <w:rPr>
          <w:rFonts w:ascii="Calibri" w:hAnsi="Calibri" w:eastAsia="Microsoft YaHei"/>
        </w:rPr>
        <w:t>设计、样机和环境试验；无 SPARC plasma operation evidence。</w:t>
      </w:r>
    </w:p>
    <w:p>
      <w:pPr>
        <w:widowControl/>
      </w:pPr>
      <w:r>
        <w:rPr>
          <w:rFonts w:ascii="Calibri" w:hAnsi="Calibri" w:eastAsia="Microsoft YaHei"/>
          <w:b/>
          <w:color w:val="1F4D78"/>
        </w:rPr>
        <w:t>局限与边界：</w:t>
      </w:r>
      <w:r>
        <w:rPr>
          <w:rFonts w:ascii="Calibri" w:hAnsi="Calibri" w:eastAsia="Microsoft YaHei"/>
        </w:rPr>
        <w:t>单件环境试验不覆盖组合环境、长期活化和维护退化；设计成熟度不能写成 plasma 性能。</w:t>
      </w:r>
    </w:p>
    <w:tbl>
      <w:tblPr>
        <w:tblStyle w:val="TableGrid"/>
        <w:tblW w:type="dxa" w:w="9360"/>
        <w:jc w:val="left"/>
        <w:tblLayout w:type="fixed"/>
        <w:tblLook w:firstColumn="1" w:firstRow="1" w:lastColumn="0" w:lastRow="0" w:noHBand="0" w:noVBand="1" w:val="04A0"/>
        <w:tblInd w:w="120" w:type="dxa"/>
      </w:tblPr>
      <w:tblGrid>
        <w:gridCol w:w="9360"/>
      </w:tblGrid>
      <w:tr>
        <w:trPr>
          <w:cantSplit/>
        </w:trPr>
        <w:tc>
          <w:tcPr>
            <w:tcW w:type="dxa" w:w="9360"/>
            <w:tcMar>
              <w:top w:w="80" w:type="dxa"/>
              <w:bottom w:w="80" w:type="dxa"/>
              <w:start w:w="120" w:type="dxa"/>
              <w:end w:w="120" w:type="dxa"/>
            </w:tcMar>
            <w:vAlign w:val="center"/>
            <w:shd w:fill="EEF7F7"/>
          </w:tcPr>
          <w:p>
            <w:pPr>
              <w:keepNext/>
              <w:keepLines/>
              <w:spacing w:after="40"/>
            </w:pPr>
            <w:r>
              <w:rPr>
                <w:rFonts w:ascii="Calibri" w:hAnsi="Calibri" w:eastAsia="Microsoft YaHei"/>
                <w:b/>
                <w:color w:val="008C95"/>
                <w:sz w:val="17"/>
              </w:rPr>
              <w:t>DIGITAL-TWIN RELEVANCE</w:t>
            </w:r>
          </w:p>
          <w:p>
            <w:pPr>
              <w:spacing w:after="0"/>
            </w:pPr>
            <w:r>
              <w:rPr>
                <w:rFonts w:ascii="Calibri" w:hAnsi="Calibri" w:eastAsia="Microsoft YaHei"/>
                <w:color w:val="0B2545"/>
                <w:sz w:val="20"/>
              </w:rPr>
              <w:t>诊断孪生应包含 sensor transfer function 随剂量、温度、磁场和维护的漂移，而非只存理想标定系数。</w:t>
            </w:r>
          </w:p>
        </w:tc>
      </w:tr>
    </w:tbl>
    <w:p>
      <w:pPr>
        <w:spacing w:after="40"/>
      </w:pPr>
    </w:p>
    <w:tbl>
      <w:tblPr>
        <w:tblStyle w:val="TableGrid"/>
        <w:tblW w:type="dxa" w:w="9360"/>
        <w:jc w:val="left"/>
        <w:tblLayout w:type="fixed"/>
        <w:tblLook w:firstColumn="1" w:firstRow="1" w:lastColumn="0" w:lastRow="0" w:noHBand="0" w:noVBand="1" w:val="04A0"/>
        <w:tblInd w:w="120" w:type="dxa"/>
      </w:tblPr>
      <w:tblGrid>
        <w:gridCol w:w="850"/>
        <w:gridCol w:w="2500"/>
        <w:gridCol w:w="1600"/>
        <w:gridCol w:w="2300"/>
        <w:gridCol w:w="2110"/>
      </w:tblGrid>
      <w:tr>
        <w:trPr>
          <w:tblHeader w:val="true"/>
        </w:trPr>
        <w:tc>
          <w:tcPr>
            <w:tcW w:type="dxa" w:w="8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年份/类型</w:t>
            </w:r>
          </w:p>
        </w:tc>
        <w:tc>
          <w:tcPr>
            <w:tcW w:type="dxa" w:w="25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论文或软件</w:t>
            </w:r>
          </w:p>
        </w:tc>
        <w:tc>
          <w:tcPr>
            <w:tcW w:type="dxa" w:w="16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期刊/开放性</w:t>
            </w:r>
          </w:p>
        </w:tc>
        <w:tc>
          <w:tcPr>
            <w:tcW w:type="dxa" w:w="23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来源类型/关系</w:t>
            </w:r>
          </w:p>
        </w:tc>
        <w:tc>
          <w:tcPr>
            <w:tcW w:type="dxa" w:w="211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链接</w:t>
            </w:r>
          </w:p>
        </w:tc>
      </w:tr>
      <w:tr>
        <w:trPr>
          <w:cantSplit/>
        </w:trPr>
        <w:tc>
          <w:tcPr>
            <w:tcW w:type="dxa" w:w="850"/>
          </w:tcPr>
          <w:p>
            <w:pPr>
              <w:keepLines/>
              <w:spacing w:after="0" w:line="276" w:lineRule="auto"/>
            </w:pPr>
            <w:r>
              <w:rPr>
                <w:rFonts w:ascii="Calibri" w:hAnsi="Calibri" w:eastAsia="Microsoft YaHei"/>
                <w:color w:val="0B2545"/>
                <w:sz w:val="14"/>
              </w:rPr>
              <w:t>2024</w:t>
            </w:r>
          </w:p>
        </w:tc>
        <w:tc>
          <w:tcPr>
            <w:tcW w:type="dxa" w:w="2500"/>
          </w:tcPr>
          <w:p>
            <w:pPr>
              <w:keepLines/>
              <w:spacing w:after="0" w:line="276" w:lineRule="auto"/>
            </w:pPr>
            <w:r>
              <w:rPr>
                <w:rFonts w:ascii="Calibri" w:hAnsi="Calibri" w:eastAsia="Microsoft YaHei"/>
                <w:color w:val="0B2545"/>
                <w:sz w:val="14"/>
              </w:rPr>
              <w:t>Overview of the early campaign diagnostics for the SPARC tokamak (invited)</w:t>
            </w:r>
          </w:p>
        </w:tc>
        <w:tc>
          <w:tcPr>
            <w:tcW w:type="dxa" w:w="1600"/>
          </w:tcPr>
          <w:p>
            <w:pPr>
              <w:keepLines/>
              <w:spacing w:after="0" w:line="276" w:lineRule="auto"/>
            </w:pPr>
            <w:r>
              <w:rPr>
                <w:rFonts w:ascii="Calibri" w:hAnsi="Calibri" w:eastAsia="Microsoft YaHei"/>
                <w:color w:val="0B2545"/>
                <w:sz w:val="14"/>
              </w:rPr>
              <w:t>Review of Scientific Instruments</w:t>
            </w:r>
          </w:p>
        </w:tc>
        <w:tc>
          <w:tcPr>
            <w:tcW w:type="dxa" w:w="2300"/>
          </w:tcPr>
          <w:p>
            <w:pPr>
              <w:keepLines/>
              <w:spacing w:after="0" w:line="276" w:lineRule="auto"/>
            </w:pPr>
            <w:r>
              <w:rPr>
                <w:rFonts w:ascii="Calibri" w:hAnsi="Calibri" w:eastAsia="Microsoft YaHei"/>
                <w:color w:val="0B2545"/>
                <w:sz w:val="14"/>
              </w:rPr>
              <w:t>peer-reviewed design/verification overview</w:t>
            </w:r>
          </w:p>
        </w:tc>
        <w:tc>
          <w:tcPr>
            <w:tcW w:type="dxa" w:w="2110"/>
          </w:tcPr>
          <w:p>
            <w:pPr>
              <w:keepLines/>
              <w:spacing w:after="0" w:line="276" w:lineRule="auto"/>
            </w:pPr>
            <w:hyperlink r:id="rId157">
              <w:r>
                <w:rPr>
                  <w:rFonts w:ascii="Calibri" w:hAnsi="Calibri" w:eastAsia="Microsoft YaHei"/>
                  <w:color w:val="008C95"/>
                  <w:u w:val="single"/>
                </w:rPr>
                <w:t>打开原始来源 ↗</w:t>
              </w:r>
            </w:hyperlink>
          </w:p>
        </w:tc>
      </w:tr>
      <w:tr>
        <w:trPr>
          <w:cantSplit/>
        </w:trPr>
        <w:tc>
          <w:tcPr>
            <w:tcW w:type="dxa" w:w="850"/>
          </w:tcPr>
          <w:p>
            <w:pPr>
              <w:keepLines/>
              <w:spacing w:after="0" w:line="276" w:lineRule="auto"/>
            </w:pPr>
            <w:r>
              <w:rPr>
                <w:rFonts w:ascii="Calibri" w:hAnsi="Calibri" w:eastAsia="Microsoft YaHei"/>
                <w:color w:val="0B2545"/>
                <w:sz w:val="14"/>
              </w:rPr>
              <w:t>2023</w:t>
            </w:r>
          </w:p>
        </w:tc>
        <w:tc>
          <w:tcPr>
            <w:tcW w:type="dxa" w:w="2500"/>
          </w:tcPr>
          <w:p>
            <w:pPr>
              <w:keepLines/>
              <w:spacing w:after="0" w:line="276" w:lineRule="auto"/>
            </w:pPr>
            <w:r>
              <w:rPr>
                <w:rFonts w:ascii="Calibri" w:hAnsi="Calibri" w:eastAsia="Microsoft YaHei"/>
                <w:color w:val="0B2545"/>
                <w:sz w:val="14"/>
              </w:rPr>
              <w:t>Progress on the design and prototyping of SPARC diagnostics</w:t>
            </w:r>
          </w:p>
        </w:tc>
        <w:tc>
          <w:tcPr>
            <w:tcW w:type="dxa" w:w="1600"/>
          </w:tcPr>
          <w:p>
            <w:pPr>
              <w:keepLines/>
              <w:spacing w:after="0" w:line="276" w:lineRule="auto"/>
            </w:pPr>
            <w:r>
              <w:rPr>
                <w:rFonts w:ascii="Calibri" w:hAnsi="Calibri" w:eastAsia="Microsoft YaHei"/>
                <w:color w:val="0B2545"/>
                <w:sz w:val="14"/>
              </w:rPr>
              <w:t>原始论文 / 官方来源</w:t>
            </w:r>
          </w:p>
        </w:tc>
        <w:tc>
          <w:tcPr>
            <w:tcW w:type="dxa" w:w="2300"/>
          </w:tcPr>
          <w:p>
            <w:pPr>
              <w:keepLines/>
              <w:spacing w:after="0" w:line="276" w:lineRule="auto"/>
            </w:pPr>
            <w:r>
              <w:rPr>
                <w:rFonts w:ascii="Calibri" w:hAnsi="Calibri" w:eastAsia="Microsoft YaHei"/>
                <w:color w:val="0B2545"/>
                <w:sz w:val="14"/>
              </w:rPr>
              <w:t>APS primary conference abstract</w:t>
            </w:r>
          </w:p>
        </w:tc>
        <w:tc>
          <w:tcPr>
            <w:tcW w:type="dxa" w:w="2110"/>
          </w:tcPr>
          <w:p>
            <w:pPr>
              <w:keepLines/>
              <w:spacing w:after="0" w:line="276" w:lineRule="auto"/>
            </w:pPr>
            <w:hyperlink r:id="rId158">
              <w:r>
                <w:rPr>
                  <w:rFonts w:ascii="Calibri" w:hAnsi="Calibri" w:eastAsia="Microsoft YaHei"/>
                  <w:color w:val="008C95"/>
                  <w:u w:val="single"/>
                </w:rPr>
                <w:t>打开原始来源 ↗</w:t>
              </w:r>
            </w:hyperlink>
          </w:p>
        </w:tc>
      </w:tr>
      <w:tr>
        <w:trPr>
          <w:cantSplit/>
        </w:trPr>
        <w:tc>
          <w:tcPr>
            <w:tcW w:type="dxa" w:w="850"/>
          </w:tcPr>
          <w:p>
            <w:pPr>
              <w:keepLines/>
              <w:spacing w:after="0" w:line="276" w:lineRule="auto"/>
            </w:pPr>
            <w:r>
              <w:rPr>
                <w:rFonts w:ascii="Calibri" w:hAnsi="Calibri" w:eastAsia="Microsoft YaHei"/>
                <w:color w:val="0B2545"/>
                <w:sz w:val="14"/>
              </w:rPr>
              <w:t>软件</w:t>
            </w:r>
          </w:p>
        </w:tc>
        <w:tc>
          <w:tcPr>
            <w:tcW w:type="dxa" w:w="2500"/>
          </w:tcPr>
          <w:p>
            <w:pPr>
              <w:keepLines/>
              <w:spacing w:after="0" w:line="276" w:lineRule="auto"/>
            </w:pPr>
            <w:r>
              <w:rPr>
                <w:rFonts w:ascii="Calibri" w:hAnsi="Calibri" w:eastAsia="Microsoft YaHei"/>
                <w:color w:val="0B2545"/>
                <w:sz w:val="14"/>
              </w:rPr>
              <w:t>SPARC qualification database and diagnostic configuration</w:t>
            </w:r>
          </w:p>
        </w:tc>
        <w:tc>
          <w:tcPr>
            <w:tcW w:type="dxa" w:w="1600"/>
          </w:tcPr>
          <w:p>
            <w:pPr>
              <w:keepLines/>
              <w:spacing w:after="0" w:line="276" w:lineRule="auto"/>
            </w:pPr>
            <w:r>
              <w:rPr>
                <w:rFonts w:ascii="Calibri" w:hAnsi="Calibri" w:eastAsia="Microsoft YaHei"/>
                <w:color w:val="0B2545"/>
                <w:sz w:val="14"/>
              </w:rPr>
              <w:t>not-public</w:t>
            </w:r>
          </w:p>
        </w:tc>
        <w:tc>
          <w:tcPr>
            <w:tcW w:type="dxa" w:w="2300"/>
          </w:tcPr>
          <w:p>
            <w:pPr>
              <w:keepLines/>
              <w:spacing w:after="0" w:line="276" w:lineRule="auto"/>
            </w:pPr>
            <w:r>
              <w:rPr>
                <w:rFonts w:ascii="Calibri" w:hAnsi="Calibri" w:eastAsia="Microsoft YaHei"/>
                <w:color w:val="0B2545"/>
                <w:sz w:val="14"/>
              </w:rPr>
              <w:t>生产 V&amp;V 证据库未公开。</w:t>
            </w:r>
          </w:p>
        </w:tc>
        <w:tc>
          <w:tcPr>
            <w:tcW w:type="dxa" w:w="2110"/>
          </w:tcPr>
          <w:p>
            <w:pPr>
              <w:keepLines/>
              <w:spacing w:after="0" w:line="276" w:lineRule="auto"/>
            </w:pPr>
            <w:r>
              <w:rPr>
                <w:rFonts w:ascii="Calibri" w:hAnsi="Calibri" w:eastAsia="Microsoft YaHei"/>
                <w:color w:val="0B2545"/>
                <w:sz w:val="14"/>
              </w:rPr>
              <w:t>未公开</w:t>
            </w:r>
          </w:p>
        </w:tc>
      </w:tr>
    </w:tbl>
    <w:p>
      <w:pPr>
        <w:spacing w:before="0" w:after="60"/>
      </w:pPr>
    </w:p>
    <w:p>
      <w:pPr>
        <w:pStyle w:val="Heading2"/>
      </w:pPr>
      <w:r>
        <w:t>关联工作速查</w:t>
      </w:r>
    </w:p>
    <w:tbl>
      <w:tblPr>
        <w:tblStyle w:val="TableGrid"/>
        <w:tblW w:type="dxa" w:w="9360"/>
        <w:jc w:val="left"/>
        <w:tblLayout w:type="fixed"/>
        <w:tblLook w:firstColumn="1" w:firstRow="1" w:lastColumn="0" w:lastRow="0" w:noHBand="0" w:noVBand="1" w:val="04A0"/>
        <w:tblInd w:w="120" w:type="dxa"/>
      </w:tblPr>
      <w:tblGrid>
        <w:gridCol w:w="1000"/>
        <w:gridCol w:w="900"/>
        <w:gridCol w:w="3760"/>
        <w:gridCol w:w="800"/>
        <w:gridCol w:w="2900"/>
      </w:tblGrid>
      <w:tr>
        <w:trPr>
          <w:tblHeader w:val="true"/>
        </w:trPr>
        <w:tc>
          <w:tcPr>
            <w:tcW w:type="dxa" w:w="1000"/>
            <w:tcMar>
              <w:top w:w="55" w:type="dxa"/>
              <w:bottom w:w="55" w:type="dxa"/>
              <w:start w:w="100" w:type="dxa"/>
              <w:end w:w="100" w:type="dxa"/>
            </w:tcMar>
            <w:vAlign w:val="center"/>
            <w:shd w:fill="E8EEF5"/>
          </w:tcPr>
          <w:p>
            <w:pPr>
              <w:keepNext/>
              <w:spacing w:after="0"/>
              <w:jc w:val="center"/>
            </w:pPr>
            <w:r>
              <w:rPr>
                <w:rFonts w:ascii="Calibri" w:hAnsi="Calibri" w:eastAsia="Microsoft YaHei"/>
                <w:b/>
                <w:color w:val="0B2545"/>
                <w:sz w:val="14"/>
              </w:rPr>
              <w:t>ID</w:t>
            </w:r>
          </w:p>
        </w:tc>
        <w:tc>
          <w:tcPr>
            <w:tcW w:type="dxa" w:w="900"/>
            <w:tcMar>
              <w:top w:w="55" w:type="dxa"/>
              <w:bottom w:w="55" w:type="dxa"/>
              <w:start w:w="100" w:type="dxa"/>
              <w:end w:w="100" w:type="dxa"/>
            </w:tcMar>
            <w:vAlign w:val="center"/>
            <w:shd w:fill="E8EEF5"/>
          </w:tcPr>
          <w:p>
            <w:pPr>
              <w:keepNext/>
              <w:spacing w:after="0"/>
              <w:jc w:val="center"/>
            </w:pPr>
            <w:r>
              <w:rPr>
                <w:rFonts w:ascii="Calibri" w:hAnsi="Calibri" w:eastAsia="Microsoft YaHei"/>
                <w:b/>
                <w:color w:val="0B2545"/>
                <w:sz w:val="14"/>
              </w:rPr>
              <w:t>主任务</w:t>
            </w:r>
          </w:p>
        </w:tc>
        <w:tc>
          <w:tcPr>
            <w:tcW w:type="dxa" w:w="3760"/>
            <w:tcMar>
              <w:top w:w="55" w:type="dxa"/>
              <w:bottom w:w="55" w:type="dxa"/>
              <w:start w:w="100" w:type="dxa"/>
              <w:end w:w="100" w:type="dxa"/>
            </w:tcMar>
            <w:vAlign w:val="center"/>
            <w:shd w:fill="E8EEF5"/>
          </w:tcPr>
          <w:p>
            <w:pPr>
              <w:keepNext/>
              <w:spacing w:after="0"/>
              <w:jc w:val="center"/>
            </w:pPr>
            <w:r>
              <w:rPr>
                <w:rFonts w:ascii="Calibri" w:hAnsi="Calibri" w:eastAsia="Microsoft YaHei"/>
                <w:b/>
                <w:color w:val="0B2545"/>
                <w:sz w:val="14"/>
              </w:rPr>
              <w:t>标题</w:t>
            </w:r>
          </w:p>
        </w:tc>
        <w:tc>
          <w:tcPr>
            <w:tcW w:type="dxa" w:w="800"/>
            <w:tcMar>
              <w:top w:w="55" w:type="dxa"/>
              <w:bottom w:w="55" w:type="dxa"/>
              <w:start w:w="100" w:type="dxa"/>
              <w:end w:w="100" w:type="dxa"/>
            </w:tcMar>
            <w:vAlign w:val="center"/>
            <w:shd w:fill="E8EEF5"/>
          </w:tcPr>
          <w:p>
            <w:pPr>
              <w:keepNext/>
              <w:spacing w:after="0"/>
              <w:jc w:val="center"/>
            </w:pPr>
            <w:r>
              <w:rPr>
                <w:rFonts w:ascii="Calibri" w:hAnsi="Calibri" w:eastAsia="Microsoft YaHei"/>
                <w:b/>
                <w:color w:val="0B2545"/>
                <w:sz w:val="14"/>
              </w:rPr>
              <w:t>证据</w:t>
            </w:r>
          </w:p>
        </w:tc>
        <w:tc>
          <w:tcPr>
            <w:tcW w:type="dxa" w:w="2900"/>
            <w:tcMar>
              <w:top w:w="55" w:type="dxa"/>
              <w:bottom w:w="55" w:type="dxa"/>
              <w:start w:w="100" w:type="dxa"/>
              <w:end w:w="100" w:type="dxa"/>
            </w:tcMar>
            <w:vAlign w:val="center"/>
            <w:shd w:fill="E8EEF5"/>
          </w:tcPr>
          <w:p>
            <w:pPr>
              <w:keepNext/>
              <w:spacing w:after="0"/>
              <w:jc w:val="center"/>
            </w:pPr>
            <w:r>
              <w:rPr>
                <w:rFonts w:ascii="Calibri" w:hAnsi="Calibri" w:eastAsia="Microsoft YaHei"/>
                <w:b/>
                <w:color w:val="0B2545"/>
                <w:sz w:val="14"/>
              </w:rPr>
              <w:t>装置</w:t>
            </w:r>
          </w:p>
        </w:tc>
      </w:tr>
      <w:tr>
        <w:trPr>
          <w:cantSplit/>
        </w:trPr>
        <w:tc>
          <w:tcPr>
            <w:tcW w:type="dxa" w:w="1000"/>
            <w:tcMar>
              <w:top w:w="45" w:type="dxa"/>
              <w:bottom w:w="45" w:type="dxa"/>
              <w:start w:w="100" w:type="dxa"/>
              <w:end w:w="100" w:type="dxa"/>
            </w:tcMar>
          </w:tcPr>
          <w:p>
            <w:pPr>
              <w:keepLines/>
              <w:spacing w:after="0" w:line="252" w:lineRule="auto"/>
            </w:pPr>
            <w:r>
              <w:rPr>
                <w:rFonts w:ascii="Calibri" w:hAnsi="Calibri" w:eastAsia="Microsoft YaHei"/>
                <w:color w:val="0B2545"/>
                <w:sz w:val="14"/>
              </w:rPr>
              <w:t>DSI-001</w:t>
            </w:r>
          </w:p>
        </w:tc>
        <w:tc>
          <w:tcPr>
            <w:tcW w:type="dxa" w:w="900"/>
            <w:tcMar>
              <w:top w:w="45" w:type="dxa"/>
              <w:bottom w:w="45" w:type="dxa"/>
              <w:start w:w="100" w:type="dxa"/>
              <w:end w:w="100" w:type="dxa"/>
            </w:tcMar>
          </w:tcPr>
          <w:p>
            <w:pPr>
              <w:keepLines/>
              <w:spacing w:after="0" w:line="252" w:lineRule="auto"/>
            </w:pPr>
            <w:r>
              <w:rPr>
                <w:rFonts w:ascii="Calibri" w:hAnsi="Calibri" w:eastAsia="Microsoft YaHei"/>
                <w:color w:val="0B2545"/>
                <w:sz w:val="14"/>
              </w:rPr>
              <w:t>DG0</w:t>
            </w:r>
          </w:p>
        </w:tc>
        <w:tc>
          <w:tcPr>
            <w:tcW w:type="dxa" w:w="3760"/>
            <w:tcMar>
              <w:top w:w="45" w:type="dxa"/>
              <w:bottom w:w="45" w:type="dxa"/>
              <w:start w:w="100" w:type="dxa"/>
              <w:end w:w="100" w:type="dxa"/>
            </w:tcMar>
          </w:tcPr>
          <w:p>
            <w:pPr>
              <w:keepLines/>
              <w:spacing w:after="0" w:line="252" w:lineRule="auto"/>
            </w:pPr>
            <w:r>
              <w:rPr>
                <w:rFonts w:ascii="Calibri" w:hAnsi="Calibri" w:eastAsia="Microsoft YaHei"/>
                <w:color w:val="0B2545"/>
                <w:sz w:val="14"/>
              </w:rPr>
              <w:t>IMAS 接口数据结构与数据字典</w:t>
            </w:r>
          </w:p>
        </w:tc>
        <w:tc>
          <w:tcPr>
            <w:tcW w:type="dxa" w:w="800"/>
            <w:tcMar>
              <w:top w:w="45" w:type="dxa"/>
              <w:bottom w:w="45" w:type="dxa"/>
              <w:start w:w="100" w:type="dxa"/>
              <w:end w:w="100" w:type="dxa"/>
            </w:tcMar>
          </w:tcPr>
          <w:p>
            <w:pPr>
              <w:keepLines/>
              <w:spacing w:after="0" w:line="252" w:lineRule="auto"/>
            </w:pPr>
            <w:r>
              <w:rPr>
                <w:rFonts w:ascii="Calibri" w:hAnsi="Calibri" w:eastAsia="Microsoft YaHei"/>
                <w:color w:val="0B2545"/>
                <w:sz w:val="14"/>
              </w:rPr>
              <w:t>E3</w:t>
            </w:r>
          </w:p>
        </w:tc>
        <w:tc>
          <w:tcPr>
            <w:tcW w:type="dxa" w:w="2900"/>
            <w:tcMar>
              <w:top w:w="45" w:type="dxa"/>
              <w:bottom w:w="45" w:type="dxa"/>
              <w:start w:w="100" w:type="dxa"/>
              <w:end w:w="100" w:type="dxa"/>
            </w:tcMar>
          </w:tcPr>
          <w:p>
            <w:pPr>
              <w:keepLines/>
              <w:spacing w:after="0" w:line="252" w:lineRule="auto"/>
            </w:pPr>
            <w:r>
              <w:rPr>
                <w:rFonts w:ascii="Calibri" w:hAnsi="Calibri" w:eastAsia="Microsoft YaHei"/>
                <w:color w:val="0B2545"/>
                <w:sz w:val="14"/>
              </w:rPr>
              <w:t>ITER；EUROfusion devices；JET；ASDEX Upgrade；WEST；TCV；W7-X</w:t>
            </w:r>
          </w:p>
        </w:tc>
      </w:tr>
      <w:tr>
        <w:trPr>
          <w:cantSplit/>
        </w:trPr>
        <w:tc>
          <w:tcPr>
            <w:tcW w:type="dxa" w:w="1000"/>
            <w:tcMar>
              <w:top w:w="45" w:type="dxa"/>
              <w:bottom w:w="45" w:type="dxa"/>
              <w:start w:w="100" w:type="dxa"/>
              <w:end w:w="100" w:type="dxa"/>
            </w:tcMar>
          </w:tcPr>
          <w:p>
            <w:pPr>
              <w:keepLines/>
              <w:spacing w:after="0" w:line="252" w:lineRule="auto"/>
            </w:pPr>
            <w:r>
              <w:rPr>
                <w:rFonts w:ascii="Calibri" w:hAnsi="Calibri" w:eastAsia="Microsoft YaHei"/>
                <w:color w:val="0B2545"/>
                <w:sz w:val="14"/>
              </w:rPr>
              <w:t>DSI-002</w:t>
            </w:r>
          </w:p>
        </w:tc>
        <w:tc>
          <w:tcPr>
            <w:tcW w:type="dxa" w:w="900"/>
            <w:tcMar>
              <w:top w:w="45" w:type="dxa"/>
              <w:bottom w:w="45" w:type="dxa"/>
              <w:start w:w="100" w:type="dxa"/>
              <w:end w:w="100" w:type="dxa"/>
            </w:tcMar>
          </w:tcPr>
          <w:p>
            <w:pPr>
              <w:keepLines/>
              <w:spacing w:after="0" w:line="252" w:lineRule="auto"/>
            </w:pPr>
            <w:r>
              <w:rPr>
                <w:rFonts w:ascii="Calibri" w:hAnsi="Calibri" w:eastAsia="Microsoft YaHei"/>
                <w:color w:val="0B2545"/>
                <w:sz w:val="14"/>
              </w:rPr>
              <w:t>DG0</w:t>
            </w:r>
          </w:p>
        </w:tc>
        <w:tc>
          <w:tcPr>
            <w:tcW w:type="dxa" w:w="3760"/>
            <w:tcMar>
              <w:top w:w="45" w:type="dxa"/>
              <w:bottom w:w="45" w:type="dxa"/>
              <w:start w:w="100" w:type="dxa"/>
              <w:end w:w="100" w:type="dxa"/>
            </w:tcMar>
          </w:tcPr>
          <w:p>
            <w:pPr>
              <w:keepLines/>
              <w:spacing w:after="0" w:line="252" w:lineRule="auto"/>
            </w:pPr>
            <w:r>
              <w:rPr>
                <w:rFonts w:ascii="Calibri" w:hAnsi="Calibri" w:eastAsia="Microsoft YaHei"/>
                <w:color w:val="0B2545"/>
                <w:sz w:val="14"/>
              </w:rPr>
              <w:t>MDSplus 脉冲树、数据采集与时序数据管理</w:t>
            </w:r>
          </w:p>
        </w:tc>
        <w:tc>
          <w:tcPr>
            <w:tcW w:type="dxa" w:w="800"/>
            <w:tcMar>
              <w:top w:w="45" w:type="dxa"/>
              <w:bottom w:w="45" w:type="dxa"/>
              <w:start w:w="100" w:type="dxa"/>
              <w:end w:w="100" w:type="dxa"/>
            </w:tcMar>
          </w:tcPr>
          <w:p>
            <w:pPr>
              <w:keepLines/>
              <w:spacing w:after="0" w:line="252" w:lineRule="auto"/>
            </w:pPr>
            <w:r>
              <w:rPr>
                <w:rFonts w:ascii="Calibri" w:hAnsi="Calibri" w:eastAsia="Microsoft YaHei"/>
                <w:color w:val="0B2545"/>
                <w:sz w:val="14"/>
              </w:rPr>
              <w:t>E4</w:t>
            </w:r>
          </w:p>
        </w:tc>
        <w:tc>
          <w:tcPr>
            <w:tcW w:type="dxa" w:w="2900"/>
            <w:tcMar>
              <w:top w:w="45" w:type="dxa"/>
              <w:bottom w:w="45" w:type="dxa"/>
              <w:start w:w="100" w:type="dxa"/>
              <w:end w:w="100" w:type="dxa"/>
            </w:tcMar>
          </w:tcPr>
          <w:p>
            <w:pPr>
              <w:keepLines/>
              <w:spacing w:after="0" w:line="252" w:lineRule="auto"/>
            </w:pPr>
            <w:r>
              <w:rPr>
                <w:rFonts w:ascii="Calibri" w:hAnsi="Calibri" w:eastAsia="Microsoft YaHei"/>
                <w:color w:val="0B2545"/>
                <w:sz w:val="14"/>
              </w:rPr>
              <w:t>Alcator C-Mod；RFX-mod；TCV；DIII-D；KSTAR；EAST；NSTX-U；SPIDER</w:t>
            </w:r>
          </w:p>
        </w:tc>
      </w:tr>
      <w:tr>
        <w:trPr>
          <w:cantSplit/>
        </w:trPr>
        <w:tc>
          <w:tcPr>
            <w:tcW w:type="dxa" w:w="1000"/>
            <w:tcMar>
              <w:top w:w="45" w:type="dxa"/>
              <w:bottom w:w="45" w:type="dxa"/>
              <w:start w:w="100" w:type="dxa"/>
              <w:end w:w="100" w:type="dxa"/>
            </w:tcMar>
          </w:tcPr>
          <w:p>
            <w:pPr>
              <w:keepLines/>
              <w:spacing w:after="0" w:line="252" w:lineRule="auto"/>
            </w:pPr>
            <w:r>
              <w:rPr>
                <w:rFonts w:ascii="Calibri" w:hAnsi="Calibri" w:eastAsia="Microsoft YaHei"/>
                <w:color w:val="0B2545"/>
                <w:sz w:val="14"/>
              </w:rPr>
              <w:t>DSI-003</w:t>
            </w:r>
          </w:p>
        </w:tc>
        <w:tc>
          <w:tcPr>
            <w:tcW w:type="dxa" w:w="900"/>
            <w:tcMar>
              <w:top w:w="45" w:type="dxa"/>
              <w:bottom w:w="45" w:type="dxa"/>
              <w:start w:w="100" w:type="dxa"/>
              <w:end w:w="100" w:type="dxa"/>
            </w:tcMar>
          </w:tcPr>
          <w:p>
            <w:pPr>
              <w:keepLines/>
              <w:spacing w:after="0" w:line="252" w:lineRule="auto"/>
            </w:pPr>
            <w:r>
              <w:rPr>
                <w:rFonts w:ascii="Calibri" w:hAnsi="Calibri" w:eastAsia="Microsoft YaHei"/>
                <w:color w:val="0B2545"/>
                <w:sz w:val="14"/>
              </w:rPr>
              <w:t>DG0</w:t>
            </w:r>
          </w:p>
        </w:tc>
        <w:tc>
          <w:tcPr>
            <w:tcW w:type="dxa" w:w="3760"/>
            <w:tcMar>
              <w:top w:w="45" w:type="dxa"/>
              <w:bottom w:w="45" w:type="dxa"/>
              <w:start w:w="100" w:type="dxa"/>
              <w:end w:w="100" w:type="dxa"/>
            </w:tcMar>
          </w:tcPr>
          <w:p>
            <w:pPr>
              <w:keepLines/>
              <w:spacing w:after="0" w:line="252" w:lineRule="auto"/>
            </w:pPr>
            <w:r>
              <w:rPr>
                <w:rFonts w:ascii="Calibri" w:hAnsi="Calibri" w:eastAsia="Microsoft YaHei"/>
                <w:color w:val="0B2545"/>
                <w:sz w:val="14"/>
              </w:rPr>
              <w:t>UDA 统一数据访问层</w:t>
            </w:r>
          </w:p>
        </w:tc>
        <w:tc>
          <w:tcPr>
            <w:tcW w:type="dxa" w:w="800"/>
            <w:tcMar>
              <w:top w:w="45" w:type="dxa"/>
              <w:bottom w:w="45" w:type="dxa"/>
              <w:start w:w="100" w:type="dxa"/>
              <w:end w:w="100" w:type="dxa"/>
            </w:tcMar>
          </w:tcPr>
          <w:p>
            <w:pPr>
              <w:keepLines/>
              <w:spacing w:after="0" w:line="252" w:lineRule="auto"/>
            </w:pPr>
            <w:r>
              <w:rPr>
                <w:rFonts w:ascii="Calibri" w:hAnsi="Calibri" w:eastAsia="Microsoft YaHei"/>
                <w:color w:val="0B2545"/>
                <w:sz w:val="14"/>
              </w:rPr>
              <w:t>E3</w:t>
            </w:r>
          </w:p>
        </w:tc>
        <w:tc>
          <w:tcPr>
            <w:tcW w:type="dxa" w:w="2900"/>
            <w:tcMar>
              <w:top w:w="45" w:type="dxa"/>
              <w:bottom w:w="45" w:type="dxa"/>
              <w:start w:w="100" w:type="dxa"/>
              <w:end w:w="100" w:type="dxa"/>
            </w:tcMar>
          </w:tcPr>
          <w:p>
            <w:pPr>
              <w:keepLines/>
              <w:spacing w:after="0" w:line="252" w:lineRule="auto"/>
            </w:pPr>
            <w:r>
              <w:rPr>
                <w:rFonts w:ascii="Calibri" w:hAnsi="Calibri" w:eastAsia="Microsoft YaHei"/>
                <w:color w:val="0B2545"/>
                <w:sz w:val="14"/>
              </w:rPr>
              <w:t>JET；MAST Upgrade；ITER/IMAS workflows；UKAEA facilities</w:t>
            </w:r>
          </w:p>
        </w:tc>
      </w:tr>
      <w:tr>
        <w:trPr>
          <w:cantSplit/>
        </w:trPr>
        <w:tc>
          <w:tcPr>
            <w:tcW w:type="dxa" w:w="1000"/>
            <w:tcMar>
              <w:top w:w="45" w:type="dxa"/>
              <w:bottom w:w="45" w:type="dxa"/>
              <w:start w:w="100" w:type="dxa"/>
              <w:end w:w="100" w:type="dxa"/>
            </w:tcMar>
          </w:tcPr>
          <w:p>
            <w:pPr>
              <w:keepLines/>
              <w:spacing w:after="0" w:line="252" w:lineRule="auto"/>
            </w:pPr>
            <w:r>
              <w:rPr>
                <w:rFonts w:ascii="Calibri" w:hAnsi="Calibri" w:eastAsia="Microsoft YaHei"/>
                <w:color w:val="0B2545"/>
                <w:sz w:val="14"/>
              </w:rPr>
              <w:t>DSI-004</w:t>
            </w:r>
          </w:p>
        </w:tc>
        <w:tc>
          <w:tcPr>
            <w:tcW w:type="dxa" w:w="900"/>
            <w:tcMar>
              <w:top w:w="45" w:type="dxa"/>
              <w:bottom w:w="45" w:type="dxa"/>
              <w:start w:w="100" w:type="dxa"/>
              <w:end w:w="100" w:type="dxa"/>
            </w:tcMar>
          </w:tcPr>
          <w:p>
            <w:pPr>
              <w:keepLines/>
              <w:spacing w:after="0" w:line="252" w:lineRule="auto"/>
            </w:pPr>
            <w:r>
              <w:rPr>
                <w:rFonts w:ascii="Calibri" w:hAnsi="Calibri" w:eastAsia="Microsoft YaHei"/>
                <w:color w:val="0B2545"/>
                <w:sz w:val="14"/>
              </w:rPr>
              <w:t>DG0</w:t>
            </w:r>
          </w:p>
        </w:tc>
        <w:tc>
          <w:tcPr>
            <w:tcW w:type="dxa" w:w="3760"/>
            <w:tcMar>
              <w:top w:w="45" w:type="dxa"/>
              <w:bottom w:w="45" w:type="dxa"/>
              <w:start w:w="100" w:type="dxa"/>
              <w:end w:w="100" w:type="dxa"/>
            </w:tcMar>
          </w:tcPr>
          <w:p>
            <w:pPr>
              <w:keepLines/>
              <w:spacing w:after="0" w:line="252" w:lineRule="auto"/>
            </w:pPr>
            <w:r>
              <w:rPr>
                <w:rFonts w:ascii="Calibri" w:hAnsi="Calibri" w:eastAsia="Microsoft YaHei"/>
                <w:color w:val="0B2545"/>
                <w:sz w:val="14"/>
              </w:rPr>
              <w:t>OMAS：轻量 IMAS 兼容数据对象与装置映射</w:t>
            </w:r>
          </w:p>
        </w:tc>
        <w:tc>
          <w:tcPr>
            <w:tcW w:type="dxa" w:w="800"/>
            <w:tcMar>
              <w:top w:w="45" w:type="dxa"/>
              <w:bottom w:w="45" w:type="dxa"/>
              <w:start w:w="100" w:type="dxa"/>
              <w:end w:w="100" w:type="dxa"/>
            </w:tcMar>
          </w:tcPr>
          <w:p>
            <w:pPr>
              <w:keepLines/>
              <w:spacing w:after="0" w:line="252" w:lineRule="auto"/>
            </w:pPr>
            <w:r>
              <w:rPr>
                <w:rFonts w:ascii="Calibri" w:hAnsi="Calibri" w:eastAsia="Microsoft YaHei"/>
                <w:color w:val="0B2545"/>
                <w:sz w:val="14"/>
              </w:rPr>
              <w:t>E2</w:t>
            </w:r>
          </w:p>
        </w:tc>
        <w:tc>
          <w:tcPr>
            <w:tcW w:type="dxa" w:w="2900"/>
            <w:tcMar>
              <w:top w:w="45" w:type="dxa"/>
              <w:bottom w:w="45" w:type="dxa"/>
              <w:start w:w="100" w:type="dxa"/>
              <w:end w:w="100" w:type="dxa"/>
            </w:tcMar>
          </w:tcPr>
          <w:p>
            <w:pPr>
              <w:keepLines/>
              <w:spacing w:after="0" w:line="252" w:lineRule="auto"/>
            </w:pPr>
            <w:r>
              <w:rPr>
                <w:rFonts w:ascii="Calibri" w:hAnsi="Calibri" w:eastAsia="Microsoft YaHei"/>
                <w:color w:val="0B2545"/>
                <w:sz w:val="14"/>
              </w:rPr>
              <w:t>DIII-D；NSTX-U；ITER scenario studies；GA workflows</w:t>
            </w:r>
          </w:p>
        </w:tc>
      </w:tr>
      <w:tr>
        <w:trPr>
          <w:cantSplit/>
        </w:trPr>
        <w:tc>
          <w:tcPr>
            <w:tcW w:type="dxa" w:w="1000"/>
            <w:tcMar>
              <w:top w:w="45" w:type="dxa"/>
              <w:bottom w:w="45" w:type="dxa"/>
              <w:start w:w="100" w:type="dxa"/>
              <w:end w:w="100" w:type="dxa"/>
            </w:tcMar>
          </w:tcPr>
          <w:p>
            <w:pPr>
              <w:keepLines/>
              <w:spacing w:after="0" w:line="252" w:lineRule="auto"/>
            </w:pPr>
            <w:r>
              <w:rPr>
                <w:rFonts w:ascii="Calibri" w:hAnsi="Calibri" w:eastAsia="Microsoft YaHei"/>
                <w:color w:val="0B2545"/>
                <w:sz w:val="14"/>
              </w:rPr>
              <w:t>DSI-005</w:t>
            </w:r>
          </w:p>
        </w:tc>
        <w:tc>
          <w:tcPr>
            <w:tcW w:type="dxa" w:w="900"/>
            <w:tcMar>
              <w:top w:w="45" w:type="dxa"/>
              <w:bottom w:w="45" w:type="dxa"/>
              <w:start w:w="100" w:type="dxa"/>
              <w:end w:w="100" w:type="dxa"/>
            </w:tcMar>
          </w:tcPr>
          <w:p>
            <w:pPr>
              <w:keepLines/>
              <w:spacing w:after="0" w:line="252" w:lineRule="auto"/>
            </w:pPr>
            <w:r>
              <w:rPr>
                <w:rFonts w:ascii="Calibri" w:hAnsi="Calibri" w:eastAsia="Microsoft YaHei"/>
                <w:color w:val="0B2545"/>
                <w:sz w:val="14"/>
              </w:rPr>
              <w:t>DG0</w:t>
            </w:r>
          </w:p>
        </w:tc>
        <w:tc>
          <w:tcPr>
            <w:tcW w:type="dxa" w:w="3760"/>
            <w:tcMar>
              <w:top w:w="45" w:type="dxa"/>
              <w:bottom w:w="45" w:type="dxa"/>
              <w:start w:w="100" w:type="dxa"/>
              <w:end w:w="100" w:type="dxa"/>
            </w:tcMar>
          </w:tcPr>
          <w:p>
            <w:pPr>
              <w:keepLines/>
              <w:spacing w:after="0" w:line="252" w:lineRule="auto"/>
            </w:pPr>
            <w:r>
              <w:rPr>
                <w:rFonts w:ascii="Calibri" w:hAnsi="Calibri" w:eastAsia="Microsoft YaHei"/>
                <w:color w:val="0B2545"/>
                <w:sz w:val="14"/>
              </w:rPr>
              <w:t>FAIR4Fusion 数据治理蓝图</w:t>
            </w:r>
          </w:p>
        </w:tc>
        <w:tc>
          <w:tcPr>
            <w:tcW w:type="dxa" w:w="800"/>
            <w:tcMar>
              <w:top w:w="45" w:type="dxa"/>
              <w:bottom w:w="45" w:type="dxa"/>
              <w:start w:w="100" w:type="dxa"/>
              <w:end w:w="100" w:type="dxa"/>
            </w:tcMar>
          </w:tcPr>
          <w:p>
            <w:pPr>
              <w:keepLines/>
              <w:spacing w:after="0" w:line="252" w:lineRule="auto"/>
            </w:pPr>
            <w:r>
              <w:rPr>
                <w:rFonts w:ascii="Calibri" w:hAnsi="Calibri" w:eastAsia="Microsoft YaHei"/>
                <w:color w:val="0B2545"/>
                <w:sz w:val="14"/>
              </w:rPr>
              <w:t>E1</w:t>
            </w:r>
          </w:p>
        </w:tc>
        <w:tc>
          <w:tcPr>
            <w:tcW w:type="dxa" w:w="2900"/>
            <w:tcMar>
              <w:top w:w="45" w:type="dxa"/>
              <w:bottom w:w="45" w:type="dxa"/>
              <w:start w:w="100" w:type="dxa"/>
              <w:end w:w="100" w:type="dxa"/>
            </w:tcMar>
          </w:tcPr>
          <w:p>
            <w:pPr>
              <w:keepLines/>
              <w:spacing w:after="0" w:line="252" w:lineRule="auto"/>
            </w:pPr>
            <w:r>
              <w:rPr>
                <w:rFonts w:ascii="Calibri" w:hAnsi="Calibri" w:eastAsia="Microsoft YaHei"/>
                <w:color w:val="0B2545"/>
                <w:sz w:val="14"/>
              </w:rPr>
              <w:t>EUROfusion facilities；ITER-adjacent research ecosystem</w:t>
            </w:r>
          </w:p>
        </w:tc>
      </w:tr>
      <w:tr>
        <w:trPr>
          <w:cantSplit/>
        </w:trPr>
        <w:tc>
          <w:tcPr>
            <w:tcW w:type="dxa" w:w="1000"/>
            <w:tcMar>
              <w:top w:w="45" w:type="dxa"/>
              <w:bottom w:w="45" w:type="dxa"/>
              <w:start w:w="100" w:type="dxa"/>
              <w:end w:w="100" w:type="dxa"/>
            </w:tcMar>
          </w:tcPr>
          <w:p>
            <w:pPr>
              <w:keepLines/>
              <w:spacing w:after="0" w:line="252" w:lineRule="auto"/>
            </w:pPr>
            <w:r>
              <w:rPr>
                <w:rFonts w:ascii="Calibri" w:hAnsi="Calibri" w:eastAsia="Microsoft YaHei"/>
                <w:color w:val="0B2545"/>
                <w:sz w:val="14"/>
              </w:rPr>
              <w:t>DSI-006</w:t>
            </w:r>
          </w:p>
        </w:tc>
        <w:tc>
          <w:tcPr>
            <w:tcW w:type="dxa" w:w="900"/>
            <w:tcMar>
              <w:top w:w="45" w:type="dxa"/>
              <w:bottom w:w="45" w:type="dxa"/>
              <w:start w:w="100" w:type="dxa"/>
              <w:end w:w="100" w:type="dxa"/>
            </w:tcMar>
          </w:tcPr>
          <w:p>
            <w:pPr>
              <w:keepLines/>
              <w:spacing w:after="0" w:line="252" w:lineRule="auto"/>
            </w:pPr>
            <w:r>
              <w:rPr>
                <w:rFonts w:ascii="Calibri" w:hAnsi="Calibri" w:eastAsia="Microsoft YaHei"/>
                <w:color w:val="0B2545"/>
                <w:sz w:val="14"/>
              </w:rPr>
              <w:t>DG0</w:t>
            </w:r>
          </w:p>
        </w:tc>
        <w:tc>
          <w:tcPr>
            <w:tcW w:type="dxa" w:w="3760"/>
            <w:tcMar>
              <w:top w:w="45" w:type="dxa"/>
              <w:bottom w:w="45" w:type="dxa"/>
              <w:start w:w="100" w:type="dxa"/>
              <w:end w:w="100" w:type="dxa"/>
            </w:tcMar>
          </w:tcPr>
          <w:p>
            <w:pPr>
              <w:keepLines/>
              <w:spacing w:after="0" w:line="252" w:lineRule="auto"/>
            </w:pPr>
            <w:r>
              <w:rPr>
                <w:rFonts w:ascii="Calibri" w:hAnsi="Calibri" w:eastAsia="Microsoft YaHei"/>
                <w:color w:val="0B2545"/>
                <w:sz w:val="14"/>
              </w:rPr>
              <w:t>Calcam 相机几何标定与像素—三维映射</w:t>
            </w:r>
          </w:p>
        </w:tc>
        <w:tc>
          <w:tcPr>
            <w:tcW w:type="dxa" w:w="800"/>
            <w:tcMar>
              <w:top w:w="45" w:type="dxa"/>
              <w:bottom w:w="45" w:type="dxa"/>
              <w:start w:w="100" w:type="dxa"/>
              <w:end w:w="100" w:type="dxa"/>
            </w:tcMar>
          </w:tcPr>
          <w:p>
            <w:pPr>
              <w:keepLines/>
              <w:spacing w:after="0" w:line="252" w:lineRule="auto"/>
            </w:pPr>
            <w:r>
              <w:rPr>
                <w:rFonts w:ascii="Calibri" w:hAnsi="Calibri" w:eastAsia="Microsoft YaHei"/>
                <w:color w:val="0B2545"/>
                <w:sz w:val="14"/>
              </w:rPr>
              <w:t>E3</w:t>
            </w:r>
          </w:p>
        </w:tc>
        <w:tc>
          <w:tcPr>
            <w:tcW w:type="dxa" w:w="2900"/>
            <w:tcMar>
              <w:top w:w="45" w:type="dxa"/>
              <w:bottom w:w="45" w:type="dxa"/>
              <w:start w:w="100" w:type="dxa"/>
              <w:end w:w="100" w:type="dxa"/>
            </w:tcMar>
          </w:tcPr>
          <w:p>
            <w:pPr>
              <w:keepLines/>
              <w:spacing w:after="0" w:line="252" w:lineRule="auto"/>
            </w:pPr>
            <w:r>
              <w:rPr>
                <w:rFonts w:ascii="Calibri" w:hAnsi="Calibri" w:eastAsia="Microsoft YaHei"/>
                <w:color w:val="0B2545"/>
                <w:sz w:val="14"/>
              </w:rPr>
              <w:t>JET；MAST Upgrade；fusion camera systems</w:t>
            </w:r>
          </w:p>
        </w:tc>
      </w:tr>
      <w:tr>
        <w:trPr>
          <w:cantSplit/>
        </w:trPr>
        <w:tc>
          <w:tcPr>
            <w:tcW w:type="dxa" w:w="1000"/>
            <w:tcMar>
              <w:top w:w="45" w:type="dxa"/>
              <w:bottom w:w="45" w:type="dxa"/>
              <w:start w:w="100" w:type="dxa"/>
              <w:end w:w="100" w:type="dxa"/>
            </w:tcMar>
          </w:tcPr>
          <w:p>
            <w:pPr>
              <w:keepLines/>
              <w:spacing w:after="0" w:line="252" w:lineRule="auto"/>
            </w:pPr>
            <w:r>
              <w:rPr>
                <w:rFonts w:ascii="Calibri" w:hAnsi="Calibri" w:eastAsia="Microsoft YaHei"/>
                <w:color w:val="0B2545"/>
                <w:sz w:val="14"/>
              </w:rPr>
              <w:t>DSI-007</w:t>
            </w:r>
          </w:p>
        </w:tc>
        <w:tc>
          <w:tcPr>
            <w:tcW w:type="dxa" w:w="900"/>
            <w:tcMar>
              <w:top w:w="45" w:type="dxa"/>
              <w:bottom w:w="45" w:type="dxa"/>
              <w:start w:w="100" w:type="dxa"/>
              <w:end w:w="100" w:type="dxa"/>
            </w:tcMar>
          </w:tcPr>
          <w:p>
            <w:pPr>
              <w:keepLines/>
              <w:spacing w:after="0" w:line="252" w:lineRule="auto"/>
            </w:pPr>
            <w:r>
              <w:rPr>
                <w:rFonts w:ascii="Calibri" w:hAnsi="Calibri" w:eastAsia="Microsoft YaHei"/>
                <w:color w:val="0B2545"/>
                <w:sz w:val="14"/>
              </w:rPr>
              <w:t>DG0</w:t>
            </w:r>
          </w:p>
        </w:tc>
        <w:tc>
          <w:tcPr>
            <w:tcW w:type="dxa" w:w="3760"/>
            <w:tcMar>
              <w:top w:w="45" w:type="dxa"/>
              <w:bottom w:w="45" w:type="dxa"/>
              <w:start w:w="100" w:type="dxa"/>
              <w:end w:w="100" w:type="dxa"/>
            </w:tcMar>
          </w:tcPr>
          <w:p>
            <w:pPr>
              <w:keepLines/>
              <w:spacing w:after="0" w:line="252" w:lineRule="auto"/>
            </w:pPr>
            <w:r>
              <w:rPr>
                <w:rFonts w:ascii="Calibri" w:hAnsi="Calibri" w:eastAsia="Microsoft YaHei"/>
                <w:color w:val="0B2545"/>
                <w:sz w:val="14"/>
              </w:rPr>
              <w:t>MARTe2–MDSplus 实时采集、配置与归档一体化</w:t>
            </w:r>
          </w:p>
        </w:tc>
        <w:tc>
          <w:tcPr>
            <w:tcW w:type="dxa" w:w="800"/>
            <w:tcMar>
              <w:top w:w="45" w:type="dxa"/>
              <w:bottom w:w="45" w:type="dxa"/>
              <w:start w:w="100" w:type="dxa"/>
              <w:end w:w="100" w:type="dxa"/>
            </w:tcMar>
          </w:tcPr>
          <w:p>
            <w:pPr>
              <w:keepLines/>
              <w:spacing w:after="0" w:line="252" w:lineRule="auto"/>
            </w:pPr>
            <w:r>
              <w:rPr>
                <w:rFonts w:ascii="Calibri" w:hAnsi="Calibri" w:eastAsia="Microsoft YaHei"/>
                <w:color w:val="0B2545"/>
                <w:sz w:val="14"/>
              </w:rPr>
              <w:t>E4</w:t>
            </w:r>
          </w:p>
        </w:tc>
        <w:tc>
          <w:tcPr>
            <w:tcW w:type="dxa" w:w="2900"/>
            <w:tcMar>
              <w:top w:w="45" w:type="dxa"/>
              <w:bottom w:w="45" w:type="dxa"/>
              <w:start w:w="100" w:type="dxa"/>
              <w:end w:w="100" w:type="dxa"/>
            </w:tcMar>
          </w:tcPr>
          <w:p>
            <w:pPr>
              <w:keepLines/>
              <w:spacing w:after="0" w:line="252" w:lineRule="auto"/>
            </w:pPr>
            <w:r>
              <w:rPr>
                <w:rFonts w:ascii="Calibri" w:hAnsi="Calibri" w:eastAsia="Microsoft YaHei"/>
                <w:color w:val="0B2545"/>
                <w:sz w:val="14"/>
              </w:rPr>
              <w:t>RFX-mod；RFX-mod2；SPIDER；ITER NBTF；DTT；SPARC planned；SMART proof-of-concept</w:t>
            </w:r>
          </w:p>
        </w:tc>
      </w:tr>
      <w:tr>
        <w:trPr>
          <w:cantSplit/>
        </w:trPr>
        <w:tc>
          <w:tcPr>
            <w:tcW w:type="dxa" w:w="1000"/>
            <w:tcMar>
              <w:top w:w="45" w:type="dxa"/>
              <w:bottom w:w="45" w:type="dxa"/>
              <w:start w:w="100" w:type="dxa"/>
              <w:end w:w="100" w:type="dxa"/>
            </w:tcMar>
          </w:tcPr>
          <w:p>
            <w:pPr>
              <w:keepLines/>
              <w:spacing w:after="0" w:line="252" w:lineRule="auto"/>
            </w:pPr>
            <w:r>
              <w:rPr>
                <w:rFonts w:ascii="Calibri" w:hAnsi="Calibri" w:eastAsia="Microsoft YaHei"/>
                <w:color w:val="0B2545"/>
                <w:sz w:val="14"/>
              </w:rPr>
              <w:t>DSI-008</w:t>
            </w:r>
          </w:p>
        </w:tc>
        <w:tc>
          <w:tcPr>
            <w:tcW w:type="dxa" w:w="900"/>
            <w:tcMar>
              <w:top w:w="45" w:type="dxa"/>
              <w:bottom w:w="45" w:type="dxa"/>
              <w:start w:w="100" w:type="dxa"/>
              <w:end w:w="100" w:type="dxa"/>
            </w:tcMar>
          </w:tcPr>
          <w:p>
            <w:pPr>
              <w:keepLines/>
              <w:spacing w:after="0" w:line="252" w:lineRule="auto"/>
            </w:pPr>
            <w:r>
              <w:rPr>
                <w:rFonts w:ascii="Calibri" w:hAnsi="Calibri" w:eastAsia="Microsoft YaHei"/>
                <w:color w:val="0B2545"/>
                <w:sz w:val="14"/>
              </w:rPr>
              <w:t>DG0</w:t>
            </w:r>
          </w:p>
        </w:tc>
        <w:tc>
          <w:tcPr>
            <w:tcW w:type="dxa" w:w="3760"/>
            <w:tcMar>
              <w:top w:w="45" w:type="dxa"/>
              <w:bottom w:w="45" w:type="dxa"/>
              <w:start w:w="100" w:type="dxa"/>
              <w:end w:w="100" w:type="dxa"/>
            </w:tcMar>
          </w:tcPr>
          <w:p>
            <w:pPr>
              <w:keepLines/>
              <w:spacing w:after="0" w:line="252" w:lineRule="auto"/>
            </w:pPr>
            <w:r>
              <w:rPr>
                <w:rFonts w:ascii="Calibri" w:hAnsi="Calibri" w:eastAsia="Microsoft YaHei"/>
                <w:color w:val="0B2545"/>
                <w:sz w:val="14"/>
              </w:rPr>
              <w:t>ITER 诊断 Plant I&amp;C、CODAC 接口与中子计量校准治理</w:t>
            </w:r>
          </w:p>
        </w:tc>
        <w:tc>
          <w:tcPr>
            <w:tcW w:type="dxa" w:w="800"/>
            <w:tcMar>
              <w:top w:w="45" w:type="dxa"/>
              <w:bottom w:w="45" w:type="dxa"/>
              <w:start w:w="100" w:type="dxa"/>
              <w:end w:w="100" w:type="dxa"/>
            </w:tcMar>
          </w:tcPr>
          <w:p>
            <w:pPr>
              <w:keepLines/>
              <w:spacing w:after="0" w:line="252" w:lineRule="auto"/>
            </w:pPr>
            <w:r>
              <w:rPr>
                <w:rFonts w:ascii="Calibri" w:hAnsi="Calibri" w:eastAsia="Microsoft YaHei"/>
                <w:color w:val="0B2545"/>
                <w:sz w:val="14"/>
              </w:rPr>
              <w:t>E2</w:t>
            </w:r>
          </w:p>
        </w:tc>
        <w:tc>
          <w:tcPr>
            <w:tcW w:type="dxa" w:w="2900"/>
            <w:tcMar>
              <w:top w:w="45" w:type="dxa"/>
              <w:bottom w:w="45" w:type="dxa"/>
              <w:start w:w="100" w:type="dxa"/>
              <w:end w:w="100" w:type="dxa"/>
            </w:tcMar>
          </w:tcPr>
          <w:p>
            <w:pPr>
              <w:keepLines/>
              <w:spacing w:after="0" w:line="252" w:lineRule="auto"/>
            </w:pPr>
            <w:r>
              <w:rPr>
                <w:rFonts w:ascii="Calibri" w:hAnsi="Calibri" w:eastAsia="Microsoft YaHei"/>
                <w:color w:val="0B2545"/>
                <w:sz w:val="14"/>
              </w:rPr>
              <w:t>ITER</w:t>
            </w:r>
          </w:p>
        </w:tc>
      </w:tr>
      <w:tr>
        <w:trPr>
          <w:cantSplit/>
        </w:trPr>
        <w:tc>
          <w:tcPr>
            <w:tcW w:type="dxa" w:w="1000"/>
            <w:tcMar>
              <w:top w:w="45" w:type="dxa"/>
              <w:bottom w:w="45" w:type="dxa"/>
              <w:start w:w="100" w:type="dxa"/>
              <w:end w:w="100" w:type="dxa"/>
            </w:tcMar>
          </w:tcPr>
          <w:p>
            <w:pPr>
              <w:keepLines/>
              <w:spacing w:after="0" w:line="252" w:lineRule="auto"/>
            </w:pPr>
            <w:r>
              <w:rPr>
                <w:rFonts w:ascii="Calibri" w:hAnsi="Calibri" w:eastAsia="Microsoft YaHei"/>
                <w:color w:val="0B2545"/>
                <w:sz w:val="14"/>
              </w:rPr>
              <w:t>DG7-037</w:t>
            </w:r>
          </w:p>
        </w:tc>
        <w:tc>
          <w:tcPr>
            <w:tcW w:type="dxa" w:w="900"/>
            <w:tcMar>
              <w:top w:w="45" w:type="dxa"/>
              <w:bottom w:w="45" w:type="dxa"/>
              <w:start w:w="100" w:type="dxa"/>
              <w:end w:w="100" w:type="dxa"/>
            </w:tcMar>
          </w:tcPr>
          <w:p>
            <w:pPr>
              <w:keepLines/>
              <w:spacing w:after="0" w:line="252" w:lineRule="auto"/>
            </w:pPr>
            <w:r>
              <w:rPr>
                <w:rFonts w:ascii="Calibri" w:hAnsi="Calibri" w:eastAsia="Microsoft YaHei"/>
                <w:color w:val="0B2545"/>
                <w:sz w:val="14"/>
              </w:rPr>
              <w:t>DG7</w:t>
            </w:r>
          </w:p>
        </w:tc>
        <w:tc>
          <w:tcPr>
            <w:tcW w:type="dxa" w:w="3760"/>
            <w:tcMar>
              <w:top w:w="45" w:type="dxa"/>
              <w:bottom w:w="45" w:type="dxa"/>
              <w:start w:w="100" w:type="dxa"/>
              <w:end w:w="100" w:type="dxa"/>
            </w:tcMar>
          </w:tcPr>
          <w:p>
            <w:pPr>
              <w:keepLines/>
              <w:spacing w:after="0" w:line="252" w:lineRule="auto"/>
            </w:pPr>
            <w:r>
              <w:rPr>
                <w:rFonts w:ascii="Calibri" w:hAnsi="Calibri" w:eastAsia="Microsoft YaHei"/>
                <w:color w:val="0B2545"/>
                <w:sz w:val="14"/>
              </w:rPr>
              <w:t>红外热成像：PFC表面温度与热流</w:t>
            </w:r>
          </w:p>
        </w:tc>
        <w:tc>
          <w:tcPr>
            <w:tcW w:type="dxa" w:w="800"/>
            <w:tcMar>
              <w:top w:w="45" w:type="dxa"/>
              <w:bottom w:w="45" w:type="dxa"/>
              <w:start w:w="100" w:type="dxa"/>
              <w:end w:w="100" w:type="dxa"/>
            </w:tcMar>
          </w:tcPr>
          <w:p>
            <w:pPr>
              <w:keepLines/>
              <w:spacing w:after="0" w:line="252" w:lineRule="auto"/>
            </w:pPr>
            <w:r>
              <w:rPr>
                <w:rFonts w:ascii="Calibri" w:hAnsi="Calibri" w:eastAsia="Microsoft YaHei"/>
                <w:color w:val="0B2545"/>
                <w:sz w:val="14"/>
              </w:rPr>
              <w:t>E2</w:t>
            </w:r>
          </w:p>
        </w:tc>
        <w:tc>
          <w:tcPr>
            <w:tcW w:type="dxa" w:w="2900"/>
            <w:tcMar>
              <w:top w:w="45" w:type="dxa"/>
              <w:bottom w:w="45" w:type="dxa"/>
              <w:start w:w="100" w:type="dxa"/>
              <w:end w:w="100" w:type="dxa"/>
            </w:tcMar>
          </w:tcPr>
          <w:p>
            <w:pPr>
              <w:keepLines/>
              <w:spacing w:after="0" w:line="252" w:lineRule="auto"/>
            </w:pPr>
            <w:r>
              <w:rPr>
                <w:rFonts w:ascii="Calibri" w:hAnsi="Calibri" w:eastAsia="Microsoft YaHei"/>
                <w:color w:val="0B2545"/>
                <w:sz w:val="14"/>
              </w:rPr>
              <w:t>ITER；ASDEX Upgrade；JET；WEST；EAST</w:t>
            </w:r>
          </w:p>
        </w:tc>
      </w:tr>
      <w:tr>
        <w:trPr>
          <w:cantSplit/>
        </w:trPr>
        <w:tc>
          <w:tcPr>
            <w:tcW w:type="dxa" w:w="1000"/>
            <w:tcMar>
              <w:top w:w="45" w:type="dxa"/>
              <w:bottom w:w="45" w:type="dxa"/>
              <w:start w:w="100" w:type="dxa"/>
              <w:end w:w="100" w:type="dxa"/>
            </w:tcMar>
          </w:tcPr>
          <w:p>
            <w:pPr>
              <w:keepLines/>
              <w:spacing w:after="0" w:line="252" w:lineRule="auto"/>
            </w:pPr>
            <w:r>
              <w:rPr>
                <w:rFonts w:ascii="Calibri" w:hAnsi="Calibri" w:eastAsia="Microsoft YaHei"/>
                <w:color w:val="0B2545"/>
                <w:sz w:val="14"/>
              </w:rPr>
              <w:t>DG7-040</w:t>
            </w:r>
          </w:p>
        </w:tc>
        <w:tc>
          <w:tcPr>
            <w:tcW w:type="dxa" w:w="900"/>
            <w:tcMar>
              <w:top w:w="45" w:type="dxa"/>
              <w:bottom w:w="45" w:type="dxa"/>
              <w:start w:w="100" w:type="dxa"/>
              <w:end w:w="100" w:type="dxa"/>
            </w:tcMar>
          </w:tcPr>
          <w:p>
            <w:pPr>
              <w:keepLines/>
              <w:spacing w:after="0" w:line="252" w:lineRule="auto"/>
            </w:pPr>
            <w:r>
              <w:rPr>
                <w:rFonts w:ascii="Calibri" w:hAnsi="Calibri" w:eastAsia="Microsoft YaHei"/>
                <w:color w:val="0B2545"/>
                <w:sz w:val="14"/>
              </w:rPr>
              <w:t>DG7</w:t>
            </w:r>
          </w:p>
        </w:tc>
        <w:tc>
          <w:tcPr>
            <w:tcW w:type="dxa" w:w="3760"/>
            <w:tcMar>
              <w:top w:w="45" w:type="dxa"/>
              <w:bottom w:w="45" w:type="dxa"/>
              <w:start w:w="100" w:type="dxa"/>
              <w:end w:w="100" w:type="dxa"/>
            </w:tcMar>
          </w:tcPr>
          <w:p>
            <w:pPr>
              <w:keepLines/>
              <w:spacing w:after="0" w:line="252" w:lineRule="auto"/>
            </w:pPr>
            <w:r>
              <w:rPr>
                <w:rFonts w:ascii="Calibri" w:hAnsi="Calibri" w:eastAsia="Microsoft YaHei"/>
                <w:color w:val="0B2545"/>
                <w:sz w:val="14"/>
              </w:rPr>
              <w:t>石英晶体微天平：侵蚀/沉积在线质量通量</w:t>
            </w:r>
          </w:p>
        </w:tc>
        <w:tc>
          <w:tcPr>
            <w:tcW w:type="dxa" w:w="800"/>
            <w:tcMar>
              <w:top w:w="45" w:type="dxa"/>
              <w:bottom w:w="45" w:type="dxa"/>
              <w:start w:w="100" w:type="dxa"/>
              <w:end w:w="100" w:type="dxa"/>
            </w:tcMar>
          </w:tcPr>
          <w:p>
            <w:pPr>
              <w:keepLines/>
              <w:spacing w:after="0" w:line="252" w:lineRule="auto"/>
            </w:pPr>
            <w:r>
              <w:rPr>
                <w:rFonts w:ascii="Calibri" w:hAnsi="Calibri" w:eastAsia="Microsoft YaHei"/>
                <w:color w:val="0B2545"/>
                <w:sz w:val="14"/>
              </w:rPr>
              <w:t>E3</w:t>
            </w:r>
          </w:p>
        </w:tc>
        <w:tc>
          <w:tcPr>
            <w:tcW w:type="dxa" w:w="2900"/>
            <w:tcMar>
              <w:top w:w="45" w:type="dxa"/>
              <w:bottom w:w="45" w:type="dxa"/>
              <w:start w:w="100" w:type="dxa"/>
              <w:end w:w="100" w:type="dxa"/>
            </w:tcMar>
          </w:tcPr>
          <w:p>
            <w:pPr>
              <w:keepLines/>
              <w:spacing w:after="0" w:line="252" w:lineRule="auto"/>
            </w:pPr>
            <w:r>
              <w:rPr>
                <w:rFonts w:ascii="Calibri" w:hAnsi="Calibri" w:eastAsia="Microsoft YaHei"/>
                <w:color w:val="0B2545"/>
                <w:sz w:val="14"/>
              </w:rPr>
              <w:t>JET；EAST；laboratory PWI facilities</w:t>
            </w:r>
          </w:p>
        </w:tc>
      </w:tr>
      <w:tr>
        <w:trPr>
          <w:cantSplit/>
        </w:trPr>
        <w:tc>
          <w:tcPr>
            <w:tcW w:type="dxa" w:w="1000"/>
            <w:tcMar>
              <w:top w:w="45" w:type="dxa"/>
              <w:bottom w:w="45" w:type="dxa"/>
              <w:start w:w="100" w:type="dxa"/>
              <w:end w:w="100" w:type="dxa"/>
            </w:tcMar>
          </w:tcPr>
          <w:p>
            <w:pPr>
              <w:keepLines/>
              <w:spacing w:after="0" w:line="252" w:lineRule="auto"/>
            </w:pPr>
            <w:r>
              <w:rPr>
                <w:rFonts w:ascii="Calibri" w:hAnsi="Calibri" w:eastAsia="Microsoft YaHei"/>
                <w:color w:val="0B2545"/>
                <w:sz w:val="14"/>
              </w:rPr>
              <w:t>DG7-041</w:t>
            </w:r>
          </w:p>
        </w:tc>
        <w:tc>
          <w:tcPr>
            <w:tcW w:type="dxa" w:w="900"/>
            <w:tcMar>
              <w:top w:w="45" w:type="dxa"/>
              <w:bottom w:w="45" w:type="dxa"/>
              <w:start w:w="100" w:type="dxa"/>
              <w:end w:w="100" w:type="dxa"/>
            </w:tcMar>
          </w:tcPr>
          <w:p>
            <w:pPr>
              <w:keepLines/>
              <w:spacing w:after="0" w:line="252" w:lineRule="auto"/>
            </w:pPr>
            <w:r>
              <w:rPr>
                <w:rFonts w:ascii="Calibri" w:hAnsi="Calibri" w:eastAsia="Microsoft YaHei"/>
                <w:color w:val="0B2545"/>
                <w:sz w:val="14"/>
              </w:rPr>
              <w:t>DG7</w:t>
            </w:r>
          </w:p>
        </w:tc>
        <w:tc>
          <w:tcPr>
            <w:tcW w:type="dxa" w:w="3760"/>
            <w:tcMar>
              <w:top w:w="45" w:type="dxa"/>
              <w:bottom w:w="45" w:type="dxa"/>
              <w:start w:w="100" w:type="dxa"/>
              <w:end w:w="100" w:type="dxa"/>
            </w:tcMar>
          </w:tcPr>
          <w:p>
            <w:pPr>
              <w:keepLines/>
              <w:spacing w:after="0" w:line="252" w:lineRule="auto"/>
            </w:pPr>
            <w:r>
              <w:rPr>
                <w:rFonts w:ascii="Calibri" w:hAnsi="Calibri" w:eastAsia="Microsoft YaHei"/>
                <w:color w:val="0B2545"/>
                <w:sz w:val="14"/>
              </w:rPr>
              <w:t>LIBS/LIDS：壁材料与氚/氘库存原位诊断</w:t>
            </w:r>
          </w:p>
        </w:tc>
        <w:tc>
          <w:tcPr>
            <w:tcW w:type="dxa" w:w="800"/>
            <w:tcMar>
              <w:top w:w="45" w:type="dxa"/>
              <w:bottom w:w="45" w:type="dxa"/>
              <w:start w:w="100" w:type="dxa"/>
              <w:end w:w="100" w:type="dxa"/>
            </w:tcMar>
          </w:tcPr>
          <w:p>
            <w:pPr>
              <w:keepLines/>
              <w:spacing w:after="0" w:line="252" w:lineRule="auto"/>
            </w:pPr>
            <w:r>
              <w:rPr>
                <w:rFonts w:ascii="Calibri" w:hAnsi="Calibri" w:eastAsia="Microsoft YaHei"/>
                <w:color w:val="0B2545"/>
                <w:sz w:val="14"/>
              </w:rPr>
              <w:t>E2</w:t>
            </w:r>
          </w:p>
        </w:tc>
        <w:tc>
          <w:tcPr>
            <w:tcW w:type="dxa" w:w="2900"/>
            <w:tcMar>
              <w:top w:w="45" w:type="dxa"/>
              <w:bottom w:w="45" w:type="dxa"/>
              <w:start w:w="100" w:type="dxa"/>
              <w:end w:w="100" w:type="dxa"/>
            </w:tcMar>
          </w:tcPr>
          <w:p>
            <w:pPr>
              <w:keepLines/>
              <w:spacing w:after="0" w:line="252" w:lineRule="auto"/>
            </w:pPr>
            <w:r>
              <w:rPr>
                <w:rFonts w:ascii="Calibri" w:hAnsi="Calibri" w:eastAsia="Microsoft YaHei"/>
                <w:color w:val="0B2545"/>
                <w:sz w:val="14"/>
              </w:rPr>
              <w:t>DIII-D/LIDS studies；ITER R&amp;D；linear plasma facilities</w:t>
            </w:r>
          </w:p>
        </w:tc>
      </w:tr>
      <w:tr>
        <w:trPr>
          <w:cantSplit/>
        </w:trPr>
        <w:tc>
          <w:tcPr>
            <w:tcW w:type="dxa" w:w="1000"/>
            <w:tcMar>
              <w:top w:w="45" w:type="dxa"/>
              <w:bottom w:w="45" w:type="dxa"/>
              <w:start w:w="100" w:type="dxa"/>
              <w:end w:w="100" w:type="dxa"/>
            </w:tcMar>
          </w:tcPr>
          <w:p>
            <w:pPr>
              <w:keepLines/>
              <w:spacing w:after="0" w:line="252" w:lineRule="auto"/>
            </w:pPr>
            <w:r>
              <w:rPr>
                <w:rFonts w:ascii="Calibri" w:hAnsi="Calibri" w:eastAsia="Microsoft YaHei"/>
                <w:color w:val="0B2545"/>
                <w:sz w:val="14"/>
              </w:rPr>
              <w:t>DG7-042</w:t>
            </w:r>
          </w:p>
        </w:tc>
        <w:tc>
          <w:tcPr>
            <w:tcW w:type="dxa" w:w="900"/>
            <w:tcMar>
              <w:top w:w="45" w:type="dxa"/>
              <w:bottom w:w="45" w:type="dxa"/>
              <w:start w:w="100" w:type="dxa"/>
              <w:end w:w="100" w:type="dxa"/>
            </w:tcMar>
          </w:tcPr>
          <w:p>
            <w:pPr>
              <w:keepLines/>
              <w:spacing w:after="0" w:line="252" w:lineRule="auto"/>
            </w:pPr>
            <w:r>
              <w:rPr>
                <w:rFonts w:ascii="Calibri" w:hAnsi="Calibri" w:eastAsia="Microsoft YaHei"/>
                <w:color w:val="0B2545"/>
                <w:sz w:val="14"/>
              </w:rPr>
              <w:t>DG7</w:t>
            </w:r>
          </w:p>
        </w:tc>
        <w:tc>
          <w:tcPr>
            <w:tcW w:type="dxa" w:w="3760"/>
            <w:tcMar>
              <w:top w:w="45" w:type="dxa"/>
              <w:bottom w:w="45" w:type="dxa"/>
              <w:start w:w="100" w:type="dxa"/>
              <w:end w:w="100" w:type="dxa"/>
            </w:tcMar>
          </w:tcPr>
          <w:p>
            <w:pPr>
              <w:keepLines/>
              <w:spacing w:after="0" w:line="252" w:lineRule="auto"/>
            </w:pPr>
            <w:r>
              <w:rPr>
                <w:rFonts w:ascii="Calibri" w:hAnsi="Calibri" w:eastAsia="Microsoft YaHei"/>
                <w:color w:val="0B2545"/>
                <w:sz w:val="14"/>
              </w:rPr>
              <w:t>第一镜、尘埃与侵蚀/沉积综合监测</w:t>
            </w:r>
          </w:p>
        </w:tc>
        <w:tc>
          <w:tcPr>
            <w:tcW w:type="dxa" w:w="800"/>
            <w:tcMar>
              <w:top w:w="45" w:type="dxa"/>
              <w:bottom w:w="45" w:type="dxa"/>
              <w:start w:w="100" w:type="dxa"/>
              <w:end w:w="100" w:type="dxa"/>
            </w:tcMar>
          </w:tcPr>
          <w:p>
            <w:pPr>
              <w:keepLines/>
              <w:spacing w:after="0" w:line="252" w:lineRule="auto"/>
            </w:pPr>
            <w:r>
              <w:rPr>
                <w:rFonts w:ascii="Calibri" w:hAnsi="Calibri" w:eastAsia="Microsoft YaHei"/>
                <w:color w:val="0B2545"/>
                <w:sz w:val="14"/>
              </w:rPr>
              <w:t>E3</w:t>
            </w:r>
          </w:p>
        </w:tc>
        <w:tc>
          <w:tcPr>
            <w:tcW w:type="dxa" w:w="2900"/>
            <w:tcMar>
              <w:top w:w="45" w:type="dxa"/>
              <w:bottom w:w="45" w:type="dxa"/>
              <w:start w:w="100" w:type="dxa"/>
              <w:end w:w="100" w:type="dxa"/>
            </w:tcMar>
          </w:tcPr>
          <w:p>
            <w:pPr>
              <w:keepLines/>
              <w:spacing w:after="0" w:line="252" w:lineRule="auto"/>
            </w:pPr>
            <w:r>
              <w:rPr>
                <w:rFonts w:ascii="Calibri" w:hAnsi="Calibri" w:eastAsia="Microsoft YaHei"/>
                <w:color w:val="0B2545"/>
                <w:sz w:val="14"/>
              </w:rPr>
              <w:t>ITER R&amp;D；JET；TEXTOR；DIII-D</w:t>
            </w:r>
          </w:p>
        </w:tc>
      </w:tr>
      <w:tr>
        <w:trPr>
          <w:cantSplit/>
        </w:trPr>
        <w:tc>
          <w:tcPr>
            <w:tcW w:type="dxa" w:w="1000"/>
            <w:tcMar>
              <w:top w:w="45" w:type="dxa"/>
              <w:bottom w:w="45" w:type="dxa"/>
              <w:start w:w="100" w:type="dxa"/>
              <w:end w:w="100" w:type="dxa"/>
            </w:tcMar>
          </w:tcPr>
          <w:p>
            <w:pPr>
              <w:keepLines/>
              <w:spacing w:after="0" w:line="252" w:lineRule="auto"/>
            </w:pPr>
            <w:r>
              <w:rPr>
                <w:rFonts w:ascii="Calibri" w:hAnsi="Calibri" w:eastAsia="Microsoft YaHei"/>
                <w:color w:val="0B2545"/>
                <w:sz w:val="14"/>
              </w:rPr>
              <w:t>DSI-033</w:t>
            </w:r>
          </w:p>
        </w:tc>
        <w:tc>
          <w:tcPr>
            <w:tcW w:type="dxa" w:w="900"/>
            <w:tcMar>
              <w:top w:w="45" w:type="dxa"/>
              <w:bottom w:w="45" w:type="dxa"/>
              <w:start w:w="100" w:type="dxa"/>
              <w:end w:w="100" w:type="dxa"/>
            </w:tcMar>
          </w:tcPr>
          <w:p>
            <w:pPr>
              <w:keepLines/>
              <w:spacing w:after="0" w:line="252" w:lineRule="auto"/>
            </w:pPr>
            <w:r>
              <w:rPr>
                <w:rFonts w:ascii="Calibri" w:hAnsi="Calibri" w:eastAsia="Microsoft YaHei"/>
                <w:color w:val="0B2545"/>
                <w:sz w:val="14"/>
              </w:rPr>
              <w:t>DG11</w:t>
            </w:r>
          </w:p>
        </w:tc>
        <w:tc>
          <w:tcPr>
            <w:tcW w:type="dxa" w:w="3760"/>
            <w:tcMar>
              <w:top w:w="45" w:type="dxa"/>
              <w:bottom w:w="45" w:type="dxa"/>
              <w:start w:w="100" w:type="dxa"/>
              <w:end w:w="100" w:type="dxa"/>
            </w:tcMar>
          </w:tcPr>
          <w:p>
            <w:pPr>
              <w:keepLines/>
              <w:spacing w:after="0" w:line="252" w:lineRule="auto"/>
            </w:pPr>
            <w:r>
              <w:rPr>
                <w:rFonts w:ascii="Calibri" w:hAnsi="Calibri" w:eastAsia="Microsoft YaHei"/>
                <w:color w:val="0B2545"/>
                <w:sz w:val="14"/>
              </w:rPr>
              <w:t>DisruptionPy 多装置破裂特征提取与基准数据流水线</w:t>
            </w:r>
          </w:p>
        </w:tc>
        <w:tc>
          <w:tcPr>
            <w:tcW w:type="dxa" w:w="800"/>
            <w:tcMar>
              <w:top w:w="45" w:type="dxa"/>
              <w:bottom w:w="45" w:type="dxa"/>
              <w:start w:w="100" w:type="dxa"/>
              <w:end w:w="100" w:type="dxa"/>
            </w:tcMar>
          </w:tcPr>
          <w:p>
            <w:pPr>
              <w:keepLines/>
              <w:spacing w:after="0" w:line="252" w:lineRule="auto"/>
            </w:pPr>
            <w:r>
              <w:rPr>
                <w:rFonts w:ascii="Calibri" w:hAnsi="Calibri" w:eastAsia="Microsoft YaHei"/>
                <w:color w:val="0B2545"/>
                <w:sz w:val="14"/>
              </w:rPr>
              <w:t>E3</w:t>
            </w:r>
          </w:p>
        </w:tc>
        <w:tc>
          <w:tcPr>
            <w:tcW w:type="dxa" w:w="2900"/>
            <w:tcMar>
              <w:top w:w="45" w:type="dxa"/>
              <w:bottom w:w="45" w:type="dxa"/>
              <w:start w:w="100" w:type="dxa"/>
              <w:end w:w="100" w:type="dxa"/>
            </w:tcMar>
          </w:tcPr>
          <w:p>
            <w:pPr>
              <w:keepLines/>
              <w:spacing w:after="0" w:line="252" w:lineRule="auto"/>
            </w:pPr>
            <w:r>
              <w:rPr>
                <w:rFonts w:ascii="Calibri" w:hAnsi="Calibri" w:eastAsia="Microsoft YaHei"/>
                <w:color w:val="0B2545"/>
                <w:sz w:val="14"/>
              </w:rPr>
              <w:t>Alcator C-Mod；DIII-D；EAST；HBT-EP；MAST</w:t>
            </w:r>
          </w:p>
        </w:tc>
      </w:tr>
    </w:tbl>
    <w:p>
      <w:pPr>
        <w:keepNext/>
        <w:pageBreakBefore/>
        <w:spacing w:before="0" w:after="100"/>
      </w:pPr>
      <w:r>
        <w:rPr>
          <w:rFonts w:ascii="Calibri" w:hAnsi="Calibri" w:eastAsia="Microsoft YaHei"/>
          <w:b/>
          <w:caps/>
          <w:color w:val="008C95"/>
          <w:sz w:val="17"/>
        </w:rPr>
        <w:t>14 / DG9 / SYNTHETIC DIAGNOSTICS &amp; FORWARD MODELS</w:t>
      </w:r>
    </w:p>
    <w:p>
      <w:pPr>
        <w:pStyle w:val="Heading1"/>
      </w:pPr>
      <w:r>
        <w:t>合成诊断与仪器前向模型</w:t>
      </w:r>
    </w:p>
    <w:tbl>
      <w:tblPr>
        <w:tblStyle w:val="TableGrid"/>
        <w:tblW w:type="dxa" w:w="9360"/>
        <w:jc w:val="left"/>
        <w:tblLayout w:type="fixed"/>
        <w:tblLook w:firstColumn="1" w:firstRow="1" w:lastColumn="0" w:lastRow="0" w:noHBand="0" w:noVBand="1" w:val="04A0"/>
        <w:tblInd w:w="120" w:type="dxa"/>
      </w:tblPr>
      <w:tblGrid>
        <w:gridCol w:w="9360"/>
      </w:tblGrid>
      <w:tr>
        <w:trPr>
          <w:cantSplit/>
        </w:trPr>
        <w:tc>
          <w:tcPr>
            <w:tcW w:type="dxa" w:w="9360"/>
            <w:tcMar>
              <w:top w:w="80" w:type="dxa"/>
              <w:bottom w:w="80" w:type="dxa"/>
              <w:start w:w="120" w:type="dxa"/>
              <w:end w:w="120" w:type="dxa"/>
            </w:tcMar>
            <w:vAlign w:val="center"/>
            <w:shd w:fill="F2F4F7"/>
          </w:tcPr>
          <w:p>
            <w:pPr>
              <w:keepNext/>
              <w:keepLines/>
              <w:spacing w:after="40"/>
            </w:pPr>
            <w:r>
              <w:rPr>
                <w:rFonts w:ascii="Calibri" w:hAnsi="Calibri" w:eastAsia="Microsoft YaHei"/>
                <w:b/>
                <w:color w:val="008C95"/>
                <w:sz w:val="17"/>
              </w:rPr>
              <w:t>CHAPTER SCOPE</w:t>
            </w:r>
          </w:p>
          <w:p>
            <w:pPr>
              <w:spacing w:after="0"/>
            </w:pPr>
            <w:r>
              <w:rPr>
                <w:rFonts w:ascii="Calibri" w:hAnsi="Calibri" w:eastAsia="Microsoft YaHei"/>
                <w:color w:val="0B2545"/>
                <w:sz w:val="20"/>
              </w:rPr>
              <w:t>本章全文展开 14 项主工作，并列出 18 项跨域关联工作。关联工作只在其主任务章节全文展开，避免重复计数。</w:t>
            </w:r>
          </w:p>
        </w:tc>
      </w:tr>
    </w:tbl>
    <w:p>
      <w:pPr>
        <w:spacing w:after="40"/>
      </w:pPr>
    </w:p>
    <w:p>
      <w:pPr>
        <w:keepNext/>
        <w:jc w:val="center"/>
      </w:pPr>
      <w:r>
        <w:drawing>
          <wp:inline xmlns:a="http://schemas.openxmlformats.org/drawingml/2006/main" xmlns:pic="http://schemas.openxmlformats.org/drawingml/2006/picture">
            <wp:extent cx="5486400" cy="3154680"/>
            <wp:docPr id="6" name="Picture 6" descr="图 14-1  合成诊断与仪器前向模型的关键链路。"/>
            <wp:cNvGraphicFramePr>
              <a:graphicFrameLocks noChangeAspect="1"/>
            </wp:cNvGraphicFramePr>
            <a:graphic>
              <a:graphicData uri="http://schemas.openxmlformats.org/drawingml/2006/picture">
                <pic:pic>
                  <pic:nvPicPr>
                    <pic:cNvPr id="0" name="diagnostics-synthetic-loop-nature.png"/>
                    <pic:cNvPicPr/>
                  </pic:nvPicPr>
                  <pic:blipFill>
                    <a:blip r:embed="rId159"/>
                    <a:stretch>
                      <a:fillRect/>
                    </a:stretch>
                  </pic:blipFill>
                  <pic:spPr>
                    <a:xfrm>
                      <a:off x="0" y="0"/>
                      <a:ext cx="5486400" cy="3154680"/>
                    </a:xfrm>
                    <a:prstGeom prst="rect"/>
                  </pic:spPr>
                </pic:pic>
              </a:graphicData>
            </a:graphic>
          </wp:inline>
        </w:drawing>
      </w:r>
    </w:p>
    <w:p>
      <w:pPr>
        <w:pStyle w:val="Caption"/>
        <w:jc w:val="center"/>
      </w:pPr>
      <w:r>
        <w:t>图 14-1  合成诊断与仪器前向模型的关键链路。</w:t>
      </w:r>
    </w:p>
    <w:p>
      <w:pPr>
        <w:pStyle w:val="Heading3"/>
        <w:keepNext/>
      </w:pPr>
      <w:r>
        <w:t>DG9.01  W7-X 相位衬度成像合成诊断</w:t>
      </w:r>
    </w:p>
    <w:p>
      <w:pPr>
        <w:keepNext/>
        <w:spacing w:after="80"/>
      </w:pPr>
      <w:r>
        <w:rPr>
          <w:rFonts w:ascii="Calibri" w:hAnsi="Calibri" w:eastAsia="Microsoft YaHei"/>
          <w:i/>
          <w:color w:val="566573"/>
          <w:sz w:val="18"/>
        </w:rPr>
        <w:t>Synthetic phase-contrast imaging diagnostic for W7-X</w:t>
      </w:r>
    </w:p>
    <w:tbl>
      <w:tblPr>
        <w:tblStyle w:val="TableGrid"/>
        <w:tblW w:type="dxa" w:w="9360"/>
        <w:jc w:val="left"/>
        <w:tblLayout w:type="fixed"/>
        <w:tblLook w:firstColumn="1" w:firstRow="1" w:lastColumn="0" w:lastRow="0" w:noHBand="0" w:noVBand="1" w:val="04A0"/>
        <w:tblInd w:w="120" w:type="dxa"/>
      </w:tblPr>
      <w:tblGrid>
        <w:gridCol w:w="1200"/>
        <w:gridCol w:w="750"/>
        <w:gridCol w:w="750"/>
        <w:gridCol w:w="2100"/>
        <w:gridCol w:w="4560"/>
      </w:tblGrid>
      <w:tr>
        <w:trPr>
          <w:tblHeader w:val="true"/>
        </w:trPr>
        <w:tc>
          <w:tcPr>
            <w:tcW w:type="dxa" w:w="12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工作 ID</w:t>
            </w:r>
          </w:p>
        </w:tc>
        <w:tc>
          <w:tcPr>
            <w:tcW w:type="dxa" w:w="7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证据</w:t>
            </w:r>
          </w:p>
        </w:tc>
        <w:tc>
          <w:tcPr>
            <w:tcW w:type="dxa" w:w="7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部署</w:t>
            </w:r>
          </w:p>
        </w:tc>
        <w:tc>
          <w:tcPr>
            <w:tcW w:type="dxa" w:w="21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技术族</w:t>
            </w:r>
          </w:p>
        </w:tc>
        <w:tc>
          <w:tcPr>
            <w:tcW w:type="dxa" w:w="456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装置</w:t>
            </w:r>
          </w:p>
        </w:tc>
      </w:tr>
      <w:tr>
        <w:trPr>
          <w:cantSplit/>
        </w:trPr>
        <w:tc>
          <w:tcPr>
            <w:tcW w:type="dxa" w:w="1200"/>
          </w:tcPr>
          <w:p>
            <w:pPr>
              <w:keepLines/>
              <w:spacing w:after="0" w:line="276" w:lineRule="auto"/>
            </w:pPr>
            <w:r>
              <w:rPr>
                <w:rFonts w:ascii="Calibri" w:hAnsi="Calibri" w:eastAsia="Microsoft YaHei"/>
                <w:color w:val="0B2545"/>
                <w:sz w:val="15"/>
              </w:rPr>
              <w:t>DG6-033</w:t>
            </w:r>
          </w:p>
        </w:tc>
        <w:tc>
          <w:tcPr>
            <w:tcW w:type="dxa" w:w="750"/>
          </w:tcPr>
          <w:p>
            <w:pPr>
              <w:keepLines/>
              <w:spacing w:after="0" w:line="276" w:lineRule="auto"/>
            </w:pPr>
            <w:r>
              <w:rPr>
                <w:rFonts w:ascii="Calibri" w:hAnsi="Calibri" w:eastAsia="Microsoft YaHei"/>
                <w:color w:val="0B2545"/>
                <w:sz w:val="15"/>
              </w:rPr>
              <w:t>E1</w:t>
            </w:r>
          </w:p>
        </w:tc>
        <w:tc>
          <w:tcPr>
            <w:tcW w:type="dxa" w:w="750"/>
          </w:tcPr>
          <w:p>
            <w:pPr>
              <w:keepLines/>
              <w:spacing w:after="0" w:line="276" w:lineRule="auto"/>
            </w:pPr>
            <w:r>
              <w:rPr>
                <w:rFonts w:ascii="Calibri" w:hAnsi="Calibri" w:eastAsia="Microsoft YaHei"/>
                <w:color w:val="0B2545"/>
                <w:sz w:val="15"/>
              </w:rPr>
              <w:t>D2</w:t>
            </w:r>
          </w:p>
        </w:tc>
        <w:tc>
          <w:tcPr>
            <w:tcW w:type="dxa" w:w="2100"/>
          </w:tcPr>
          <w:p>
            <w:pPr>
              <w:keepLines/>
              <w:spacing w:after="0" w:line="276" w:lineRule="auto"/>
            </w:pPr>
            <w:r>
              <w:rPr>
                <w:rFonts w:ascii="Calibri" w:hAnsi="Calibri" w:eastAsia="Microsoft YaHei"/>
                <w:color w:val="0B2545"/>
                <w:sz w:val="15"/>
              </w:rPr>
              <w:t>LASER</w:t>
            </w:r>
          </w:p>
        </w:tc>
        <w:tc>
          <w:tcPr>
            <w:tcW w:type="dxa" w:w="4560"/>
          </w:tcPr>
          <w:p>
            <w:pPr>
              <w:keepLines/>
              <w:spacing w:after="0" w:line="276" w:lineRule="auto"/>
            </w:pPr>
            <w:r>
              <w:rPr>
                <w:rFonts w:ascii="Calibri" w:hAnsi="Calibri" w:eastAsia="Microsoft YaHei"/>
                <w:color w:val="0B2545"/>
                <w:sz w:val="15"/>
              </w:rPr>
              <w:t>DIII-D；Alcator C-Mod；TCV；W7-X</w:t>
            </w:r>
          </w:p>
        </w:tc>
      </w:tr>
    </w:tbl>
    <w:p>
      <w:pPr>
        <w:spacing w:before="0" w:after="60"/>
      </w:pPr>
    </w:p>
    <w:p>
      <w:pPr>
        <w:widowControl/>
      </w:pPr>
      <w:r>
        <w:rPr>
          <w:rFonts w:ascii="Calibri" w:hAnsi="Calibri" w:eastAsia="Microsoft YaHei"/>
          <w:b/>
          <w:color w:val="1F4D78"/>
        </w:rPr>
        <w:t>解决问题：</w:t>
      </w:r>
      <w:r>
        <w:rPr>
          <w:rFonts w:ascii="Calibri" w:hAnsi="Calibri" w:eastAsia="Microsoft YaHei"/>
        </w:rPr>
        <w:t>测量宽波数/频率范围的线积分密度涨落和波传播。</w:t>
      </w:r>
    </w:p>
    <w:p>
      <w:pPr>
        <w:widowControl/>
      </w:pPr>
      <w:r>
        <w:rPr>
          <w:rFonts w:ascii="Calibri" w:hAnsi="Calibri" w:eastAsia="Microsoft YaHei"/>
          <w:b/>
          <w:color w:val="1F4D78"/>
        </w:rPr>
        <w:t>测量原理：</w:t>
      </w:r>
      <w:r>
        <w:rPr>
          <w:rFonts w:ascii="Calibri" w:hAnsi="Calibri" w:eastAsia="Microsoft YaHei"/>
        </w:rPr>
        <w:t>穿过等离子体的激光相位由密度扰动调制；相位板把相位变化转为探测器强度。</w:t>
      </w:r>
    </w:p>
    <w:p>
      <w:pPr>
        <w:widowControl/>
      </w:pPr>
      <w:r>
        <w:rPr>
          <w:rFonts w:ascii="Calibri" w:hAnsi="Calibri" w:eastAsia="Microsoft YaHei"/>
          <w:b/>
          <w:color w:val="1F4D78"/>
        </w:rPr>
        <w:t>测量产品：</w:t>
      </w:r>
      <w:r>
        <w:rPr>
          <w:rFonts w:ascii="Calibri" w:hAnsi="Calibri" w:eastAsia="Microsoft YaHei"/>
        </w:rPr>
        <w:t>line-integrated density fluctuation；wavenumber-frequency spectrum；mode propagation</w:t>
      </w:r>
    </w:p>
    <w:p>
      <w:pPr>
        <w:widowControl/>
      </w:pPr>
      <w:r>
        <w:rPr>
          <w:rFonts w:ascii="Calibri" w:hAnsi="Calibri" w:eastAsia="Microsoft YaHei"/>
          <w:b/>
          <w:color w:val="1F4D78"/>
        </w:rPr>
        <w:t>时空分辨与覆盖：</w:t>
      </w:r>
      <w:r>
        <w:rPr>
          <w:rFonts w:ascii="Calibri" w:hAnsi="Calibri" w:eastAsia="Microsoft YaHei"/>
        </w:rPr>
        <w:t>时间：因装置、采集和分析链而异；原始来源未给出统一数值。；空间：由视线、几何和反演设定；原始来源未给出统一数值。</w:t>
      </w:r>
    </w:p>
    <w:p>
      <w:pPr>
        <w:widowControl/>
      </w:pPr>
      <w:r>
        <w:rPr>
          <w:rFonts w:ascii="Calibri" w:hAnsi="Calibri" w:eastAsia="Microsoft YaHei"/>
          <w:b/>
          <w:color w:val="1F4D78"/>
        </w:rPr>
        <w:t>仪器与传感器：</w:t>
      </w:r>
      <w:r>
        <w:rPr>
          <w:rFonts w:ascii="Calibri" w:hAnsi="Calibri" w:eastAsia="Microsoft YaHei"/>
        </w:rPr>
        <w:t>CO2 laser；phase plate；imaging optics；detector array</w:t>
      </w:r>
    </w:p>
    <w:p>
      <w:pPr>
        <w:widowControl/>
      </w:pPr>
      <w:r>
        <w:rPr>
          <w:rFonts w:ascii="Calibri" w:hAnsi="Calibri" w:eastAsia="Microsoft YaHei"/>
          <w:b/>
          <w:color w:val="1F4D78"/>
        </w:rPr>
        <w:t>标定与质量：</w:t>
      </w:r>
      <w:r>
        <w:rPr>
          <w:rFonts w:ascii="Calibri" w:hAnsi="Calibri" w:eastAsia="Microsoft YaHei"/>
        </w:rPr>
        <w:t>标定光学传递函数、相位板位置、探测器增益和空间频率映射。</w:t>
      </w:r>
    </w:p>
    <w:p>
      <w:pPr>
        <w:widowControl/>
      </w:pPr>
      <w:r>
        <w:rPr>
          <w:rFonts w:ascii="Calibri" w:hAnsi="Calibri" w:eastAsia="Microsoft YaHei"/>
          <w:b/>
          <w:color w:val="1F4D78"/>
        </w:rPr>
        <w:t>反演与分析：</w:t>
      </w:r>
      <w:r>
        <w:rPr>
          <w:rFonts w:ascii="Calibri" w:hAnsi="Calibri" w:eastAsia="Microsoft YaHei"/>
        </w:rPr>
        <w:t>傅里叶/时频分析得到S(k,f)；合成诊断用线积分和光学传递函数比较模拟。</w:t>
      </w:r>
    </w:p>
    <w:p>
      <w:pPr>
        <w:widowControl/>
      </w:pPr>
      <w:r>
        <w:rPr>
          <w:rFonts w:ascii="Calibri" w:hAnsi="Calibri" w:eastAsia="Microsoft YaHei"/>
          <w:b/>
          <w:color w:val="1F4D78"/>
        </w:rPr>
        <w:t>验证与应用：</w:t>
      </w:r>
      <w:r>
        <w:rPr>
          <w:rFonts w:ascii="Calibri" w:hAnsi="Calibri" w:eastAsia="Microsoft YaHei"/>
        </w:rPr>
        <w:t>直接来源是在 W7-X 几何和预期湍流场上开发的合成 PCI 诊断，用于设计与传递函数研究；不证明物理 PCI 已在装置部署。</w:t>
      </w:r>
    </w:p>
    <w:p>
      <w:pPr>
        <w:widowControl/>
      </w:pPr>
      <w:r>
        <w:rPr>
          <w:rFonts w:ascii="Calibri" w:hAnsi="Calibri" w:eastAsia="Microsoft YaHei"/>
          <w:b/>
          <w:color w:val="1F4D78"/>
        </w:rPr>
        <w:t>局限与边界：</w:t>
      </w:r>
      <w:r>
        <w:rPr>
          <w:rFonts w:ascii="Calibri" w:hAnsi="Calibri" w:eastAsia="Microsoft YaHei"/>
        </w:rPr>
        <w:t>线积分导致径向定位弱；振动、折射和有限光学传递函数改变谱。</w:t>
      </w:r>
    </w:p>
    <w:tbl>
      <w:tblPr>
        <w:tblStyle w:val="TableGrid"/>
        <w:tblW w:type="dxa" w:w="9360"/>
        <w:jc w:val="left"/>
        <w:tblLayout w:type="fixed"/>
        <w:tblLook w:firstColumn="1" w:firstRow="1" w:lastColumn="0" w:lastRow="0" w:noHBand="0" w:noVBand="1" w:val="04A0"/>
        <w:tblInd w:w="120" w:type="dxa"/>
      </w:tblPr>
      <w:tblGrid>
        <w:gridCol w:w="9360"/>
      </w:tblGrid>
      <w:tr>
        <w:trPr>
          <w:cantSplit/>
        </w:trPr>
        <w:tc>
          <w:tcPr>
            <w:tcW w:type="dxa" w:w="9360"/>
            <w:tcMar>
              <w:top w:w="80" w:type="dxa"/>
              <w:bottom w:w="80" w:type="dxa"/>
              <w:start w:w="120" w:type="dxa"/>
              <w:end w:w="120" w:type="dxa"/>
            </w:tcMar>
            <w:vAlign w:val="center"/>
            <w:shd w:fill="EEF7F7"/>
          </w:tcPr>
          <w:p>
            <w:pPr>
              <w:keepNext/>
              <w:keepLines/>
              <w:spacing w:after="40"/>
            </w:pPr>
            <w:r>
              <w:rPr>
                <w:rFonts w:ascii="Calibri" w:hAnsi="Calibri" w:eastAsia="Microsoft YaHei"/>
                <w:b/>
                <w:color w:val="008C95"/>
                <w:sz w:val="17"/>
              </w:rPr>
              <w:t>DIGITAL-TWIN RELEVANCE</w:t>
            </w:r>
          </w:p>
          <w:p>
            <w:pPr>
              <w:spacing w:after="0"/>
            </w:pPr>
            <w:r>
              <w:rPr>
                <w:rFonts w:ascii="Calibri" w:hAnsi="Calibri" w:eastAsia="Microsoft YaHei"/>
                <w:color w:val="0B2545"/>
                <w:sz w:val="20"/>
              </w:rPr>
              <w:t>适合直接验证湍流模拟的合成观测，不宜未经前向模型反演局部振幅。</w:t>
            </w:r>
          </w:p>
        </w:tc>
      </w:tr>
    </w:tbl>
    <w:p>
      <w:pPr>
        <w:spacing w:after="40"/>
      </w:pPr>
    </w:p>
    <w:tbl>
      <w:tblPr>
        <w:tblStyle w:val="TableGrid"/>
        <w:tblW w:type="dxa" w:w="9360"/>
        <w:jc w:val="left"/>
        <w:tblLayout w:type="fixed"/>
        <w:tblLook w:firstColumn="1" w:firstRow="1" w:lastColumn="0" w:lastRow="0" w:noHBand="0" w:noVBand="1" w:val="04A0"/>
        <w:tblInd w:w="120" w:type="dxa"/>
      </w:tblPr>
      <w:tblGrid>
        <w:gridCol w:w="850"/>
        <w:gridCol w:w="2500"/>
        <w:gridCol w:w="1600"/>
        <w:gridCol w:w="2300"/>
        <w:gridCol w:w="2110"/>
      </w:tblGrid>
      <w:tr>
        <w:trPr>
          <w:tblHeader w:val="true"/>
        </w:trPr>
        <w:tc>
          <w:tcPr>
            <w:tcW w:type="dxa" w:w="8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年份/类型</w:t>
            </w:r>
          </w:p>
        </w:tc>
        <w:tc>
          <w:tcPr>
            <w:tcW w:type="dxa" w:w="25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论文或软件</w:t>
            </w:r>
          </w:p>
        </w:tc>
        <w:tc>
          <w:tcPr>
            <w:tcW w:type="dxa" w:w="16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期刊/开放性</w:t>
            </w:r>
          </w:p>
        </w:tc>
        <w:tc>
          <w:tcPr>
            <w:tcW w:type="dxa" w:w="23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来源类型/关系</w:t>
            </w:r>
          </w:p>
        </w:tc>
        <w:tc>
          <w:tcPr>
            <w:tcW w:type="dxa" w:w="211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链接</w:t>
            </w:r>
          </w:p>
        </w:tc>
      </w:tr>
      <w:tr>
        <w:trPr>
          <w:cantSplit/>
        </w:trPr>
        <w:tc>
          <w:tcPr>
            <w:tcW w:type="dxa" w:w="850"/>
          </w:tcPr>
          <w:p>
            <w:pPr>
              <w:keepLines/>
              <w:spacing w:after="0" w:line="276" w:lineRule="auto"/>
            </w:pPr>
            <w:r>
              <w:rPr>
                <w:rFonts w:ascii="Calibri" w:hAnsi="Calibri" w:eastAsia="Microsoft YaHei"/>
                <w:color w:val="0B2545"/>
                <w:sz w:val="14"/>
              </w:rPr>
              <w:t>2022</w:t>
            </w:r>
          </w:p>
        </w:tc>
        <w:tc>
          <w:tcPr>
            <w:tcW w:type="dxa" w:w="2500"/>
          </w:tcPr>
          <w:p>
            <w:pPr>
              <w:keepLines/>
              <w:spacing w:after="0" w:line="276" w:lineRule="auto"/>
            </w:pPr>
            <w:r>
              <w:rPr>
                <w:rFonts w:ascii="Calibri" w:hAnsi="Calibri" w:eastAsia="Microsoft YaHei"/>
                <w:color w:val="0B2545"/>
                <w:sz w:val="14"/>
              </w:rPr>
              <w:t>Development of a synthetic phase contrast imaging diagnostic for turbulence studies at Wendelstein 7-X</w:t>
            </w:r>
          </w:p>
        </w:tc>
        <w:tc>
          <w:tcPr>
            <w:tcW w:type="dxa" w:w="1600"/>
          </w:tcPr>
          <w:p>
            <w:pPr>
              <w:keepLines/>
              <w:spacing w:after="0" w:line="276" w:lineRule="auto"/>
            </w:pPr>
            <w:r>
              <w:rPr>
                <w:rFonts w:ascii="Calibri" w:hAnsi="Calibri" w:eastAsia="Microsoft YaHei"/>
                <w:color w:val="0B2545"/>
                <w:sz w:val="14"/>
              </w:rPr>
              <w:t>Plasma Physics and Controlled Fusion</w:t>
            </w:r>
          </w:p>
        </w:tc>
        <w:tc>
          <w:tcPr>
            <w:tcW w:type="dxa" w:w="2300"/>
          </w:tcPr>
          <w:p>
            <w:pPr>
              <w:keepLines/>
              <w:spacing w:after="0" w:line="276" w:lineRule="auto"/>
            </w:pPr>
            <w:r>
              <w:rPr>
                <w:rFonts w:ascii="Calibri" w:hAnsi="Calibri" w:eastAsia="Microsoft YaHei"/>
                <w:color w:val="0B2545"/>
                <w:sz w:val="14"/>
              </w:rPr>
              <w:t>peer-reviewed-journal</w:t>
            </w:r>
          </w:p>
        </w:tc>
        <w:tc>
          <w:tcPr>
            <w:tcW w:type="dxa" w:w="2110"/>
          </w:tcPr>
          <w:p>
            <w:pPr>
              <w:keepLines/>
              <w:spacing w:after="0" w:line="276" w:lineRule="auto"/>
            </w:pPr>
            <w:hyperlink r:id="rId160">
              <w:r>
                <w:rPr>
                  <w:rFonts w:ascii="Calibri" w:hAnsi="Calibri" w:eastAsia="Microsoft YaHei"/>
                  <w:color w:val="008C95"/>
                  <w:u w:val="single"/>
                </w:rPr>
                <w:t>打开原始来源 ↗</w:t>
              </w:r>
            </w:hyperlink>
          </w:p>
        </w:tc>
      </w:tr>
      <w:tr>
        <w:trPr>
          <w:cantSplit/>
        </w:trPr>
        <w:tc>
          <w:tcPr>
            <w:tcW w:type="dxa" w:w="850"/>
          </w:tcPr>
          <w:p>
            <w:pPr>
              <w:keepLines/>
              <w:spacing w:after="0" w:line="276" w:lineRule="auto"/>
            </w:pPr>
            <w:r>
              <w:rPr>
                <w:rFonts w:ascii="Calibri" w:hAnsi="Calibri" w:eastAsia="Microsoft YaHei"/>
                <w:color w:val="0B2545"/>
                <w:sz w:val="14"/>
              </w:rPr>
              <w:t>软件</w:t>
            </w:r>
          </w:p>
        </w:tc>
        <w:tc>
          <w:tcPr>
            <w:tcW w:type="dxa" w:w="2500"/>
          </w:tcPr>
          <w:p>
            <w:pPr>
              <w:keepLines/>
              <w:spacing w:after="0" w:line="276" w:lineRule="auto"/>
            </w:pPr>
            <w:r>
              <w:rPr>
                <w:rFonts w:ascii="Calibri" w:hAnsi="Calibri" w:eastAsia="Microsoft YaHei"/>
                <w:color w:val="0B2545"/>
                <w:sz w:val="14"/>
              </w:rPr>
              <w:t>装置专有分析/标定软件</w:t>
            </w:r>
          </w:p>
        </w:tc>
        <w:tc>
          <w:tcPr>
            <w:tcW w:type="dxa" w:w="1600"/>
          </w:tcPr>
          <w:p>
            <w:pPr>
              <w:keepLines/>
              <w:spacing w:after="0" w:line="276" w:lineRule="auto"/>
            </w:pPr>
            <w:r>
              <w:rPr>
                <w:rFonts w:ascii="Calibri" w:hAnsi="Calibri" w:eastAsia="Microsoft YaHei"/>
                <w:color w:val="0B2545"/>
                <w:sz w:val="14"/>
              </w:rPr>
              <w:t>not-public</w:t>
            </w:r>
          </w:p>
        </w:tc>
        <w:tc>
          <w:tcPr>
            <w:tcW w:type="dxa" w:w="2300"/>
          </w:tcPr>
          <w:p>
            <w:pPr>
              <w:keepLines/>
              <w:spacing w:after="0" w:line="276" w:lineRule="auto"/>
            </w:pPr>
            <w:r>
              <w:rPr>
                <w:rFonts w:ascii="Calibri" w:hAnsi="Calibri" w:eastAsia="Microsoft YaHei"/>
                <w:color w:val="0B2545"/>
                <w:sz w:val="14"/>
              </w:rPr>
              <w:t>各装置PCI标定与谱分析流水线未公开。</w:t>
            </w:r>
          </w:p>
        </w:tc>
        <w:tc>
          <w:tcPr>
            <w:tcW w:type="dxa" w:w="2110"/>
          </w:tcPr>
          <w:p>
            <w:pPr>
              <w:keepLines/>
              <w:spacing w:after="0" w:line="276" w:lineRule="auto"/>
            </w:pPr>
            <w:r>
              <w:rPr>
                <w:rFonts w:ascii="Calibri" w:hAnsi="Calibri" w:eastAsia="Microsoft YaHei"/>
                <w:color w:val="0B2545"/>
                <w:sz w:val="14"/>
              </w:rPr>
              <w:t>未公开</w:t>
            </w:r>
          </w:p>
        </w:tc>
      </w:tr>
    </w:tbl>
    <w:p>
      <w:pPr>
        <w:spacing w:before="0" w:after="60"/>
      </w:pPr>
    </w:p>
    <w:p>
      <w:pPr>
        <w:pStyle w:val="Heading3"/>
        <w:keepNext/>
      </w:pPr>
      <w:r>
        <w:t>DG9.02  CHERAB–Raysect 三维光谱与辐射合成诊断</w:t>
      </w:r>
    </w:p>
    <w:p>
      <w:pPr>
        <w:keepNext/>
        <w:spacing w:after="80"/>
      </w:pPr>
      <w:r>
        <w:rPr>
          <w:rFonts w:ascii="Calibri" w:hAnsi="Calibri" w:eastAsia="Microsoft YaHei"/>
          <w:i/>
          <w:color w:val="566573"/>
          <w:sz w:val="18"/>
        </w:rPr>
        <w:t>CHERAB–Raysect 3D Spectroscopic and Radiation Synthetic Diagnostics</w:t>
      </w:r>
    </w:p>
    <w:tbl>
      <w:tblPr>
        <w:tblStyle w:val="TableGrid"/>
        <w:tblW w:type="dxa" w:w="9360"/>
        <w:jc w:val="left"/>
        <w:tblLayout w:type="fixed"/>
        <w:tblLook w:firstColumn="1" w:firstRow="1" w:lastColumn="0" w:lastRow="0" w:noHBand="0" w:noVBand="1" w:val="04A0"/>
        <w:tblInd w:w="120" w:type="dxa"/>
      </w:tblPr>
      <w:tblGrid>
        <w:gridCol w:w="1200"/>
        <w:gridCol w:w="750"/>
        <w:gridCol w:w="750"/>
        <w:gridCol w:w="2100"/>
        <w:gridCol w:w="4560"/>
      </w:tblGrid>
      <w:tr>
        <w:trPr>
          <w:tblHeader w:val="true"/>
        </w:trPr>
        <w:tc>
          <w:tcPr>
            <w:tcW w:type="dxa" w:w="12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工作 ID</w:t>
            </w:r>
          </w:p>
        </w:tc>
        <w:tc>
          <w:tcPr>
            <w:tcW w:type="dxa" w:w="7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证据</w:t>
            </w:r>
          </w:p>
        </w:tc>
        <w:tc>
          <w:tcPr>
            <w:tcW w:type="dxa" w:w="7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部署</w:t>
            </w:r>
          </w:p>
        </w:tc>
        <w:tc>
          <w:tcPr>
            <w:tcW w:type="dxa" w:w="21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技术族</w:t>
            </w:r>
          </w:p>
        </w:tc>
        <w:tc>
          <w:tcPr>
            <w:tcW w:type="dxa" w:w="456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装置</w:t>
            </w:r>
          </w:p>
        </w:tc>
      </w:tr>
      <w:tr>
        <w:trPr>
          <w:cantSplit/>
        </w:trPr>
        <w:tc>
          <w:tcPr>
            <w:tcW w:type="dxa" w:w="1200"/>
          </w:tcPr>
          <w:p>
            <w:pPr>
              <w:keepLines/>
              <w:spacing w:after="0" w:line="276" w:lineRule="auto"/>
            </w:pPr>
            <w:r>
              <w:rPr>
                <w:rFonts w:ascii="Calibri" w:hAnsi="Calibri" w:eastAsia="Microsoft YaHei"/>
                <w:color w:val="0B2545"/>
                <w:sz w:val="15"/>
              </w:rPr>
              <w:t>DSI-009</w:t>
            </w:r>
          </w:p>
        </w:tc>
        <w:tc>
          <w:tcPr>
            <w:tcW w:type="dxa" w:w="750"/>
          </w:tcPr>
          <w:p>
            <w:pPr>
              <w:keepLines/>
              <w:spacing w:after="0" w:line="276" w:lineRule="auto"/>
            </w:pPr>
            <w:r>
              <w:rPr>
                <w:rFonts w:ascii="Calibri" w:hAnsi="Calibri" w:eastAsia="Microsoft YaHei"/>
                <w:color w:val="0B2545"/>
                <w:sz w:val="15"/>
              </w:rPr>
              <w:t>E3</w:t>
            </w:r>
          </w:p>
        </w:tc>
        <w:tc>
          <w:tcPr>
            <w:tcW w:type="dxa" w:w="750"/>
          </w:tcPr>
          <w:p>
            <w:pPr>
              <w:keepLines/>
              <w:spacing w:after="0" w:line="276" w:lineRule="auto"/>
            </w:pPr>
            <w:r>
              <w:rPr>
                <w:rFonts w:ascii="Calibri" w:hAnsi="Calibri" w:eastAsia="Microsoft YaHei"/>
                <w:color w:val="0B2545"/>
                <w:sz w:val="15"/>
              </w:rPr>
              <w:t>D2</w:t>
            </w:r>
          </w:p>
        </w:tc>
        <w:tc>
          <w:tcPr>
            <w:tcW w:type="dxa" w:w="2100"/>
          </w:tcPr>
          <w:p>
            <w:pPr>
              <w:keepLines/>
              <w:spacing w:after="0" w:line="276" w:lineRule="auto"/>
            </w:pPr>
            <w:r>
              <w:rPr>
                <w:rFonts w:ascii="Calibri" w:hAnsi="Calibri" w:eastAsia="Microsoft YaHei"/>
                <w:color w:val="0B2545"/>
                <w:sz w:val="15"/>
              </w:rPr>
              <w:t>OPTICAL</w:t>
            </w:r>
          </w:p>
        </w:tc>
        <w:tc>
          <w:tcPr>
            <w:tcW w:type="dxa" w:w="4560"/>
          </w:tcPr>
          <w:p>
            <w:pPr>
              <w:keepLines/>
              <w:spacing w:after="0" w:line="276" w:lineRule="auto"/>
            </w:pPr>
            <w:r>
              <w:rPr>
                <w:rFonts w:ascii="Calibri" w:hAnsi="Calibri" w:eastAsia="Microsoft YaHei"/>
                <w:color w:val="0B2545"/>
                <w:sz w:val="15"/>
              </w:rPr>
              <w:t>ASDEX Upgrade；JET；MAST Upgrade；ITER design studies</w:t>
            </w:r>
          </w:p>
        </w:tc>
      </w:tr>
    </w:tbl>
    <w:p>
      <w:pPr>
        <w:spacing w:before="0" w:after="60"/>
      </w:pPr>
    </w:p>
    <w:p>
      <w:pPr>
        <w:widowControl/>
      </w:pPr>
      <w:r>
        <w:rPr>
          <w:rFonts w:ascii="Calibri" w:hAnsi="Calibri" w:eastAsia="Microsoft YaHei"/>
          <w:b/>
          <w:color w:val="1F4D78"/>
        </w:rPr>
        <w:t>解决问题：</w:t>
      </w:r>
      <w:r>
        <w:rPr>
          <w:rFonts w:ascii="Calibri" w:hAnsi="Calibri" w:eastAsia="Microsoft YaHei"/>
        </w:rPr>
        <w:t>单射线近似忽略有限孔径、视场、遮挡、渐晕和复杂三维结构，会系统性偏置光谱与辐射反演矩阵。</w:t>
      </w:r>
    </w:p>
    <w:p>
      <w:pPr>
        <w:widowControl/>
      </w:pPr>
      <w:r>
        <w:rPr>
          <w:rFonts w:ascii="Calibri" w:hAnsi="Calibri" w:eastAsia="Microsoft YaHei"/>
          <w:b/>
          <w:color w:val="1F4D78"/>
        </w:rPr>
        <w:t>测量原理：</w:t>
      </w:r>
      <w:r>
        <w:rPr>
          <w:rFonts w:ascii="Calibri" w:hAnsi="Calibri" w:eastAsia="Microsoft YaHei"/>
        </w:rPr>
        <w:t>从等离子体发射率与原子过程出发，经 Raysect 在 CAD 场景中追踪光子，积分孔径、光学与探测器响应生成像素/通道级信号。</w:t>
      </w:r>
    </w:p>
    <w:p>
      <w:pPr>
        <w:widowControl/>
      </w:pPr>
      <w:r>
        <w:rPr>
          <w:rFonts w:ascii="Calibri" w:hAnsi="Calibri" w:eastAsia="Microsoft YaHei"/>
          <w:b/>
          <w:color w:val="1F4D78"/>
        </w:rPr>
        <w:t>测量产品：</w:t>
      </w:r>
      <w:r>
        <w:rPr>
          <w:rFonts w:ascii="Calibri" w:hAnsi="Calibri" w:eastAsia="Microsoft YaHei"/>
        </w:rPr>
        <w:t>spectra；radiance；bolometer power；line-integrated emission；etendue</w:t>
      </w:r>
    </w:p>
    <w:p>
      <w:pPr>
        <w:widowControl/>
      </w:pPr>
      <w:r>
        <w:rPr>
          <w:rFonts w:ascii="Calibri" w:hAnsi="Calibri" w:eastAsia="Microsoft YaHei"/>
          <w:b/>
          <w:color w:val="1F4D78"/>
        </w:rPr>
        <w:t>时空分辨与覆盖：</w:t>
      </w:r>
      <w:r>
        <w:rPr>
          <w:rFonts w:ascii="Calibri" w:hAnsi="Calibri" w:eastAsia="Microsoft YaHei"/>
        </w:rPr>
        <w:t>时间：因装置、采集和分析链而异；原始来源未给出统一数值。；空间：由视线、几何和反演设定；原始来源未给出统一数值。</w:t>
      </w:r>
    </w:p>
    <w:p>
      <w:pPr>
        <w:widowControl/>
      </w:pPr>
      <w:r>
        <w:rPr>
          <w:rFonts w:ascii="Calibri" w:hAnsi="Calibri" w:eastAsia="Microsoft YaHei"/>
          <w:b/>
          <w:color w:val="1F4D78"/>
        </w:rPr>
        <w:t>仪器与传感器：</w:t>
      </w:r>
      <w:r>
        <w:rPr>
          <w:rFonts w:ascii="Calibri" w:hAnsi="Calibri" w:eastAsia="Microsoft YaHei"/>
        </w:rPr>
        <w:t>spectrometers；bolometers；cameras；CAD geometry</w:t>
      </w:r>
    </w:p>
    <w:p>
      <w:pPr>
        <w:widowControl/>
      </w:pPr>
      <w:r>
        <w:rPr>
          <w:rFonts w:ascii="Calibri" w:hAnsi="Calibri" w:eastAsia="Microsoft YaHei"/>
          <w:b/>
          <w:color w:val="1F4D78"/>
        </w:rPr>
        <w:t>标定与质量：</w:t>
      </w:r>
      <w:r>
        <w:rPr>
          <w:rFonts w:ascii="Calibri" w:hAnsi="Calibri" w:eastAsia="Microsoft YaHei"/>
        </w:rPr>
        <w:t>支持仪器函数与几何响应；绝对灵敏度、镜面反射率和污染演化需从实验校准输入。</w:t>
      </w:r>
    </w:p>
    <w:p>
      <w:pPr>
        <w:widowControl/>
      </w:pPr>
      <w:r>
        <w:rPr>
          <w:rFonts w:ascii="Calibri" w:hAnsi="Calibri" w:eastAsia="Microsoft YaHei"/>
          <w:b/>
          <w:color w:val="1F4D78"/>
        </w:rPr>
        <w:t>反演与分析：</w:t>
      </w:r>
      <w:r>
        <w:rPr>
          <w:rFonts w:ascii="Calibri" w:hAnsi="Calibri" w:eastAsia="Microsoft YaHei"/>
        </w:rPr>
        <w:t>forward operator；geometry matrix；synthetic images/spectra</w:t>
      </w:r>
    </w:p>
    <w:p>
      <w:pPr>
        <w:widowControl/>
      </w:pPr>
      <w:r>
        <w:rPr>
          <w:rFonts w:ascii="Calibri" w:hAnsi="Calibri" w:eastAsia="Microsoft YaHei"/>
          <w:b/>
          <w:color w:val="1F4D78"/>
        </w:rPr>
        <w:t>验证与应用：</w:t>
      </w:r>
      <w:r>
        <w:rPr>
          <w:rFonts w:ascii="Calibri" w:hAnsi="Calibri" w:eastAsia="Microsoft YaHei"/>
        </w:rPr>
        <w:t>AUG bolometer有限体积射线追踪与解析几何基准对比，并显示单射线近似在强梯度区不足。</w:t>
      </w:r>
    </w:p>
    <w:p>
      <w:pPr>
        <w:widowControl/>
      </w:pPr>
      <w:r>
        <w:rPr>
          <w:rFonts w:ascii="Calibri" w:hAnsi="Calibri" w:eastAsia="Microsoft YaHei"/>
          <w:b/>
          <w:color w:val="1F4D78"/>
        </w:rPr>
        <w:t>局限与边界：</w:t>
      </w:r>
      <w:r>
        <w:rPr>
          <w:rFonts w:ascii="Calibri" w:hAnsi="Calibri" w:eastAsia="Microsoft YaHei"/>
        </w:rPr>
        <w:t>计算成本受光子数与复杂 CAD 影响；表面反射、原子数据和时变光学污染的不确定度常未联合传播。</w:t>
      </w:r>
    </w:p>
    <w:tbl>
      <w:tblPr>
        <w:tblStyle w:val="TableGrid"/>
        <w:tblW w:type="dxa" w:w="9360"/>
        <w:jc w:val="left"/>
        <w:tblLayout w:type="fixed"/>
        <w:tblLook w:firstColumn="1" w:firstRow="1" w:lastColumn="0" w:lastRow="0" w:noHBand="0" w:noVBand="1" w:val="04A0"/>
        <w:tblInd w:w="120" w:type="dxa"/>
      </w:tblPr>
      <w:tblGrid>
        <w:gridCol w:w="9360"/>
      </w:tblGrid>
      <w:tr>
        <w:trPr>
          <w:cantSplit/>
        </w:trPr>
        <w:tc>
          <w:tcPr>
            <w:tcW w:type="dxa" w:w="9360"/>
            <w:tcMar>
              <w:top w:w="80" w:type="dxa"/>
              <w:bottom w:w="80" w:type="dxa"/>
              <w:start w:w="120" w:type="dxa"/>
              <w:end w:w="120" w:type="dxa"/>
            </w:tcMar>
            <w:vAlign w:val="center"/>
            <w:shd w:fill="EEF7F7"/>
          </w:tcPr>
          <w:p>
            <w:pPr>
              <w:keepNext/>
              <w:keepLines/>
              <w:spacing w:after="40"/>
            </w:pPr>
            <w:r>
              <w:rPr>
                <w:rFonts w:ascii="Calibri" w:hAnsi="Calibri" w:eastAsia="Microsoft YaHei"/>
                <w:b/>
                <w:color w:val="008C95"/>
                <w:sz w:val="17"/>
              </w:rPr>
              <w:t>DIGITAL-TWIN RELEVANCE</w:t>
            </w:r>
          </w:p>
          <w:p>
            <w:pPr>
              <w:spacing w:after="0"/>
            </w:pPr>
            <w:r>
              <w:rPr>
                <w:rFonts w:ascii="Calibri" w:hAnsi="Calibri" w:eastAsia="Microsoft YaHei"/>
                <w:color w:val="0B2545"/>
                <w:sz w:val="20"/>
              </w:rPr>
              <w:t>可作为三维孪生的观测算子，把物理状态变成与真实通道同构的合成数据。</w:t>
            </w:r>
          </w:p>
        </w:tc>
      </w:tr>
    </w:tbl>
    <w:p>
      <w:pPr>
        <w:spacing w:after="40"/>
      </w:pPr>
    </w:p>
    <w:tbl>
      <w:tblPr>
        <w:tblStyle w:val="TableGrid"/>
        <w:tblW w:type="dxa" w:w="9360"/>
        <w:jc w:val="left"/>
        <w:tblLayout w:type="fixed"/>
        <w:tblLook w:firstColumn="1" w:firstRow="1" w:lastColumn="0" w:lastRow="0" w:noHBand="0" w:noVBand="1" w:val="04A0"/>
        <w:tblInd w:w="120" w:type="dxa"/>
      </w:tblPr>
      <w:tblGrid>
        <w:gridCol w:w="850"/>
        <w:gridCol w:w="2500"/>
        <w:gridCol w:w="1600"/>
        <w:gridCol w:w="2300"/>
        <w:gridCol w:w="2110"/>
      </w:tblGrid>
      <w:tr>
        <w:trPr>
          <w:tblHeader w:val="true"/>
        </w:trPr>
        <w:tc>
          <w:tcPr>
            <w:tcW w:type="dxa" w:w="8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年份/类型</w:t>
            </w:r>
          </w:p>
        </w:tc>
        <w:tc>
          <w:tcPr>
            <w:tcW w:type="dxa" w:w="25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论文或软件</w:t>
            </w:r>
          </w:p>
        </w:tc>
        <w:tc>
          <w:tcPr>
            <w:tcW w:type="dxa" w:w="16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期刊/开放性</w:t>
            </w:r>
          </w:p>
        </w:tc>
        <w:tc>
          <w:tcPr>
            <w:tcW w:type="dxa" w:w="23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来源类型/关系</w:t>
            </w:r>
          </w:p>
        </w:tc>
        <w:tc>
          <w:tcPr>
            <w:tcW w:type="dxa" w:w="211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链接</w:t>
            </w:r>
          </w:p>
        </w:tc>
      </w:tr>
      <w:tr>
        <w:trPr>
          <w:cantSplit/>
        </w:trPr>
        <w:tc>
          <w:tcPr>
            <w:tcW w:type="dxa" w:w="850"/>
          </w:tcPr>
          <w:p>
            <w:pPr>
              <w:keepLines/>
              <w:spacing w:after="0" w:line="276" w:lineRule="auto"/>
            </w:pPr>
            <w:r>
              <w:rPr>
                <w:rFonts w:ascii="Calibri" w:hAnsi="Calibri" w:eastAsia="Microsoft YaHei"/>
                <w:color w:val="0B2545"/>
                <w:sz w:val="14"/>
              </w:rPr>
              <w:t>2018</w:t>
            </w:r>
          </w:p>
        </w:tc>
        <w:tc>
          <w:tcPr>
            <w:tcW w:type="dxa" w:w="2500"/>
          </w:tcPr>
          <w:p>
            <w:pPr>
              <w:keepLines/>
              <w:spacing w:after="0" w:line="276" w:lineRule="auto"/>
            </w:pPr>
            <w:r>
              <w:rPr>
                <w:rFonts w:ascii="Calibri" w:hAnsi="Calibri" w:eastAsia="Microsoft YaHei"/>
                <w:color w:val="0B2545"/>
                <w:sz w:val="14"/>
              </w:rPr>
              <w:t>Description of complex viewing geometries of fusion tomography diagnostics by ray-tracing</w:t>
            </w:r>
          </w:p>
        </w:tc>
        <w:tc>
          <w:tcPr>
            <w:tcW w:type="dxa" w:w="1600"/>
          </w:tcPr>
          <w:p>
            <w:pPr>
              <w:keepLines/>
              <w:spacing w:after="0" w:line="276" w:lineRule="auto"/>
            </w:pPr>
            <w:r>
              <w:rPr>
                <w:rFonts w:ascii="Calibri" w:hAnsi="Calibri" w:eastAsia="Microsoft YaHei"/>
                <w:color w:val="0B2545"/>
                <w:sz w:val="14"/>
              </w:rPr>
              <w:t>Review of Scientific Instruments</w:t>
            </w:r>
          </w:p>
        </w:tc>
        <w:tc>
          <w:tcPr>
            <w:tcW w:type="dxa" w:w="2300"/>
          </w:tcPr>
          <w:p>
            <w:pPr>
              <w:keepLines/>
              <w:spacing w:after="0" w:line="276" w:lineRule="auto"/>
            </w:pPr>
            <w:r>
              <w:rPr>
                <w:rFonts w:ascii="Calibri" w:hAnsi="Calibri" w:eastAsia="Microsoft YaHei"/>
                <w:color w:val="0B2545"/>
                <w:sz w:val="14"/>
              </w:rPr>
              <w:t>peer-reviewed primary validation</w:t>
            </w:r>
          </w:p>
        </w:tc>
        <w:tc>
          <w:tcPr>
            <w:tcW w:type="dxa" w:w="2110"/>
          </w:tcPr>
          <w:p>
            <w:pPr>
              <w:keepLines/>
              <w:spacing w:after="0" w:line="276" w:lineRule="auto"/>
            </w:pPr>
            <w:hyperlink r:id="rId161">
              <w:r>
                <w:rPr>
                  <w:rFonts w:ascii="Calibri" w:hAnsi="Calibri" w:eastAsia="Microsoft YaHei"/>
                  <w:color w:val="008C95"/>
                  <w:u w:val="single"/>
                </w:rPr>
                <w:t>打开原始来源 ↗</w:t>
              </w:r>
            </w:hyperlink>
          </w:p>
        </w:tc>
      </w:tr>
      <w:tr>
        <w:trPr>
          <w:cantSplit/>
        </w:trPr>
        <w:tc>
          <w:tcPr>
            <w:tcW w:type="dxa" w:w="850"/>
          </w:tcPr>
          <w:p>
            <w:pPr>
              <w:keepLines/>
              <w:spacing w:after="0" w:line="276" w:lineRule="auto"/>
            </w:pPr>
            <w:r>
              <w:rPr>
                <w:rFonts w:ascii="Calibri" w:hAnsi="Calibri" w:eastAsia="Microsoft YaHei"/>
                <w:color w:val="0B2545"/>
                <w:sz w:val="14"/>
              </w:rPr>
              <w:t>2018</w:t>
            </w:r>
          </w:p>
        </w:tc>
        <w:tc>
          <w:tcPr>
            <w:tcW w:type="dxa" w:w="2500"/>
          </w:tcPr>
          <w:p>
            <w:pPr>
              <w:keepLines/>
              <w:spacing w:after="0" w:line="276" w:lineRule="auto"/>
            </w:pPr>
            <w:r>
              <w:rPr>
                <w:rFonts w:ascii="Calibri" w:hAnsi="Calibri" w:eastAsia="Microsoft YaHei"/>
                <w:color w:val="0B2545"/>
                <w:sz w:val="14"/>
              </w:rPr>
              <w:t>CHERAB Spectroscopy Modelling Framework</w:t>
            </w:r>
          </w:p>
        </w:tc>
        <w:tc>
          <w:tcPr>
            <w:tcW w:type="dxa" w:w="1600"/>
          </w:tcPr>
          <w:p>
            <w:pPr>
              <w:keepLines/>
              <w:spacing w:after="0" w:line="276" w:lineRule="auto"/>
            </w:pPr>
            <w:r>
              <w:rPr>
                <w:rFonts w:ascii="Calibri" w:hAnsi="Calibri" w:eastAsia="Microsoft YaHei"/>
                <w:color w:val="0B2545"/>
                <w:sz w:val="14"/>
              </w:rPr>
              <w:t>Zenodo</w:t>
            </w:r>
          </w:p>
        </w:tc>
        <w:tc>
          <w:tcPr>
            <w:tcW w:type="dxa" w:w="2300"/>
          </w:tcPr>
          <w:p>
            <w:pPr>
              <w:keepLines/>
              <w:spacing w:after="0" w:line="276" w:lineRule="auto"/>
            </w:pPr>
            <w:r>
              <w:rPr>
                <w:rFonts w:ascii="Calibri" w:hAnsi="Calibri" w:eastAsia="Microsoft YaHei"/>
                <w:color w:val="0B2545"/>
                <w:sz w:val="14"/>
              </w:rPr>
              <w:t>official software archive</w:t>
            </w:r>
          </w:p>
        </w:tc>
        <w:tc>
          <w:tcPr>
            <w:tcW w:type="dxa" w:w="2110"/>
          </w:tcPr>
          <w:p>
            <w:pPr>
              <w:keepLines/>
              <w:spacing w:after="0" w:line="276" w:lineRule="auto"/>
            </w:pPr>
            <w:hyperlink r:id="rId162">
              <w:r>
                <w:rPr>
                  <w:rFonts w:ascii="Calibri" w:hAnsi="Calibri" w:eastAsia="Microsoft YaHei"/>
                  <w:color w:val="008C95"/>
                  <w:u w:val="single"/>
                </w:rPr>
                <w:t>打开原始来源 ↗</w:t>
              </w:r>
            </w:hyperlink>
          </w:p>
        </w:tc>
      </w:tr>
      <w:tr>
        <w:trPr>
          <w:cantSplit/>
        </w:trPr>
        <w:tc>
          <w:tcPr>
            <w:tcW w:type="dxa" w:w="850"/>
          </w:tcPr>
          <w:p>
            <w:pPr>
              <w:keepLines/>
              <w:spacing w:after="0" w:line="276" w:lineRule="auto"/>
            </w:pPr>
            <w:r>
              <w:rPr>
                <w:rFonts w:ascii="Calibri" w:hAnsi="Calibri" w:eastAsia="Microsoft YaHei"/>
                <w:color w:val="0B2545"/>
                <w:sz w:val="14"/>
              </w:rPr>
              <w:t>软件</w:t>
            </w:r>
          </w:p>
        </w:tc>
        <w:tc>
          <w:tcPr>
            <w:tcW w:type="dxa" w:w="2500"/>
          </w:tcPr>
          <w:p>
            <w:pPr>
              <w:keepLines/>
              <w:spacing w:after="0" w:line="276" w:lineRule="auto"/>
            </w:pPr>
            <w:r>
              <w:rPr>
                <w:rFonts w:ascii="Calibri" w:hAnsi="Calibri" w:eastAsia="Microsoft YaHei"/>
                <w:color w:val="0B2545"/>
                <w:sz w:val="14"/>
              </w:rPr>
              <w:t>CHERAB Core</w:t>
            </w:r>
          </w:p>
        </w:tc>
        <w:tc>
          <w:tcPr>
            <w:tcW w:type="dxa" w:w="1600"/>
          </w:tcPr>
          <w:p>
            <w:pPr>
              <w:keepLines/>
              <w:spacing w:after="0" w:line="276" w:lineRule="auto"/>
            </w:pPr>
            <w:r>
              <w:rPr>
                <w:rFonts w:ascii="Calibri" w:hAnsi="Calibri" w:eastAsia="Microsoft YaHei"/>
                <w:color w:val="0B2545"/>
                <w:sz w:val="14"/>
              </w:rPr>
              <w:t>official-direct</w:t>
            </w:r>
          </w:p>
        </w:tc>
        <w:tc>
          <w:tcPr>
            <w:tcW w:type="dxa" w:w="2300"/>
          </w:tcPr>
          <w:p>
            <w:pPr>
              <w:keepLines/>
              <w:spacing w:after="0" w:line="276" w:lineRule="auto"/>
            </w:pPr>
            <w:r>
              <w:rPr>
                <w:rFonts w:ascii="Calibri" w:hAnsi="Calibri" w:eastAsia="Microsoft YaHei"/>
                <w:color w:val="0B2545"/>
                <w:sz w:val="14"/>
              </w:rPr>
              <w:t>CHERAB 团队维护的等离子体发射与观测建模核心。</w:t>
            </w:r>
          </w:p>
        </w:tc>
        <w:tc>
          <w:tcPr>
            <w:tcW w:type="dxa" w:w="2110"/>
          </w:tcPr>
          <w:p>
            <w:pPr>
              <w:keepLines/>
              <w:spacing w:after="0" w:line="276" w:lineRule="auto"/>
            </w:pPr>
            <w:hyperlink r:id="rId163">
              <w:r>
                <w:rPr>
                  <w:rFonts w:ascii="Calibri" w:hAnsi="Calibri" w:eastAsia="Microsoft YaHei"/>
                  <w:color w:val="008C95"/>
                  <w:u w:val="single"/>
                </w:rPr>
                <w:t>打开原始来源 ↗</w:t>
              </w:r>
            </w:hyperlink>
          </w:p>
        </w:tc>
      </w:tr>
      <w:tr>
        <w:trPr>
          <w:cantSplit/>
        </w:trPr>
        <w:tc>
          <w:tcPr>
            <w:tcW w:type="dxa" w:w="850"/>
          </w:tcPr>
          <w:p>
            <w:pPr>
              <w:keepLines/>
              <w:spacing w:after="0" w:line="276" w:lineRule="auto"/>
            </w:pPr>
            <w:r>
              <w:rPr>
                <w:rFonts w:ascii="Calibri" w:hAnsi="Calibri" w:eastAsia="Microsoft YaHei"/>
                <w:color w:val="0B2545"/>
                <w:sz w:val="14"/>
              </w:rPr>
              <w:t>软件</w:t>
            </w:r>
          </w:p>
        </w:tc>
        <w:tc>
          <w:tcPr>
            <w:tcW w:type="dxa" w:w="2500"/>
          </w:tcPr>
          <w:p>
            <w:pPr>
              <w:keepLines/>
              <w:spacing w:after="0" w:line="276" w:lineRule="auto"/>
            </w:pPr>
            <w:r>
              <w:rPr>
                <w:rFonts w:ascii="Calibri" w:hAnsi="Calibri" w:eastAsia="Microsoft YaHei"/>
                <w:color w:val="0B2545"/>
                <w:sz w:val="14"/>
              </w:rPr>
              <w:t>Raysect</w:t>
            </w:r>
          </w:p>
        </w:tc>
        <w:tc>
          <w:tcPr>
            <w:tcW w:type="dxa" w:w="1600"/>
          </w:tcPr>
          <w:p>
            <w:pPr>
              <w:keepLines/>
              <w:spacing w:after="0" w:line="276" w:lineRule="auto"/>
            </w:pPr>
            <w:r>
              <w:rPr>
                <w:rFonts w:ascii="Calibri" w:hAnsi="Calibri" w:eastAsia="Microsoft YaHei"/>
                <w:color w:val="0B2545"/>
                <w:sz w:val="14"/>
              </w:rPr>
              <w:t>official-enabling</w:t>
            </w:r>
          </w:p>
        </w:tc>
        <w:tc>
          <w:tcPr>
            <w:tcW w:type="dxa" w:w="2300"/>
          </w:tcPr>
          <w:p>
            <w:pPr>
              <w:keepLines/>
              <w:spacing w:after="0" w:line="276" w:lineRule="auto"/>
            </w:pPr>
            <w:r>
              <w:rPr>
                <w:rFonts w:ascii="Calibri" w:hAnsi="Calibri" w:eastAsia="Microsoft YaHei"/>
                <w:color w:val="0B2545"/>
                <w:sz w:val="14"/>
              </w:rPr>
              <w:t>CHERAB 使用的官方科学射线追踪底座。</w:t>
            </w:r>
          </w:p>
        </w:tc>
        <w:tc>
          <w:tcPr>
            <w:tcW w:type="dxa" w:w="2110"/>
          </w:tcPr>
          <w:p>
            <w:pPr>
              <w:keepLines/>
              <w:spacing w:after="0" w:line="276" w:lineRule="auto"/>
            </w:pPr>
            <w:hyperlink r:id="rId164">
              <w:r>
                <w:rPr>
                  <w:rFonts w:ascii="Calibri" w:hAnsi="Calibri" w:eastAsia="Microsoft YaHei"/>
                  <w:color w:val="008C95"/>
                  <w:u w:val="single"/>
                </w:rPr>
                <w:t>打开原始来源 ↗</w:t>
              </w:r>
            </w:hyperlink>
          </w:p>
        </w:tc>
      </w:tr>
      <w:tr>
        <w:trPr>
          <w:cantSplit/>
        </w:trPr>
        <w:tc>
          <w:tcPr>
            <w:tcW w:type="dxa" w:w="850"/>
          </w:tcPr>
          <w:p>
            <w:pPr>
              <w:keepLines/>
              <w:spacing w:after="0" w:line="276" w:lineRule="auto"/>
            </w:pPr>
            <w:r>
              <w:rPr>
                <w:rFonts w:ascii="Calibri" w:hAnsi="Calibri" w:eastAsia="Microsoft YaHei"/>
                <w:color w:val="0B2545"/>
                <w:sz w:val="14"/>
              </w:rPr>
              <w:t>软件</w:t>
            </w:r>
          </w:p>
        </w:tc>
        <w:tc>
          <w:tcPr>
            <w:tcW w:type="dxa" w:w="2500"/>
          </w:tcPr>
          <w:p>
            <w:pPr>
              <w:keepLines/>
              <w:spacing w:after="0" w:line="276" w:lineRule="auto"/>
            </w:pPr>
            <w:r>
              <w:rPr>
                <w:rFonts w:ascii="Calibri" w:hAnsi="Calibri" w:eastAsia="Microsoft YaHei"/>
                <w:color w:val="0B2545"/>
                <w:sz w:val="14"/>
              </w:rPr>
              <w:t>CHERAB-IMAS</w:t>
            </w:r>
          </w:p>
        </w:tc>
        <w:tc>
          <w:tcPr>
            <w:tcW w:type="dxa" w:w="1600"/>
          </w:tcPr>
          <w:p>
            <w:pPr>
              <w:keepLines/>
              <w:spacing w:after="0" w:line="276" w:lineRule="auto"/>
            </w:pPr>
            <w:r>
              <w:rPr>
                <w:rFonts w:ascii="Calibri" w:hAnsi="Calibri" w:eastAsia="Microsoft YaHei"/>
                <w:color w:val="0B2545"/>
                <w:sz w:val="14"/>
              </w:rPr>
              <w:t>official-direct</w:t>
            </w:r>
          </w:p>
        </w:tc>
        <w:tc>
          <w:tcPr>
            <w:tcW w:type="dxa" w:w="2300"/>
          </w:tcPr>
          <w:p>
            <w:pPr>
              <w:keepLines/>
              <w:spacing w:after="0" w:line="276" w:lineRule="auto"/>
            </w:pPr>
            <w:r>
              <w:rPr>
                <w:rFonts w:ascii="Calibri" w:hAnsi="Calibri" w:eastAsia="Microsoft YaHei"/>
                <w:color w:val="0B2545"/>
                <w:sz w:val="14"/>
              </w:rPr>
              <w:t>将 IMAS 数据映射到 CHERAB 场景的项目官方适配层。</w:t>
            </w:r>
          </w:p>
        </w:tc>
        <w:tc>
          <w:tcPr>
            <w:tcW w:type="dxa" w:w="2110"/>
          </w:tcPr>
          <w:p>
            <w:pPr>
              <w:keepLines/>
              <w:spacing w:after="0" w:line="276" w:lineRule="auto"/>
            </w:pPr>
            <w:hyperlink r:id="rId165">
              <w:r>
                <w:rPr>
                  <w:rFonts w:ascii="Calibri" w:hAnsi="Calibri" w:eastAsia="Microsoft YaHei"/>
                  <w:color w:val="008C95"/>
                  <w:u w:val="single"/>
                </w:rPr>
                <w:t>打开原始来源 ↗</w:t>
              </w:r>
            </w:hyperlink>
          </w:p>
        </w:tc>
      </w:tr>
    </w:tbl>
    <w:p>
      <w:pPr>
        <w:spacing w:before="0" w:after="60"/>
      </w:pPr>
    </w:p>
    <w:p>
      <w:pPr>
        <w:pStyle w:val="Heading3"/>
        <w:keepNext/>
      </w:pPr>
      <w:r>
        <w:t>DG9.03  CHERAB 汤姆孙散射合成诊断模块</w:t>
      </w:r>
    </w:p>
    <w:p>
      <w:pPr>
        <w:keepNext/>
        <w:spacing w:after="80"/>
      </w:pPr>
      <w:r>
        <w:rPr>
          <w:rFonts w:ascii="Calibri" w:hAnsi="Calibri" w:eastAsia="Microsoft YaHei"/>
          <w:i/>
          <w:color w:val="566573"/>
          <w:sz w:val="18"/>
        </w:rPr>
        <w:t>CHERAB Thomson Scattering Synthetic Diagnostic Module</w:t>
      </w:r>
    </w:p>
    <w:tbl>
      <w:tblPr>
        <w:tblStyle w:val="TableGrid"/>
        <w:tblW w:type="dxa" w:w="9360"/>
        <w:jc w:val="left"/>
        <w:tblLayout w:type="fixed"/>
        <w:tblLook w:firstColumn="1" w:firstRow="1" w:lastColumn="0" w:lastRow="0" w:noHBand="0" w:noVBand="1" w:val="04A0"/>
        <w:tblInd w:w="120" w:type="dxa"/>
      </w:tblPr>
      <w:tblGrid>
        <w:gridCol w:w="1200"/>
        <w:gridCol w:w="750"/>
        <w:gridCol w:w="750"/>
        <w:gridCol w:w="2100"/>
        <w:gridCol w:w="4560"/>
      </w:tblGrid>
      <w:tr>
        <w:trPr>
          <w:tblHeader w:val="true"/>
        </w:trPr>
        <w:tc>
          <w:tcPr>
            <w:tcW w:type="dxa" w:w="12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工作 ID</w:t>
            </w:r>
          </w:p>
        </w:tc>
        <w:tc>
          <w:tcPr>
            <w:tcW w:type="dxa" w:w="7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证据</w:t>
            </w:r>
          </w:p>
        </w:tc>
        <w:tc>
          <w:tcPr>
            <w:tcW w:type="dxa" w:w="7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部署</w:t>
            </w:r>
          </w:p>
        </w:tc>
        <w:tc>
          <w:tcPr>
            <w:tcW w:type="dxa" w:w="21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技术族</w:t>
            </w:r>
          </w:p>
        </w:tc>
        <w:tc>
          <w:tcPr>
            <w:tcW w:type="dxa" w:w="456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装置</w:t>
            </w:r>
          </w:p>
        </w:tc>
      </w:tr>
      <w:tr>
        <w:trPr>
          <w:cantSplit/>
        </w:trPr>
        <w:tc>
          <w:tcPr>
            <w:tcW w:type="dxa" w:w="1200"/>
          </w:tcPr>
          <w:p>
            <w:pPr>
              <w:keepLines/>
              <w:spacing w:after="0" w:line="276" w:lineRule="auto"/>
            </w:pPr>
            <w:r>
              <w:rPr>
                <w:rFonts w:ascii="Calibri" w:hAnsi="Calibri" w:eastAsia="Microsoft YaHei"/>
                <w:color w:val="0B2545"/>
                <w:sz w:val="15"/>
              </w:rPr>
              <w:t>DSI-010</w:t>
            </w:r>
          </w:p>
        </w:tc>
        <w:tc>
          <w:tcPr>
            <w:tcW w:type="dxa" w:w="750"/>
          </w:tcPr>
          <w:p>
            <w:pPr>
              <w:keepLines/>
              <w:spacing w:after="0" w:line="276" w:lineRule="auto"/>
            </w:pPr>
            <w:r>
              <w:rPr>
                <w:rFonts w:ascii="Calibri" w:hAnsi="Calibri" w:eastAsia="Microsoft YaHei"/>
                <w:color w:val="0B2545"/>
                <w:sz w:val="15"/>
              </w:rPr>
              <w:t>E2</w:t>
            </w:r>
          </w:p>
        </w:tc>
        <w:tc>
          <w:tcPr>
            <w:tcW w:type="dxa" w:w="750"/>
          </w:tcPr>
          <w:p>
            <w:pPr>
              <w:keepLines/>
              <w:spacing w:after="0" w:line="276" w:lineRule="auto"/>
            </w:pPr>
            <w:r>
              <w:rPr>
                <w:rFonts w:ascii="Calibri" w:hAnsi="Calibri" w:eastAsia="Microsoft YaHei"/>
                <w:color w:val="0B2545"/>
                <w:sz w:val="15"/>
              </w:rPr>
              <w:t>D2</w:t>
            </w:r>
          </w:p>
        </w:tc>
        <w:tc>
          <w:tcPr>
            <w:tcW w:type="dxa" w:w="2100"/>
          </w:tcPr>
          <w:p>
            <w:pPr>
              <w:keepLines/>
              <w:spacing w:after="0" w:line="276" w:lineRule="auto"/>
            </w:pPr>
            <w:r>
              <w:rPr>
                <w:rFonts w:ascii="Calibri" w:hAnsi="Calibri" w:eastAsia="Microsoft YaHei"/>
                <w:color w:val="0B2545"/>
                <w:sz w:val="15"/>
              </w:rPr>
              <w:t>LASER</w:t>
            </w:r>
          </w:p>
        </w:tc>
        <w:tc>
          <w:tcPr>
            <w:tcW w:type="dxa" w:w="4560"/>
          </w:tcPr>
          <w:p>
            <w:pPr>
              <w:keepLines/>
              <w:spacing w:after="0" w:line="276" w:lineRule="auto"/>
            </w:pPr>
            <w:r>
              <w:rPr>
                <w:rFonts w:ascii="Calibri" w:hAnsi="Calibri" w:eastAsia="Microsoft YaHei"/>
                <w:color w:val="0B2545"/>
                <w:sz w:val="15"/>
              </w:rPr>
              <w:t>COMPASS；generic tokamak TS designs</w:t>
            </w:r>
          </w:p>
        </w:tc>
      </w:tr>
    </w:tbl>
    <w:p>
      <w:pPr>
        <w:spacing w:before="0" w:after="60"/>
      </w:pPr>
    </w:p>
    <w:p>
      <w:pPr>
        <w:widowControl/>
      </w:pPr>
      <w:r>
        <w:rPr>
          <w:rFonts w:ascii="Calibri" w:hAnsi="Calibri" w:eastAsia="Microsoft YaHei"/>
          <w:b/>
          <w:color w:val="1F4D78"/>
        </w:rPr>
        <w:t>解决问题：</w:t>
      </w:r>
      <w:r>
        <w:rPr>
          <w:rFonts w:ascii="Calibri" w:hAnsi="Calibri" w:eastAsia="Microsoft YaHei"/>
        </w:rPr>
        <w:t>TS 系统设计与分析需要把激光几何、散射谱、收集光学、滤波通道和噪声共同纳入，而非只评估理想散射强度。</w:t>
      </w:r>
    </w:p>
    <w:p>
      <w:pPr>
        <w:widowControl/>
      </w:pPr>
      <w:r>
        <w:rPr>
          <w:rFonts w:ascii="Calibri" w:hAnsi="Calibri" w:eastAsia="Microsoft YaHei"/>
          <w:b/>
          <w:color w:val="1F4D78"/>
        </w:rPr>
        <w:t>测量原理：</w:t>
      </w:r>
      <w:r>
        <w:rPr>
          <w:rFonts w:ascii="Calibri" w:hAnsi="Calibri" w:eastAsia="Microsoft YaHei"/>
        </w:rPr>
        <w:t>沿激光束计算电子散射谱，经三维光学与多通道探测响应得到合成光电子计数，再以与实验相同算法反演 Te/ne。</w:t>
      </w:r>
    </w:p>
    <w:p>
      <w:pPr>
        <w:widowControl/>
      </w:pPr>
      <w:r>
        <w:rPr>
          <w:rFonts w:ascii="Calibri" w:hAnsi="Calibri" w:eastAsia="Microsoft YaHei"/>
          <w:b/>
          <w:color w:val="1F4D78"/>
        </w:rPr>
        <w:t>测量产品：</w:t>
      </w:r>
      <w:r>
        <w:rPr>
          <w:rFonts w:ascii="Calibri" w:hAnsi="Calibri" w:eastAsia="Microsoft YaHei"/>
        </w:rPr>
        <w:t>electron temperature；electron density；channel photon counts；spectral response</w:t>
      </w:r>
    </w:p>
    <w:p>
      <w:pPr>
        <w:widowControl/>
      </w:pPr>
      <w:r>
        <w:rPr>
          <w:rFonts w:ascii="Calibri" w:hAnsi="Calibri" w:eastAsia="Microsoft YaHei"/>
          <w:b/>
          <w:color w:val="1F4D78"/>
        </w:rPr>
        <w:t>时空分辨与覆盖：</w:t>
      </w:r>
      <w:r>
        <w:rPr>
          <w:rFonts w:ascii="Calibri" w:hAnsi="Calibri" w:eastAsia="Microsoft YaHei"/>
        </w:rPr>
        <w:t>时间：因装置、采集和分析链而异；原始来源未给出统一数值。；空间：由视线、几何和反演设定；原始来源未给出统一数值。</w:t>
      </w:r>
    </w:p>
    <w:p>
      <w:pPr>
        <w:widowControl/>
      </w:pPr>
      <w:r>
        <w:rPr>
          <w:rFonts w:ascii="Calibri" w:hAnsi="Calibri" w:eastAsia="Microsoft YaHei"/>
          <w:b/>
          <w:color w:val="1F4D78"/>
        </w:rPr>
        <w:t>仪器与传感器：</w:t>
      </w:r>
      <w:r>
        <w:rPr>
          <w:rFonts w:ascii="Calibri" w:hAnsi="Calibri" w:eastAsia="Microsoft YaHei"/>
        </w:rPr>
        <w:t>pulsed laser；collection optics；polychromator；photodetectors</w:t>
      </w:r>
    </w:p>
    <w:p>
      <w:pPr>
        <w:widowControl/>
      </w:pPr>
      <w:r>
        <w:rPr>
          <w:rFonts w:ascii="Calibri" w:hAnsi="Calibri" w:eastAsia="Microsoft YaHei"/>
          <w:b/>
          <w:color w:val="1F4D78"/>
        </w:rPr>
        <w:t>标定与质量：</w:t>
      </w:r>
      <w:r>
        <w:rPr>
          <w:rFonts w:ascii="Calibri" w:hAnsi="Calibri" w:eastAsia="Microsoft YaHei"/>
        </w:rPr>
        <w:t>需要激光能量、相对/绝对光谱响应、暗噪声和几何标定；合成链可用于闭合测试这些量的影响。</w:t>
      </w:r>
    </w:p>
    <w:p>
      <w:pPr>
        <w:widowControl/>
      </w:pPr>
      <w:r>
        <w:rPr>
          <w:rFonts w:ascii="Calibri" w:hAnsi="Calibri" w:eastAsia="Microsoft YaHei"/>
          <w:b/>
          <w:color w:val="1F4D78"/>
        </w:rPr>
        <w:t>反演与分析：</w:t>
      </w:r>
      <w:r>
        <w:rPr>
          <w:rFonts w:ascii="Calibri" w:hAnsi="Calibri" w:eastAsia="Microsoft YaHei"/>
        </w:rPr>
        <w:t>spectral fitting；Te/ne retrieval；design sensitivity</w:t>
      </w:r>
    </w:p>
    <w:p>
      <w:pPr>
        <w:widowControl/>
      </w:pPr>
      <w:r>
        <w:rPr>
          <w:rFonts w:ascii="Calibri" w:hAnsi="Calibri" w:eastAsia="Microsoft YaHei"/>
          <w:b/>
          <w:color w:val="1F4D78"/>
        </w:rPr>
        <w:t>验证与应用：</w:t>
      </w:r>
      <w:r>
        <w:rPr>
          <w:rFonts w:ascii="Calibri" w:hAnsi="Calibri" w:eastAsia="Microsoft YaHei"/>
        </w:rPr>
        <w:t>模块用 COMPASS 边缘 TS 几何和参数展示设计与性能评估，并对物理与数值部件进行模块化核验。</w:t>
      </w:r>
    </w:p>
    <w:p>
      <w:pPr>
        <w:widowControl/>
      </w:pPr>
      <w:r>
        <w:rPr>
          <w:rFonts w:ascii="Calibri" w:hAnsi="Calibri" w:eastAsia="Microsoft YaHei"/>
          <w:b/>
          <w:color w:val="1F4D78"/>
        </w:rPr>
        <w:t>局限与边界：</w:t>
      </w:r>
      <w:r>
        <w:rPr>
          <w:rFonts w:ascii="Calibri" w:hAnsi="Calibri" w:eastAsia="Microsoft YaHei"/>
        </w:rPr>
        <w:t>真实杂散光、探测器非线性、辐照退化和脉冲间漂移需要装置特定模型；示例不构成多装置绝对计量验证。</w:t>
      </w:r>
    </w:p>
    <w:tbl>
      <w:tblPr>
        <w:tblStyle w:val="TableGrid"/>
        <w:tblW w:type="dxa" w:w="9360"/>
        <w:jc w:val="left"/>
        <w:tblLayout w:type="fixed"/>
        <w:tblLook w:firstColumn="1" w:firstRow="1" w:lastColumn="0" w:lastRow="0" w:noHBand="0" w:noVBand="1" w:val="04A0"/>
        <w:tblInd w:w="120" w:type="dxa"/>
      </w:tblPr>
      <w:tblGrid>
        <w:gridCol w:w="9360"/>
      </w:tblGrid>
      <w:tr>
        <w:trPr>
          <w:cantSplit/>
        </w:trPr>
        <w:tc>
          <w:tcPr>
            <w:tcW w:type="dxa" w:w="9360"/>
            <w:tcMar>
              <w:top w:w="80" w:type="dxa"/>
              <w:bottom w:w="80" w:type="dxa"/>
              <w:start w:w="120" w:type="dxa"/>
              <w:end w:w="120" w:type="dxa"/>
            </w:tcMar>
            <w:vAlign w:val="center"/>
            <w:shd w:fill="EEF7F7"/>
          </w:tcPr>
          <w:p>
            <w:pPr>
              <w:keepNext/>
              <w:keepLines/>
              <w:spacing w:after="40"/>
            </w:pPr>
            <w:r>
              <w:rPr>
                <w:rFonts w:ascii="Calibri" w:hAnsi="Calibri" w:eastAsia="Microsoft YaHei"/>
                <w:b/>
                <w:color w:val="008C95"/>
                <w:sz w:val="17"/>
              </w:rPr>
              <w:t>DIGITAL-TWIN RELEVANCE</w:t>
            </w:r>
          </w:p>
          <w:p>
            <w:pPr>
              <w:spacing w:after="0"/>
            </w:pPr>
            <w:r>
              <w:rPr>
                <w:rFonts w:ascii="Calibri" w:hAnsi="Calibri" w:eastAsia="Microsoft YaHei"/>
                <w:color w:val="0B2545"/>
                <w:sz w:val="20"/>
              </w:rPr>
              <w:t>展示了“前向观测算子—噪声—同算法反演”的完整闭合环，可直接作为诊断 VVUQ 模板。</w:t>
            </w:r>
          </w:p>
        </w:tc>
      </w:tr>
    </w:tbl>
    <w:p>
      <w:pPr>
        <w:spacing w:after="40"/>
      </w:pPr>
    </w:p>
    <w:tbl>
      <w:tblPr>
        <w:tblStyle w:val="TableGrid"/>
        <w:tblW w:type="dxa" w:w="9360"/>
        <w:jc w:val="left"/>
        <w:tblLayout w:type="fixed"/>
        <w:tblLook w:firstColumn="1" w:firstRow="1" w:lastColumn="0" w:lastRow="0" w:noHBand="0" w:noVBand="1" w:val="04A0"/>
        <w:tblInd w:w="120" w:type="dxa"/>
      </w:tblPr>
      <w:tblGrid>
        <w:gridCol w:w="850"/>
        <w:gridCol w:w="2500"/>
        <w:gridCol w:w="1600"/>
        <w:gridCol w:w="2300"/>
        <w:gridCol w:w="2110"/>
      </w:tblGrid>
      <w:tr>
        <w:trPr>
          <w:tblHeader w:val="true"/>
        </w:trPr>
        <w:tc>
          <w:tcPr>
            <w:tcW w:type="dxa" w:w="8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年份/类型</w:t>
            </w:r>
          </w:p>
        </w:tc>
        <w:tc>
          <w:tcPr>
            <w:tcW w:type="dxa" w:w="25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论文或软件</w:t>
            </w:r>
          </w:p>
        </w:tc>
        <w:tc>
          <w:tcPr>
            <w:tcW w:type="dxa" w:w="16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期刊/开放性</w:t>
            </w:r>
          </w:p>
        </w:tc>
        <w:tc>
          <w:tcPr>
            <w:tcW w:type="dxa" w:w="23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来源类型/关系</w:t>
            </w:r>
          </w:p>
        </w:tc>
        <w:tc>
          <w:tcPr>
            <w:tcW w:type="dxa" w:w="211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链接</w:t>
            </w:r>
          </w:p>
        </w:tc>
      </w:tr>
      <w:tr>
        <w:trPr>
          <w:cantSplit/>
        </w:trPr>
        <w:tc>
          <w:tcPr>
            <w:tcW w:type="dxa" w:w="850"/>
          </w:tcPr>
          <w:p>
            <w:pPr>
              <w:keepLines/>
              <w:spacing w:after="0" w:line="276" w:lineRule="auto"/>
            </w:pPr>
            <w:r>
              <w:rPr>
                <w:rFonts w:ascii="Calibri" w:hAnsi="Calibri" w:eastAsia="Microsoft YaHei"/>
                <w:color w:val="0B2545"/>
                <w:sz w:val="14"/>
              </w:rPr>
              <w:t>2021</w:t>
            </w:r>
          </w:p>
        </w:tc>
        <w:tc>
          <w:tcPr>
            <w:tcW w:type="dxa" w:w="2500"/>
          </w:tcPr>
          <w:p>
            <w:pPr>
              <w:keepLines/>
              <w:spacing w:after="0" w:line="276" w:lineRule="auto"/>
            </w:pPr>
            <w:r>
              <w:rPr>
                <w:rFonts w:ascii="Calibri" w:hAnsi="Calibri" w:eastAsia="Microsoft YaHei"/>
                <w:color w:val="0B2545"/>
                <w:sz w:val="14"/>
              </w:rPr>
              <w:t>Thomson scattering synthetic diagnostic module for the Cherab framework</w:t>
            </w:r>
          </w:p>
        </w:tc>
        <w:tc>
          <w:tcPr>
            <w:tcW w:type="dxa" w:w="1600"/>
          </w:tcPr>
          <w:p>
            <w:pPr>
              <w:keepLines/>
              <w:spacing w:after="0" w:line="276" w:lineRule="auto"/>
            </w:pPr>
            <w:r>
              <w:rPr>
                <w:rFonts w:ascii="Calibri" w:hAnsi="Calibri" w:eastAsia="Microsoft YaHei"/>
                <w:color w:val="0B2545"/>
                <w:sz w:val="14"/>
              </w:rPr>
              <w:t>Review of Scientific Instruments</w:t>
            </w:r>
          </w:p>
        </w:tc>
        <w:tc>
          <w:tcPr>
            <w:tcW w:type="dxa" w:w="2300"/>
          </w:tcPr>
          <w:p>
            <w:pPr>
              <w:keepLines/>
              <w:spacing w:after="0" w:line="276" w:lineRule="auto"/>
            </w:pPr>
            <w:r>
              <w:rPr>
                <w:rFonts w:ascii="Calibri" w:hAnsi="Calibri" w:eastAsia="Microsoft YaHei"/>
                <w:color w:val="0B2545"/>
                <w:sz w:val="14"/>
              </w:rPr>
              <w:t>peer-reviewed primary method report</w:t>
            </w:r>
          </w:p>
        </w:tc>
        <w:tc>
          <w:tcPr>
            <w:tcW w:type="dxa" w:w="2110"/>
          </w:tcPr>
          <w:p>
            <w:pPr>
              <w:keepLines/>
              <w:spacing w:after="0" w:line="276" w:lineRule="auto"/>
            </w:pPr>
            <w:hyperlink r:id="rId166">
              <w:r>
                <w:rPr>
                  <w:rFonts w:ascii="Calibri" w:hAnsi="Calibri" w:eastAsia="Microsoft YaHei"/>
                  <w:color w:val="008C95"/>
                  <w:u w:val="single"/>
                </w:rPr>
                <w:t>打开原始来源 ↗</w:t>
              </w:r>
            </w:hyperlink>
          </w:p>
        </w:tc>
      </w:tr>
      <w:tr>
        <w:trPr>
          <w:cantSplit/>
        </w:trPr>
        <w:tc>
          <w:tcPr>
            <w:tcW w:type="dxa" w:w="850"/>
          </w:tcPr>
          <w:p>
            <w:pPr>
              <w:keepLines/>
              <w:spacing w:after="0" w:line="276" w:lineRule="auto"/>
            </w:pPr>
            <w:r>
              <w:rPr>
                <w:rFonts w:ascii="Calibri" w:hAnsi="Calibri" w:eastAsia="Microsoft YaHei"/>
                <w:color w:val="0B2545"/>
                <w:sz w:val="14"/>
              </w:rPr>
              <w:t>软件</w:t>
            </w:r>
          </w:p>
        </w:tc>
        <w:tc>
          <w:tcPr>
            <w:tcW w:type="dxa" w:w="2500"/>
          </w:tcPr>
          <w:p>
            <w:pPr>
              <w:keepLines/>
              <w:spacing w:after="0" w:line="276" w:lineRule="auto"/>
            </w:pPr>
            <w:r>
              <w:rPr>
                <w:rFonts w:ascii="Calibri" w:hAnsi="Calibri" w:eastAsia="Microsoft YaHei"/>
                <w:color w:val="0B2545"/>
                <w:sz w:val="14"/>
              </w:rPr>
              <w:t>CHERAB Thomson scattering module</w:t>
            </w:r>
          </w:p>
        </w:tc>
        <w:tc>
          <w:tcPr>
            <w:tcW w:type="dxa" w:w="1600"/>
          </w:tcPr>
          <w:p>
            <w:pPr>
              <w:keepLines/>
              <w:spacing w:after="0" w:line="276" w:lineRule="auto"/>
            </w:pPr>
            <w:r>
              <w:rPr>
                <w:rFonts w:ascii="Calibri" w:hAnsi="Calibri" w:eastAsia="Microsoft YaHei"/>
                <w:color w:val="0B2545"/>
                <w:sz w:val="14"/>
              </w:rPr>
              <w:t>official-direct</w:t>
            </w:r>
          </w:p>
        </w:tc>
        <w:tc>
          <w:tcPr>
            <w:tcW w:type="dxa" w:w="2300"/>
          </w:tcPr>
          <w:p>
            <w:pPr>
              <w:keepLines/>
              <w:spacing w:after="0" w:line="276" w:lineRule="auto"/>
            </w:pPr>
            <w:r>
              <w:rPr>
                <w:rFonts w:ascii="Calibri" w:hAnsi="Calibri" w:eastAsia="Microsoft YaHei"/>
                <w:color w:val="0B2545"/>
                <w:sz w:val="14"/>
              </w:rPr>
              <w:t>TS 物理与光学实现属于 CHERAB 官方代码体系。</w:t>
            </w:r>
          </w:p>
        </w:tc>
        <w:tc>
          <w:tcPr>
            <w:tcW w:type="dxa" w:w="2110"/>
          </w:tcPr>
          <w:p>
            <w:pPr>
              <w:keepLines/>
              <w:spacing w:after="0" w:line="276" w:lineRule="auto"/>
            </w:pPr>
            <w:hyperlink r:id="rId163">
              <w:r>
                <w:rPr>
                  <w:rFonts w:ascii="Calibri" w:hAnsi="Calibri" w:eastAsia="Microsoft YaHei"/>
                  <w:color w:val="008C95"/>
                  <w:u w:val="single"/>
                </w:rPr>
                <w:t>打开原始来源 ↗</w:t>
              </w:r>
            </w:hyperlink>
          </w:p>
        </w:tc>
      </w:tr>
    </w:tbl>
    <w:p>
      <w:pPr>
        <w:spacing w:before="0" w:after="60"/>
      </w:pPr>
    </w:p>
    <w:p>
      <w:pPr>
        <w:pStyle w:val="Heading3"/>
        <w:keepNext/>
      </w:pPr>
      <w:r>
        <w:t>DG9.04  FIDASIM 快离子 Dα 与中性粒子分析器合成诊断</w:t>
      </w:r>
    </w:p>
    <w:p>
      <w:pPr>
        <w:keepNext/>
        <w:spacing w:after="80"/>
      </w:pPr>
      <w:r>
        <w:rPr>
          <w:rFonts w:ascii="Calibri" w:hAnsi="Calibri" w:eastAsia="Microsoft YaHei"/>
          <w:i/>
          <w:color w:val="566573"/>
          <w:sz w:val="18"/>
        </w:rPr>
        <w:t>FIDASIM Synthetic FIDA and Neutral Particle Analyzer</w:t>
      </w:r>
    </w:p>
    <w:tbl>
      <w:tblPr>
        <w:tblStyle w:val="TableGrid"/>
        <w:tblW w:type="dxa" w:w="9360"/>
        <w:jc w:val="left"/>
        <w:tblLayout w:type="fixed"/>
        <w:tblLook w:firstColumn="1" w:firstRow="1" w:lastColumn="0" w:lastRow="0" w:noHBand="0" w:noVBand="1" w:val="04A0"/>
        <w:tblInd w:w="120" w:type="dxa"/>
      </w:tblPr>
      <w:tblGrid>
        <w:gridCol w:w="1200"/>
        <w:gridCol w:w="750"/>
        <w:gridCol w:w="750"/>
        <w:gridCol w:w="2100"/>
        <w:gridCol w:w="4560"/>
      </w:tblGrid>
      <w:tr>
        <w:trPr>
          <w:tblHeader w:val="true"/>
        </w:trPr>
        <w:tc>
          <w:tcPr>
            <w:tcW w:type="dxa" w:w="12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工作 ID</w:t>
            </w:r>
          </w:p>
        </w:tc>
        <w:tc>
          <w:tcPr>
            <w:tcW w:type="dxa" w:w="7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证据</w:t>
            </w:r>
          </w:p>
        </w:tc>
        <w:tc>
          <w:tcPr>
            <w:tcW w:type="dxa" w:w="7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部署</w:t>
            </w:r>
          </w:p>
        </w:tc>
        <w:tc>
          <w:tcPr>
            <w:tcW w:type="dxa" w:w="21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技术族</w:t>
            </w:r>
          </w:p>
        </w:tc>
        <w:tc>
          <w:tcPr>
            <w:tcW w:type="dxa" w:w="456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装置</w:t>
            </w:r>
          </w:p>
        </w:tc>
      </w:tr>
      <w:tr>
        <w:trPr>
          <w:cantSplit/>
        </w:trPr>
        <w:tc>
          <w:tcPr>
            <w:tcW w:type="dxa" w:w="1200"/>
          </w:tcPr>
          <w:p>
            <w:pPr>
              <w:keepLines/>
              <w:spacing w:after="0" w:line="276" w:lineRule="auto"/>
            </w:pPr>
            <w:r>
              <w:rPr>
                <w:rFonts w:ascii="Calibri" w:hAnsi="Calibri" w:eastAsia="Microsoft YaHei"/>
                <w:color w:val="0B2545"/>
                <w:sz w:val="15"/>
              </w:rPr>
              <w:t>DSI-011</w:t>
            </w:r>
          </w:p>
        </w:tc>
        <w:tc>
          <w:tcPr>
            <w:tcW w:type="dxa" w:w="750"/>
          </w:tcPr>
          <w:p>
            <w:pPr>
              <w:keepLines/>
              <w:spacing w:after="0" w:line="276" w:lineRule="auto"/>
            </w:pPr>
            <w:r>
              <w:rPr>
                <w:rFonts w:ascii="Calibri" w:hAnsi="Calibri" w:eastAsia="Microsoft YaHei"/>
                <w:color w:val="0B2545"/>
                <w:sz w:val="15"/>
              </w:rPr>
              <w:t>E3</w:t>
            </w:r>
          </w:p>
        </w:tc>
        <w:tc>
          <w:tcPr>
            <w:tcW w:type="dxa" w:w="750"/>
          </w:tcPr>
          <w:p>
            <w:pPr>
              <w:keepLines/>
              <w:spacing w:after="0" w:line="276" w:lineRule="auto"/>
            </w:pPr>
            <w:r>
              <w:rPr>
                <w:rFonts w:ascii="Calibri" w:hAnsi="Calibri" w:eastAsia="Microsoft YaHei"/>
                <w:color w:val="0B2545"/>
                <w:sz w:val="15"/>
              </w:rPr>
              <w:t>D3</w:t>
            </w:r>
          </w:p>
        </w:tc>
        <w:tc>
          <w:tcPr>
            <w:tcW w:type="dxa" w:w="2100"/>
          </w:tcPr>
          <w:p>
            <w:pPr>
              <w:keepLines/>
              <w:spacing w:after="0" w:line="276" w:lineRule="auto"/>
            </w:pPr>
            <w:r>
              <w:rPr>
                <w:rFonts w:ascii="Calibri" w:hAnsi="Calibri" w:eastAsia="Microsoft YaHei"/>
                <w:color w:val="0B2545"/>
                <w:sz w:val="15"/>
              </w:rPr>
              <w:t>NUCLEAR_PARTICLE</w:t>
            </w:r>
          </w:p>
        </w:tc>
        <w:tc>
          <w:tcPr>
            <w:tcW w:type="dxa" w:w="4560"/>
          </w:tcPr>
          <w:p>
            <w:pPr>
              <w:keepLines/>
              <w:spacing w:after="0" w:line="276" w:lineRule="auto"/>
            </w:pPr>
            <w:r>
              <w:rPr>
                <w:rFonts w:ascii="Calibri" w:hAnsi="Calibri" w:eastAsia="Microsoft YaHei"/>
                <w:color w:val="0B2545"/>
                <w:sz w:val="15"/>
              </w:rPr>
              <w:t>DIII-D；ASDEX Upgrade；MAST；NSTX-U；W7-X and others</w:t>
            </w:r>
          </w:p>
        </w:tc>
      </w:tr>
    </w:tbl>
    <w:p>
      <w:pPr>
        <w:spacing w:before="0" w:after="60"/>
      </w:pPr>
    </w:p>
    <w:p>
      <w:pPr>
        <w:widowControl/>
      </w:pPr>
      <w:r>
        <w:rPr>
          <w:rFonts w:ascii="Calibri" w:hAnsi="Calibri" w:eastAsia="Microsoft YaHei"/>
          <w:b/>
          <w:color w:val="1F4D78"/>
        </w:rPr>
        <w:t>解决问题：</w:t>
      </w:r>
      <w:r>
        <w:rPr>
          <w:rFonts w:ascii="Calibri" w:hAnsi="Calibri" w:eastAsia="Microsoft YaHei"/>
        </w:rPr>
        <w:t>FIDA/NPA 信号同时受快离子相空间、束中性化、荷交换、原子过程、视线和仪器函数影响，不能直接解释为局部快离子密度。</w:t>
      </w:r>
    </w:p>
    <w:p>
      <w:pPr>
        <w:widowControl/>
      </w:pPr>
      <w:r>
        <w:rPr>
          <w:rFonts w:ascii="Calibri" w:hAnsi="Calibri" w:eastAsia="Microsoft YaHei"/>
          <w:b/>
          <w:color w:val="1F4D78"/>
        </w:rPr>
        <w:t>测量原理：</w:t>
      </w:r>
      <w:r>
        <w:rPr>
          <w:rFonts w:ascii="Calibri" w:hAnsi="Calibri" w:eastAsia="Microsoft YaHei"/>
        </w:rPr>
        <w:t>从平衡、背景等离子体、束和快离子分布出发，计算中性束/halo 与荷交换发射，沿真实视线生成光谱或粒子通量。</w:t>
      </w:r>
    </w:p>
    <w:p>
      <w:pPr>
        <w:widowControl/>
      </w:pPr>
      <w:r>
        <w:rPr>
          <w:rFonts w:ascii="Calibri" w:hAnsi="Calibri" w:eastAsia="Microsoft YaHei"/>
          <w:b/>
          <w:color w:val="1F4D78"/>
        </w:rPr>
        <w:t>测量产品：</w:t>
      </w:r>
      <w:r>
        <w:rPr>
          <w:rFonts w:ascii="Calibri" w:hAnsi="Calibri" w:eastAsia="Microsoft YaHei"/>
        </w:rPr>
        <w:t>FIDA spectra；NPA flux；fast-ion phase-space sensitivity；neutron-related sources</w:t>
      </w:r>
    </w:p>
    <w:p>
      <w:pPr>
        <w:widowControl/>
      </w:pPr>
      <w:r>
        <w:rPr>
          <w:rFonts w:ascii="Calibri" w:hAnsi="Calibri" w:eastAsia="Microsoft YaHei"/>
          <w:b/>
          <w:color w:val="1F4D78"/>
        </w:rPr>
        <w:t>时空分辨与覆盖：</w:t>
      </w:r>
      <w:r>
        <w:rPr>
          <w:rFonts w:ascii="Calibri" w:hAnsi="Calibri" w:eastAsia="Microsoft YaHei"/>
        </w:rPr>
        <w:t>时间：因装置、采集和分析链而异；原始来源未给出统一数值。；空间：由视线、几何和反演设定；原始来源未给出统一数值。</w:t>
      </w:r>
    </w:p>
    <w:p>
      <w:pPr>
        <w:widowControl/>
      </w:pPr>
      <w:r>
        <w:rPr>
          <w:rFonts w:ascii="Calibri" w:hAnsi="Calibri" w:eastAsia="Microsoft YaHei"/>
          <w:b/>
          <w:color w:val="1F4D78"/>
        </w:rPr>
        <w:t>仪器与传感器：</w:t>
      </w:r>
      <w:r>
        <w:rPr>
          <w:rFonts w:ascii="Calibri" w:hAnsi="Calibri" w:eastAsia="Microsoft YaHei"/>
        </w:rPr>
        <w:t>FIDA spectrometers；NPA；neutral beam injectors</w:t>
      </w:r>
    </w:p>
    <w:p>
      <w:pPr>
        <w:widowControl/>
      </w:pPr>
      <w:r>
        <w:rPr>
          <w:rFonts w:ascii="Calibri" w:hAnsi="Calibri" w:eastAsia="Microsoft YaHei"/>
          <w:b/>
          <w:color w:val="1F4D78"/>
        </w:rPr>
        <w:t>标定与质量：</w:t>
      </w:r>
      <w:r>
        <w:rPr>
          <w:rFonts w:ascii="Calibri" w:hAnsi="Calibri" w:eastAsia="Microsoft YaHei"/>
        </w:rPr>
        <w:t>要求波长、绝对辐射、视线、NBI 功率/组分和 NPA 能量响应校准；代码本身不替代实验标定。</w:t>
      </w:r>
    </w:p>
    <w:p>
      <w:pPr>
        <w:widowControl/>
      </w:pPr>
      <w:r>
        <w:rPr>
          <w:rFonts w:ascii="Calibri" w:hAnsi="Calibri" w:eastAsia="Microsoft YaHei"/>
          <w:b/>
          <w:color w:val="1F4D78"/>
        </w:rPr>
        <w:t>反演与分析：</w:t>
      </w:r>
      <w:r>
        <w:rPr>
          <w:rFonts w:ascii="Calibri" w:hAnsi="Calibri" w:eastAsia="Microsoft YaHei"/>
        </w:rPr>
        <w:t>weight functions；forward spectra；fast-ion distribution comparison</w:t>
      </w:r>
    </w:p>
    <w:p>
      <w:pPr>
        <w:widowControl/>
      </w:pPr>
      <w:r>
        <w:rPr>
          <w:rFonts w:ascii="Calibri" w:hAnsi="Calibri" w:eastAsia="Microsoft YaHei"/>
          <w:b/>
          <w:color w:val="1F4D78"/>
        </w:rPr>
        <w:t>验证与应用：</w:t>
      </w:r>
      <w:r>
        <w:rPr>
          <w:rFonts w:ascii="Calibri" w:hAnsi="Calibri" w:eastAsia="Microsoft YaHei"/>
        </w:rPr>
        <w:t>论文报告 FIDA 光谱与 NPA 通量建模进展，并在多个装置与实验光谱、其他代码和已知原子过程比较；属于真实装置数据的离线交叉验证，不等同常规在线诊断服务。</w:t>
      </w:r>
    </w:p>
    <w:p>
      <w:pPr>
        <w:widowControl/>
      </w:pPr>
      <w:r>
        <w:rPr>
          <w:rFonts w:ascii="Calibri" w:hAnsi="Calibri" w:eastAsia="Microsoft YaHei"/>
          <w:b/>
          <w:color w:val="1F4D78"/>
        </w:rPr>
        <w:t>局限与边界：</w:t>
      </w:r>
      <w:r>
        <w:rPr>
          <w:rFonts w:ascii="Calibri" w:hAnsi="Calibri" w:eastAsia="Microsoft YaHei"/>
        </w:rPr>
        <w:t>原子截面、halo neutrals、3D 场、被动背景和相空间欠定性限制反演；运行成本高于实时需求。</w:t>
      </w:r>
    </w:p>
    <w:tbl>
      <w:tblPr>
        <w:tblStyle w:val="TableGrid"/>
        <w:tblW w:type="dxa" w:w="9360"/>
        <w:jc w:val="left"/>
        <w:tblLayout w:type="fixed"/>
        <w:tblLook w:firstColumn="1" w:firstRow="1" w:lastColumn="0" w:lastRow="0" w:noHBand="0" w:noVBand="1" w:val="04A0"/>
        <w:tblInd w:w="120" w:type="dxa"/>
      </w:tblPr>
      <w:tblGrid>
        <w:gridCol w:w="9360"/>
      </w:tblGrid>
      <w:tr>
        <w:trPr>
          <w:cantSplit/>
        </w:trPr>
        <w:tc>
          <w:tcPr>
            <w:tcW w:type="dxa" w:w="9360"/>
            <w:tcMar>
              <w:top w:w="80" w:type="dxa"/>
              <w:bottom w:w="80" w:type="dxa"/>
              <w:start w:w="120" w:type="dxa"/>
              <w:end w:w="120" w:type="dxa"/>
            </w:tcMar>
            <w:vAlign w:val="center"/>
            <w:shd w:fill="EEF7F7"/>
          </w:tcPr>
          <w:p>
            <w:pPr>
              <w:keepNext/>
              <w:keepLines/>
              <w:spacing w:after="40"/>
            </w:pPr>
            <w:r>
              <w:rPr>
                <w:rFonts w:ascii="Calibri" w:hAnsi="Calibri" w:eastAsia="Microsoft YaHei"/>
                <w:b/>
                <w:color w:val="008C95"/>
                <w:sz w:val="17"/>
              </w:rPr>
              <w:t>DIGITAL-TWIN RELEVANCE</w:t>
            </w:r>
          </w:p>
          <w:p>
            <w:pPr>
              <w:spacing w:after="0"/>
            </w:pPr>
            <w:r>
              <w:rPr>
                <w:rFonts w:ascii="Calibri" w:hAnsi="Calibri" w:eastAsia="Microsoft YaHei"/>
                <w:color w:val="0B2545"/>
                <w:sz w:val="20"/>
              </w:rPr>
              <w:t>是快离子孪生的高保真观测算子，可为代理模型、诊断设计和多诊断贝叶斯融合生成训练/验证数据。</w:t>
            </w:r>
          </w:p>
        </w:tc>
      </w:tr>
    </w:tbl>
    <w:p>
      <w:pPr>
        <w:spacing w:after="40"/>
      </w:pPr>
    </w:p>
    <w:tbl>
      <w:tblPr>
        <w:tblStyle w:val="TableGrid"/>
        <w:tblW w:type="dxa" w:w="9360"/>
        <w:jc w:val="left"/>
        <w:tblLayout w:type="fixed"/>
        <w:tblLook w:firstColumn="1" w:firstRow="1" w:lastColumn="0" w:lastRow="0" w:noHBand="0" w:noVBand="1" w:val="04A0"/>
        <w:tblInd w:w="120" w:type="dxa"/>
      </w:tblPr>
      <w:tblGrid>
        <w:gridCol w:w="850"/>
        <w:gridCol w:w="2500"/>
        <w:gridCol w:w="1600"/>
        <w:gridCol w:w="2300"/>
        <w:gridCol w:w="2110"/>
      </w:tblGrid>
      <w:tr>
        <w:trPr>
          <w:tblHeader w:val="true"/>
        </w:trPr>
        <w:tc>
          <w:tcPr>
            <w:tcW w:type="dxa" w:w="8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年份/类型</w:t>
            </w:r>
          </w:p>
        </w:tc>
        <w:tc>
          <w:tcPr>
            <w:tcW w:type="dxa" w:w="25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论文或软件</w:t>
            </w:r>
          </w:p>
        </w:tc>
        <w:tc>
          <w:tcPr>
            <w:tcW w:type="dxa" w:w="16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期刊/开放性</w:t>
            </w:r>
          </w:p>
        </w:tc>
        <w:tc>
          <w:tcPr>
            <w:tcW w:type="dxa" w:w="23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来源类型/关系</w:t>
            </w:r>
          </w:p>
        </w:tc>
        <w:tc>
          <w:tcPr>
            <w:tcW w:type="dxa" w:w="211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链接</w:t>
            </w:r>
          </w:p>
        </w:tc>
      </w:tr>
      <w:tr>
        <w:trPr>
          <w:cantSplit/>
        </w:trPr>
        <w:tc>
          <w:tcPr>
            <w:tcW w:type="dxa" w:w="850"/>
          </w:tcPr>
          <w:p>
            <w:pPr>
              <w:keepLines/>
              <w:spacing w:after="0" w:line="276" w:lineRule="auto"/>
            </w:pPr>
            <w:r>
              <w:rPr>
                <w:rFonts w:ascii="Calibri" w:hAnsi="Calibri" w:eastAsia="Microsoft YaHei"/>
                <w:color w:val="0B2545"/>
                <w:sz w:val="14"/>
              </w:rPr>
              <w:t>2020</w:t>
            </w:r>
          </w:p>
        </w:tc>
        <w:tc>
          <w:tcPr>
            <w:tcW w:type="dxa" w:w="2500"/>
          </w:tcPr>
          <w:p>
            <w:pPr>
              <w:keepLines/>
              <w:spacing w:after="0" w:line="276" w:lineRule="auto"/>
            </w:pPr>
            <w:r>
              <w:rPr>
                <w:rFonts w:ascii="Calibri" w:hAnsi="Calibri" w:eastAsia="Microsoft YaHei"/>
                <w:color w:val="0B2545"/>
                <w:sz w:val="14"/>
              </w:rPr>
              <w:t>Progress in modelling fast-ion D-alpha spectra and neutral particle analyzer fluxes using FIDASIM</w:t>
            </w:r>
          </w:p>
        </w:tc>
        <w:tc>
          <w:tcPr>
            <w:tcW w:type="dxa" w:w="1600"/>
          </w:tcPr>
          <w:p>
            <w:pPr>
              <w:keepLines/>
              <w:spacing w:after="0" w:line="276" w:lineRule="auto"/>
            </w:pPr>
            <w:r>
              <w:rPr>
                <w:rFonts w:ascii="Calibri" w:hAnsi="Calibri" w:eastAsia="Microsoft YaHei"/>
                <w:color w:val="0B2545"/>
                <w:sz w:val="14"/>
              </w:rPr>
              <w:t>Plasma Physics and Controlled Fusion</w:t>
            </w:r>
          </w:p>
        </w:tc>
        <w:tc>
          <w:tcPr>
            <w:tcW w:type="dxa" w:w="2300"/>
          </w:tcPr>
          <w:p>
            <w:pPr>
              <w:keepLines/>
              <w:spacing w:after="0" w:line="276" w:lineRule="auto"/>
            </w:pPr>
            <w:r>
              <w:rPr>
                <w:rFonts w:ascii="Calibri" w:hAnsi="Calibri" w:eastAsia="Microsoft YaHei"/>
                <w:color w:val="0B2545"/>
                <w:sz w:val="14"/>
              </w:rPr>
              <w:t>peer-reviewed primary multi-device report</w:t>
            </w:r>
          </w:p>
        </w:tc>
        <w:tc>
          <w:tcPr>
            <w:tcW w:type="dxa" w:w="2110"/>
          </w:tcPr>
          <w:p>
            <w:pPr>
              <w:keepLines/>
              <w:spacing w:after="0" w:line="276" w:lineRule="auto"/>
            </w:pPr>
            <w:hyperlink r:id="rId68">
              <w:r>
                <w:rPr>
                  <w:rFonts w:ascii="Calibri" w:hAnsi="Calibri" w:eastAsia="Microsoft YaHei"/>
                  <w:color w:val="008C95"/>
                  <w:u w:val="single"/>
                </w:rPr>
                <w:t>打开原始来源 ↗</w:t>
              </w:r>
            </w:hyperlink>
          </w:p>
        </w:tc>
      </w:tr>
      <w:tr>
        <w:trPr>
          <w:cantSplit/>
        </w:trPr>
        <w:tc>
          <w:tcPr>
            <w:tcW w:type="dxa" w:w="850"/>
          </w:tcPr>
          <w:p>
            <w:pPr>
              <w:keepLines/>
              <w:spacing w:after="0" w:line="276" w:lineRule="auto"/>
            </w:pPr>
            <w:r>
              <w:rPr>
                <w:rFonts w:ascii="Calibri" w:hAnsi="Calibri" w:eastAsia="Microsoft YaHei"/>
                <w:color w:val="0B2545"/>
                <w:sz w:val="14"/>
              </w:rPr>
              <w:t>软件</w:t>
            </w:r>
          </w:p>
        </w:tc>
        <w:tc>
          <w:tcPr>
            <w:tcW w:type="dxa" w:w="2500"/>
          </w:tcPr>
          <w:p>
            <w:pPr>
              <w:keepLines/>
              <w:spacing w:after="0" w:line="276" w:lineRule="auto"/>
            </w:pPr>
            <w:r>
              <w:rPr>
                <w:rFonts w:ascii="Calibri" w:hAnsi="Calibri" w:eastAsia="Microsoft YaHei"/>
                <w:color w:val="0B2545"/>
                <w:sz w:val="14"/>
              </w:rPr>
              <w:t>FIDASIM</w:t>
            </w:r>
          </w:p>
        </w:tc>
        <w:tc>
          <w:tcPr>
            <w:tcW w:type="dxa" w:w="1600"/>
          </w:tcPr>
          <w:p>
            <w:pPr>
              <w:keepLines/>
              <w:spacing w:after="0" w:line="276" w:lineRule="auto"/>
            </w:pPr>
            <w:r>
              <w:rPr>
                <w:rFonts w:ascii="Calibri" w:hAnsi="Calibri" w:eastAsia="Microsoft YaHei"/>
                <w:color w:val="0B2545"/>
                <w:sz w:val="14"/>
              </w:rPr>
              <w:t>official-direct</w:t>
            </w:r>
          </w:p>
        </w:tc>
        <w:tc>
          <w:tcPr>
            <w:tcW w:type="dxa" w:w="2300"/>
          </w:tcPr>
          <w:p>
            <w:pPr>
              <w:keepLines/>
              <w:spacing w:after="0" w:line="276" w:lineRule="auto"/>
            </w:pPr>
            <w:r>
              <w:rPr>
                <w:rFonts w:ascii="Calibri" w:hAnsi="Calibri" w:eastAsia="Microsoft YaHei"/>
                <w:color w:val="0B2545"/>
                <w:sz w:val="14"/>
              </w:rPr>
              <w:t>DIII-D Energetic Particle Physics 团队维护的官方仓库。</w:t>
            </w:r>
          </w:p>
        </w:tc>
        <w:tc>
          <w:tcPr>
            <w:tcW w:type="dxa" w:w="2110"/>
          </w:tcPr>
          <w:p>
            <w:pPr>
              <w:keepLines/>
              <w:spacing w:after="0" w:line="276" w:lineRule="auto"/>
            </w:pPr>
            <w:hyperlink r:id="rId66">
              <w:r>
                <w:rPr>
                  <w:rFonts w:ascii="Calibri" w:hAnsi="Calibri" w:eastAsia="Microsoft YaHei"/>
                  <w:color w:val="008C95"/>
                  <w:u w:val="single"/>
                </w:rPr>
                <w:t>打开原始来源 ↗</w:t>
              </w:r>
            </w:hyperlink>
          </w:p>
        </w:tc>
      </w:tr>
    </w:tbl>
    <w:p>
      <w:pPr>
        <w:spacing w:before="0" w:after="60"/>
      </w:pPr>
    </w:p>
    <w:p>
      <w:pPr>
        <w:pStyle w:val="Heading3"/>
        <w:keepNext/>
      </w:pPr>
      <w:r>
        <w:t>DG9.05  SOFT 逃逸电子同步辐射合成诊断</w:t>
      </w:r>
    </w:p>
    <w:p>
      <w:pPr>
        <w:keepNext/>
        <w:spacing w:after="80"/>
      </w:pPr>
      <w:r>
        <w:rPr>
          <w:rFonts w:ascii="Calibri" w:hAnsi="Calibri" w:eastAsia="Microsoft YaHei"/>
          <w:i/>
          <w:color w:val="566573"/>
          <w:sz w:val="18"/>
        </w:rPr>
        <w:t>SOFT Synthetic Synchrotron Diagnostic for Runaway Electrons</w:t>
      </w:r>
    </w:p>
    <w:tbl>
      <w:tblPr>
        <w:tblStyle w:val="TableGrid"/>
        <w:tblW w:type="dxa" w:w="9360"/>
        <w:jc w:val="left"/>
        <w:tblLayout w:type="fixed"/>
        <w:tblLook w:firstColumn="1" w:firstRow="1" w:lastColumn="0" w:lastRow="0" w:noHBand="0" w:noVBand="1" w:val="04A0"/>
        <w:tblInd w:w="120" w:type="dxa"/>
      </w:tblPr>
      <w:tblGrid>
        <w:gridCol w:w="1200"/>
        <w:gridCol w:w="750"/>
        <w:gridCol w:w="750"/>
        <w:gridCol w:w="2100"/>
        <w:gridCol w:w="4560"/>
      </w:tblGrid>
      <w:tr>
        <w:trPr>
          <w:tblHeader w:val="true"/>
        </w:trPr>
        <w:tc>
          <w:tcPr>
            <w:tcW w:type="dxa" w:w="12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工作 ID</w:t>
            </w:r>
          </w:p>
        </w:tc>
        <w:tc>
          <w:tcPr>
            <w:tcW w:type="dxa" w:w="7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证据</w:t>
            </w:r>
          </w:p>
        </w:tc>
        <w:tc>
          <w:tcPr>
            <w:tcW w:type="dxa" w:w="7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部署</w:t>
            </w:r>
          </w:p>
        </w:tc>
        <w:tc>
          <w:tcPr>
            <w:tcW w:type="dxa" w:w="21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技术族</w:t>
            </w:r>
          </w:p>
        </w:tc>
        <w:tc>
          <w:tcPr>
            <w:tcW w:type="dxa" w:w="456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装置</w:t>
            </w:r>
          </w:p>
        </w:tc>
      </w:tr>
      <w:tr>
        <w:trPr>
          <w:cantSplit/>
        </w:trPr>
        <w:tc>
          <w:tcPr>
            <w:tcW w:type="dxa" w:w="1200"/>
          </w:tcPr>
          <w:p>
            <w:pPr>
              <w:keepLines/>
              <w:spacing w:after="0" w:line="276" w:lineRule="auto"/>
            </w:pPr>
            <w:r>
              <w:rPr>
                <w:rFonts w:ascii="Calibri" w:hAnsi="Calibri" w:eastAsia="Microsoft YaHei"/>
                <w:color w:val="0B2545"/>
                <w:sz w:val="15"/>
              </w:rPr>
              <w:t>DSI-012</w:t>
            </w:r>
          </w:p>
        </w:tc>
        <w:tc>
          <w:tcPr>
            <w:tcW w:type="dxa" w:w="750"/>
          </w:tcPr>
          <w:p>
            <w:pPr>
              <w:keepLines/>
              <w:spacing w:after="0" w:line="276" w:lineRule="auto"/>
            </w:pPr>
            <w:r>
              <w:rPr>
                <w:rFonts w:ascii="Calibri" w:hAnsi="Calibri" w:eastAsia="Microsoft YaHei"/>
                <w:color w:val="0B2545"/>
                <w:sz w:val="15"/>
              </w:rPr>
              <w:t>E3</w:t>
            </w:r>
          </w:p>
        </w:tc>
        <w:tc>
          <w:tcPr>
            <w:tcW w:type="dxa" w:w="750"/>
          </w:tcPr>
          <w:p>
            <w:pPr>
              <w:keepLines/>
              <w:spacing w:after="0" w:line="276" w:lineRule="auto"/>
            </w:pPr>
            <w:r>
              <w:rPr>
                <w:rFonts w:ascii="Calibri" w:hAnsi="Calibri" w:eastAsia="Microsoft YaHei"/>
                <w:color w:val="0B2545"/>
                <w:sz w:val="15"/>
              </w:rPr>
              <w:t>D2</w:t>
            </w:r>
          </w:p>
        </w:tc>
        <w:tc>
          <w:tcPr>
            <w:tcW w:type="dxa" w:w="2100"/>
          </w:tcPr>
          <w:p>
            <w:pPr>
              <w:keepLines/>
              <w:spacing w:after="0" w:line="276" w:lineRule="auto"/>
            </w:pPr>
            <w:r>
              <w:rPr>
                <w:rFonts w:ascii="Calibri" w:hAnsi="Calibri" w:eastAsia="Microsoft YaHei"/>
                <w:color w:val="0B2545"/>
                <w:sz w:val="15"/>
              </w:rPr>
              <w:t>OPTICAL</w:t>
            </w:r>
          </w:p>
        </w:tc>
        <w:tc>
          <w:tcPr>
            <w:tcW w:type="dxa" w:w="4560"/>
          </w:tcPr>
          <w:p>
            <w:pPr>
              <w:keepLines/>
              <w:spacing w:after="0" w:line="276" w:lineRule="auto"/>
            </w:pPr>
            <w:r>
              <w:rPr>
                <w:rFonts w:ascii="Calibri" w:hAnsi="Calibri" w:eastAsia="Microsoft YaHei"/>
                <w:color w:val="0B2545"/>
                <w:sz w:val="15"/>
              </w:rPr>
              <w:t>Alcator C-Mod；TCV；ASDEX Upgrade；JT-60SA design；SPARC design；FTU；EAST</w:t>
            </w:r>
          </w:p>
        </w:tc>
      </w:tr>
    </w:tbl>
    <w:p>
      <w:pPr>
        <w:spacing w:before="0" w:after="60"/>
      </w:pPr>
    </w:p>
    <w:p>
      <w:pPr>
        <w:widowControl/>
      </w:pPr>
      <w:r>
        <w:rPr>
          <w:rFonts w:ascii="Calibri" w:hAnsi="Calibri" w:eastAsia="Microsoft YaHei"/>
          <w:b/>
          <w:color w:val="1F4D78"/>
        </w:rPr>
        <w:t>解决问题：</w:t>
      </w:r>
      <w:r>
        <w:rPr>
          <w:rFonts w:ascii="Calibri" w:hAnsi="Calibri" w:eastAsia="Microsoft YaHei"/>
        </w:rPr>
        <w:t>同步辐射图像强烈依赖磁场、观测方向和逃逸电子能量—俯仰—空间分布，简单局部发射模型会误判电子相空间。</w:t>
      </w:r>
    </w:p>
    <w:p>
      <w:pPr>
        <w:widowControl/>
      </w:pPr>
      <w:r>
        <w:rPr>
          <w:rFonts w:ascii="Calibri" w:hAnsi="Calibri" w:eastAsia="Microsoft YaHei"/>
          <w:b/>
          <w:color w:val="1F4D78"/>
        </w:rPr>
        <w:t>测量原理：</w:t>
      </w:r>
      <w:r>
        <w:rPr>
          <w:rFonts w:ascii="Calibri" w:hAnsi="Calibri" w:eastAsia="Microsoft YaHei"/>
        </w:rPr>
        <w:t>在给定磁平衡中追踪导引中心，计算相对论同步辐射的角度/频谱分布并投影到相机或光谱仪。</w:t>
      </w:r>
    </w:p>
    <w:p>
      <w:pPr>
        <w:widowControl/>
      </w:pPr>
      <w:r>
        <w:rPr>
          <w:rFonts w:ascii="Calibri" w:hAnsi="Calibri" w:eastAsia="Microsoft YaHei"/>
          <w:b/>
          <w:color w:val="1F4D78"/>
        </w:rPr>
        <w:t>测量产品：</w:t>
      </w:r>
      <w:r>
        <w:rPr>
          <w:rFonts w:ascii="Calibri" w:hAnsi="Calibri" w:eastAsia="Microsoft YaHei"/>
        </w:rPr>
        <w:t>synchrotron images；spectra；runaway energy/pitch sensitivity；emission Green functions</w:t>
      </w:r>
    </w:p>
    <w:p>
      <w:pPr>
        <w:widowControl/>
      </w:pPr>
      <w:r>
        <w:rPr>
          <w:rFonts w:ascii="Calibri" w:hAnsi="Calibri" w:eastAsia="Microsoft YaHei"/>
          <w:b/>
          <w:color w:val="1F4D78"/>
        </w:rPr>
        <w:t>时空分辨与覆盖：</w:t>
      </w:r>
      <w:r>
        <w:rPr>
          <w:rFonts w:ascii="Calibri" w:hAnsi="Calibri" w:eastAsia="Microsoft YaHei"/>
        </w:rPr>
        <w:t>时间：因装置、采集和分析链而异；原始来源未给出统一数值。；空间：由视线、几何和反演设定；原始来源未给出统一数值。</w:t>
      </w:r>
    </w:p>
    <w:p>
      <w:pPr>
        <w:widowControl/>
      </w:pPr>
      <w:r>
        <w:rPr>
          <w:rFonts w:ascii="Calibri" w:hAnsi="Calibri" w:eastAsia="Microsoft YaHei"/>
          <w:b/>
          <w:color w:val="1F4D78"/>
        </w:rPr>
        <w:t>仪器与传感器：</w:t>
      </w:r>
      <w:r>
        <w:rPr>
          <w:rFonts w:ascii="Calibri" w:hAnsi="Calibri" w:eastAsia="Microsoft YaHei"/>
        </w:rPr>
        <w:t>visible/IR cameras；spectrometers</w:t>
      </w:r>
    </w:p>
    <w:p>
      <w:pPr>
        <w:widowControl/>
      </w:pPr>
      <w:r>
        <w:rPr>
          <w:rFonts w:ascii="Calibri" w:hAnsi="Calibri" w:eastAsia="Microsoft YaHei"/>
          <w:b/>
          <w:color w:val="1F4D78"/>
        </w:rPr>
        <w:t>标定与质量：</w:t>
      </w:r>
      <w:r>
        <w:rPr>
          <w:rFonts w:ascii="Calibri" w:hAnsi="Calibri" w:eastAsia="Microsoft YaHei"/>
        </w:rPr>
        <w:t>依赖相机几何、光谱响应、绝对灵敏度和背景标定；前向模型需要与校准后的图像同单位比较。</w:t>
      </w:r>
    </w:p>
    <w:p>
      <w:pPr>
        <w:widowControl/>
      </w:pPr>
      <w:r>
        <w:rPr>
          <w:rFonts w:ascii="Calibri" w:hAnsi="Calibri" w:eastAsia="Microsoft YaHei"/>
          <w:b/>
          <w:color w:val="1F4D78"/>
        </w:rPr>
        <w:t>反演与分析：</w:t>
      </w:r>
      <w:r>
        <w:rPr>
          <w:rFonts w:ascii="Calibri" w:hAnsi="Calibri" w:eastAsia="Microsoft YaHei"/>
        </w:rPr>
        <w:t>parameter scans；distribution-function fitting；design assessment</w:t>
      </w:r>
    </w:p>
    <w:p>
      <w:pPr>
        <w:widowControl/>
      </w:pPr>
      <w:r>
        <w:rPr>
          <w:rFonts w:ascii="Calibri" w:hAnsi="Calibri" w:eastAsia="Microsoft YaHei"/>
          <w:b/>
          <w:color w:val="1F4D78"/>
        </w:rPr>
        <w:t>验证与应用：</w:t>
      </w:r>
      <w:r>
        <w:rPr>
          <w:rFonts w:ascii="Calibri" w:hAnsi="Calibri" w:eastAsia="Microsoft YaHei"/>
        </w:rPr>
        <w:t>原始论文重现 C-Mod 图像；TCV 垂直移动束实验与预测吻合；SPARC/JT-60SA 用于诊断设计可行性。</w:t>
      </w:r>
    </w:p>
    <w:p>
      <w:pPr>
        <w:widowControl/>
      </w:pPr>
      <w:r>
        <w:rPr>
          <w:rFonts w:ascii="Calibri" w:hAnsi="Calibri" w:eastAsia="Microsoft YaHei"/>
          <w:b/>
          <w:color w:val="1F4D78"/>
        </w:rPr>
        <w:t>局限与边界：</w:t>
      </w:r>
      <w:r>
        <w:rPr>
          <w:rFonts w:ascii="Calibri" w:hAnsi="Calibri" w:eastAsia="Microsoft YaHei"/>
        </w:rPr>
        <w:t>逃逸电子分布通常外部给定且反演不唯一；壁反射、背景、3D 扰动和碰撞/辐射动力学误差需联合评估。</w:t>
      </w:r>
    </w:p>
    <w:tbl>
      <w:tblPr>
        <w:tblStyle w:val="TableGrid"/>
        <w:tblW w:type="dxa" w:w="9360"/>
        <w:jc w:val="left"/>
        <w:tblLayout w:type="fixed"/>
        <w:tblLook w:firstColumn="1" w:firstRow="1" w:lastColumn="0" w:lastRow="0" w:noHBand="0" w:noVBand="1" w:val="04A0"/>
        <w:tblInd w:w="120" w:type="dxa"/>
      </w:tblPr>
      <w:tblGrid>
        <w:gridCol w:w="9360"/>
      </w:tblGrid>
      <w:tr>
        <w:trPr>
          <w:cantSplit/>
        </w:trPr>
        <w:tc>
          <w:tcPr>
            <w:tcW w:type="dxa" w:w="9360"/>
            <w:tcMar>
              <w:top w:w="80" w:type="dxa"/>
              <w:bottom w:w="80" w:type="dxa"/>
              <w:start w:w="120" w:type="dxa"/>
              <w:end w:w="120" w:type="dxa"/>
            </w:tcMar>
            <w:vAlign w:val="center"/>
            <w:shd w:fill="EEF7F7"/>
          </w:tcPr>
          <w:p>
            <w:pPr>
              <w:keepNext/>
              <w:keepLines/>
              <w:spacing w:after="40"/>
            </w:pPr>
            <w:r>
              <w:rPr>
                <w:rFonts w:ascii="Calibri" w:hAnsi="Calibri" w:eastAsia="Microsoft YaHei"/>
                <w:b/>
                <w:color w:val="008C95"/>
                <w:sz w:val="17"/>
              </w:rPr>
              <w:t>DIGITAL-TWIN RELEVANCE</w:t>
            </w:r>
          </w:p>
          <w:p>
            <w:pPr>
              <w:spacing w:after="0"/>
            </w:pPr>
            <w:r>
              <w:rPr>
                <w:rFonts w:ascii="Calibri" w:hAnsi="Calibri" w:eastAsia="Microsoft YaHei"/>
                <w:color w:val="0B2545"/>
                <w:sz w:val="20"/>
              </w:rPr>
              <w:t>把灾变快电子状态映射为真实相机信号，可用于风险场景回放、观测器设计和异常解释。</w:t>
            </w:r>
          </w:p>
        </w:tc>
      </w:tr>
    </w:tbl>
    <w:p>
      <w:pPr>
        <w:spacing w:after="40"/>
      </w:pPr>
    </w:p>
    <w:tbl>
      <w:tblPr>
        <w:tblStyle w:val="TableGrid"/>
        <w:tblW w:type="dxa" w:w="9360"/>
        <w:jc w:val="left"/>
        <w:tblLayout w:type="fixed"/>
        <w:tblLook w:firstColumn="1" w:firstRow="1" w:lastColumn="0" w:lastRow="0" w:noHBand="0" w:noVBand="1" w:val="04A0"/>
        <w:tblInd w:w="120" w:type="dxa"/>
      </w:tblPr>
      <w:tblGrid>
        <w:gridCol w:w="850"/>
        <w:gridCol w:w="2500"/>
        <w:gridCol w:w="1600"/>
        <w:gridCol w:w="2300"/>
        <w:gridCol w:w="2110"/>
      </w:tblGrid>
      <w:tr>
        <w:trPr>
          <w:tblHeader w:val="true"/>
        </w:trPr>
        <w:tc>
          <w:tcPr>
            <w:tcW w:type="dxa" w:w="8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年份/类型</w:t>
            </w:r>
          </w:p>
        </w:tc>
        <w:tc>
          <w:tcPr>
            <w:tcW w:type="dxa" w:w="25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论文或软件</w:t>
            </w:r>
          </w:p>
        </w:tc>
        <w:tc>
          <w:tcPr>
            <w:tcW w:type="dxa" w:w="16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期刊/开放性</w:t>
            </w:r>
          </w:p>
        </w:tc>
        <w:tc>
          <w:tcPr>
            <w:tcW w:type="dxa" w:w="23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来源类型/关系</w:t>
            </w:r>
          </w:p>
        </w:tc>
        <w:tc>
          <w:tcPr>
            <w:tcW w:type="dxa" w:w="211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链接</w:t>
            </w:r>
          </w:p>
        </w:tc>
      </w:tr>
      <w:tr>
        <w:trPr>
          <w:cantSplit/>
        </w:trPr>
        <w:tc>
          <w:tcPr>
            <w:tcW w:type="dxa" w:w="850"/>
          </w:tcPr>
          <w:p>
            <w:pPr>
              <w:keepLines/>
              <w:spacing w:after="0" w:line="276" w:lineRule="auto"/>
            </w:pPr>
            <w:r>
              <w:rPr>
                <w:rFonts w:ascii="Calibri" w:hAnsi="Calibri" w:eastAsia="Microsoft YaHei"/>
                <w:color w:val="0B2545"/>
                <w:sz w:val="14"/>
              </w:rPr>
              <w:t>2018</w:t>
            </w:r>
          </w:p>
        </w:tc>
        <w:tc>
          <w:tcPr>
            <w:tcW w:type="dxa" w:w="2500"/>
          </w:tcPr>
          <w:p>
            <w:pPr>
              <w:keepLines/>
              <w:spacing w:after="0" w:line="276" w:lineRule="auto"/>
            </w:pPr>
            <w:r>
              <w:rPr>
                <w:rFonts w:ascii="Calibri" w:hAnsi="Calibri" w:eastAsia="Microsoft YaHei"/>
                <w:color w:val="0B2545"/>
                <w:sz w:val="14"/>
              </w:rPr>
              <w:t>SOFT: a synthetic synchrotron diagnostic for runaway electrons</w:t>
            </w:r>
          </w:p>
        </w:tc>
        <w:tc>
          <w:tcPr>
            <w:tcW w:type="dxa" w:w="1600"/>
          </w:tcPr>
          <w:p>
            <w:pPr>
              <w:keepLines/>
              <w:spacing w:after="0" w:line="276" w:lineRule="auto"/>
            </w:pPr>
            <w:r>
              <w:rPr>
                <w:rFonts w:ascii="Calibri" w:hAnsi="Calibri" w:eastAsia="Microsoft YaHei"/>
                <w:color w:val="0B2545"/>
                <w:sz w:val="14"/>
              </w:rPr>
              <w:t>Nuclear Fusion</w:t>
            </w:r>
          </w:p>
        </w:tc>
        <w:tc>
          <w:tcPr>
            <w:tcW w:type="dxa" w:w="2300"/>
          </w:tcPr>
          <w:p>
            <w:pPr>
              <w:keepLines/>
              <w:spacing w:after="0" w:line="276" w:lineRule="auto"/>
            </w:pPr>
            <w:r>
              <w:rPr>
                <w:rFonts w:ascii="Calibri" w:hAnsi="Calibri" w:eastAsia="Microsoft YaHei"/>
                <w:color w:val="0B2545"/>
                <w:sz w:val="14"/>
              </w:rPr>
              <w:t>peer-reviewed primary validation</w:t>
            </w:r>
          </w:p>
        </w:tc>
        <w:tc>
          <w:tcPr>
            <w:tcW w:type="dxa" w:w="2110"/>
          </w:tcPr>
          <w:p>
            <w:pPr>
              <w:keepLines/>
              <w:spacing w:after="0" w:line="276" w:lineRule="auto"/>
            </w:pPr>
            <w:hyperlink r:id="rId167">
              <w:r>
                <w:rPr>
                  <w:rFonts w:ascii="Calibri" w:hAnsi="Calibri" w:eastAsia="Microsoft YaHei"/>
                  <w:color w:val="008C95"/>
                  <w:u w:val="single"/>
                </w:rPr>
                <w:t>打开原始来源 ↗</w:t>
              </w:r>
            </w:hyperlink>
          </w:p>
        </w:tc>
      </w:tr>
      <w:tr>
        <w:trPr>
          <w:cantSplit/>
        </w:trPr>
        <w:tc>
          <w:tcPr>
            <w:tcW w:type="dxa" w:w="850"/>
          </w:tcPr>
          <w:p>
            <w:pPr>
              <w:keepLines/>
              <w:spacing w:after="0" w:line="276" w:lineRule="auto"/>
            </w:pPr>
            <w:r>
              <w:rPr>
                <w:rFonts w:ascii="Calibri" w:hAnsi="Calibri" w:eastAsia="Microsoft YaHei"/>
                <w:color w:val="0B2545"/>
                <w:sz w:val="14"/>
              </w:rPr>
              <w:t>2024</w:t>
            </w:r>
          </w:p>
        </w:tc>
        <w:tc>
          <w:tcPr>
            <w:tcW w:type="dxa" w:w="2500"/>
          </w:tcPr>
          <w:p>
            <w:pPr>
              <w:keepLines/>
              <w:spacing w:after="0" w:line="276" w:lineRule="auto"/>
            </w:pPr>
            <w:r>
              <w:rPr>
                <w:rFonts w:ascii="Calibri" w:hAnsi="Calibri" w:eastAsia="Microsoft YaHei"/>
                <w:color w:val="0B2545"/>
                <w:sz w:val="14"/>
              </w:rPr>
              <w:t>Synthetic measurements of runaway electron synchrotron emission in the SPARC tokamak</w:t>
            </w:r>
          </w:p>
        </w:tc>
        <w:tc>
          <w:tcPr>
            <w:tcW w:type="dxa" w:w="1600"/>
          </w:tcPr>
          <w:p>
            <w:pPr>
              <w:keepLines/>
              <w:spacing w:after="0" w:line="276" w:lineRule="auto"/>
            </w:pPr>
            <w:r>
              <w:rPr>
                <w:rFonts w:ascii="Calibri" w:hAnsi="Calibri" w:eastAsia="Microsoft YaHei"/>
                <w:color w:val="0B2545"/>
                <w:sz w:val="14"/>
              </w:rPr>
              <w:t>Review of Scientific Instruments</w:t>
            </w:r>
          </w:p>
        </w:tc>
        <w:tc>
          <w:tcPr>
            <w:tcW w:type="dxa" w:w="2300"/>
          </w:tcPr>
          <w:p>
            <w:pPr>
              <w:keepLines/>
              <w:spacing w:after="0" w:line="276" w:lineRule="auto"/>
            </w:pPr>
            <w:r>
              <w:rPr>
                <w:rFonts w:ascii="Calibri" w:hAnsi="Calibri" w:eastAsia="Microsoft YaHei"/>
                <w:color w:val="0B2545"/>
                <w:sz w:val="14"/>
              </w:rPr>
              <w:t>peer-reviewed primary design study</w:t>
            </w:r>
          </w:p>
        </w:tc>
        <w:tc>
          <w:tcPr>
            <w:tcW w:type="dxa" w:w="2110"/>
          </w:tcPr>
          <w:p>
            <w:pPr>
              <w:keepLines/>
              <w:spacing w:after="0" w:line="276" w:lineRule="auto"/>
            </w:pPr>
            <w:hyperlink r:id="rId168">
              <w:r>
                <w:rPr>
                  <w:rFonts w:ascii="Calibri" w:hAnsi="Calibri" w:eastAsia="Microsoft YaHei"/>
                  <w:color w:val="008C95"/>
                  <w:u w:val="single"/>
                </w:rPr>
                <w:t>打开原始来源 ↗</w:t>
              </w:r>
            </w:hyperlink>
          </w:p>
        </w:tc>
      </w:tr>
      <w:tr>
        <w:trPr>
          <w:cantSplit/>
        </w:trPr>
        <w:tc>
          <w:tcPr>
            <w:tcW w:type="dxa" w:w="850"/>
          </w:tcPr>
          <w:p>
            <w:pPr>
              <w:keepLines/>
              <w:spacing w:after="0" w:line="276" w:lineRule="auto"/>
            </w:pPr>
            <w:r>
              <w:rPr>
                <w:rFonts w:ascii="Calibri" w:hAnsi="Calibri" w:eastAsia="Microsoft YaHei"/>
                <w:color w:val="0B2545"/>
                <w:sz w:val="14"/>
              </w:rPr>
              <w:t>软件</w:t>
            </w:r>
          </w:p>
        </w:tc>
        <w:tc>
          <w:tcPr>
            <w:tcW w:type="dxa" w:w="2500"/>
          </w:tcPr>
          <w:p>
            <w:pPr>
              <w:keepLines/>
              <w:spacing w:after="0" w:line="276" w:lineRule="auto"/>
            </w:pPr>
            <w:r>
              <w:rPr>
                <w:rFonts w:ascii="Calibri" w:hAnsi="Calibri" w:eastAsia="Microsoft YaHei"/>
                <w:color w:val="0B2545"/>
                <w:sz w:val="14"/>
              </w:rPr>
              <w:t>SOFT</w:t>
            </w:r>
          </w:p>
        </w:tc>
        <w:tc>
          <w:tcPr>
            <w:tcW w:type="dxa" w:w="1600"/>
          </w:tcPr>
          <w:p>
            <w:pPr>
              <w:keepLines/>
              <w:spacing w:after="0" w:line="276" w:lineRule="auto"/>
            </w:pPr>
            <w:r>
              <w:rPr>
                <w:rFonts w:ascii="Calibri" w:hAnsi="Calibri" w:eastAsia="Microsoft YaHei"/>
                <w:color w:val="0B2545"/>
                <w:sz w:val="14"/>
              </w:rPr>
              <w:t>official-direct</w:t>
            </w:r>
          </w:p>
        </w:tc>
        <w:tc>
          <w:tcPr>
            <w:tcW w:type="dxa" w:w="2300"/>
          </w:tcPr>
          <w:p>
            <w:pPr>
              <w:keepLines/>
              <w:spacing w:after="0" w:line="276" w:lineRule="auto"/>
            </w:pPr>
            <w:r>
              <w:rPr>
                <w:rFonts w:ascii="Calibri" w:hAnsi="Calibri" w:eastAsia="Microsoft YaHei"/>
                <w:color w:val="0B2545"/>
                <w:sz w:val="14"/>
              </w:rPr>
              <w:t>主要作者维护的官方公开仓库。</w:t>
            </w:r>
          </w:p>
        </w:tc>
        <w:tc>
          <w:tcPr>
            <w:tcW w:type="dxa" w:w="2110"/>
          </w:tcPr>
          <w:p>
            <w:pPr>
              <w:keepLines/>
              <w:spacing w:after="0" w:line="276" w:lineRule="auto"/>
            </w:pPr>
            <w:hyperlink r:id="rId169">
              <w:r>
                <w:rPr>
                  <w:rFonts w:ascii="Calibri" w:hAnsi="Calibri" w:eastAsia="Microsoft YaHei"/>
                  <w:color w:val="008C95"/>
                  <w:u w:val="single"/>
                </w:rPr>
                <w:t>打开原始来源 ↗</w:t>
              </w:r>
            </w:hyperlink>
          </w:p>
        </w:tc>
      </w:tr>
    </w:tbl>
    <w:p>
      <w:pPr>
        <w:spacing w:before="0" w:after="60"/>
      </w:pPr>
    </w:p>
    <w:p>
      <w:pPr>
        <w:pStyle w:val="Heading3"/>
        <w:keepNext/>
      </w:pPr>
      <w:r>
        <w:t>DG9.06  ToFu 三维几何、辐射前向模型与层析工具箱</w:t>
      </w:r>
    </w:p>
    <w:p>
      <w:pPr>
        <w:keepNext/>
        <w:spacing w:after="80"/>
      </w:pPr>
      <w:r>
        <w:rPr>
          <w:rFonts w:ascii="Calibri" w:hAnsi="Calibri" w:eastAsia="Microsoft YaHei"/>
          <w:i/>
          <w:color w:val="566573"/>
          <w:sz w:val="18"/>
        </w:rPr>
        <w:t>ToFu 3D Geometry, Radiation Forward Modelling and Tomography</w:t>
      </w:r>
    </w:p>
    <w:tbl>
      <w:tblPr>
        <w:tblStyle w:val="TableGrid"/>
        <w:tblW w:type="dxa" w:w="9360"/>
        <w:jc w:val="left"/>
        <w:tblLayout w:type="fixed"/>
        <w:tblLook w:firstColumn="1" w:firstRow="1" w:lastColumn="0" w:lastRow="0" w:noHBand="0" w:noVBand="1" w:val="04A0"/>
        <w:tblInd w:w="120" w:type="dxa"/>
      </w:tblPr>
      <w:tblGrid>
        <w:gridCol w:w="1200"/>
        <w:gridCol w:w="750"/>
        <w:gridCol w:w="750"/>
        <w:gridCol w:w="2100"/>
        <w:gridCol w:w="4560"/>
      </w:tblGrid>
      <w:tr>
        <w:trPr>
          <w:tblHeader w:val="true"/>
        </w:trPr>
        <w:tc>
          <w:tcPr>
            <w:tcW w:type="dxa" w:w="12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工作 ID</w:t>
            </w:r>
          </w:p>
        </w:tc>
        <w:tc>
          <w:tcPr>
            <w:tcW w:type="dxa" w:w="7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证据</w:t>
            </w:r>
          </w:p>
        </w:tc>
        <w:tc>
          <w:tcPr>
            <w:tcW w:type="dxa" w:w="7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部署</w:t>
            </w:r>
          </w:p>
        </w:tc>
        <w:tc>
          <w:tcPr>
            <w:tcW w:type="dxa" w:w="21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技术族</w:t>
            </w:r>
          </w:p>
        </w:tc>
        <w:tc>
          <w:tcPr>
            <w:tcW w:type="dxa" w:w="456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装置</w:t>
            </w:r>
          </w:p>
        </w:tc>
      </w:tr>
      <w:tr>
        <w:trPr>
          <w:cantSplit/>
        </w:trPr>
        <w:tc>
          <w:tcPr>
            <w:tcW w:type="dxa" w:w="1200"/>
          </w:tcPr>
          <w:p>
            <w:pPr>
              <w:keepLines/>
              <w:spacing w:after="0" w:line="276" w:lineRule="auto"/>
            </w:pPr>
            <w:r>
              <w:rPr>
                <w:rFonts w:ascii="Calibri" w:hAnsi="Calibri" w:eastAsia="Microsoft YaHei"/>
                <w:color w:val="0B2545"/>
                <w:sz w:val="15"/>
              </w:rPr>
              <w:t>DSI-013</w:t>
            </w:r>
          </w:p>
        </w:tc>
        <w:tc>
          <w:tcPr>
            <w:tcW w:type="dxa" w:w="750"/>
          </w:tcPr>
          <w:p>
            <w:pPr>
              <w:keepLines/>
              <w:spacing w:after="0" w:line="276" w:lineRule="auto"/>
            </w:pPr>
            <w:r>
              <w:rPr>
                <w:rFonts w:ascii="Calibri" w:hAnsi="Calibri" w:eastAsia="Microsoft YaHei"/>
                <w:color w:val="0B2545"/>
                <w:sz w:val="15"/>
              </w:rPr>
              <w:t>E2</w:t>
            </w:r>
          </w:p>
        </w:tc>
        <w:tc>
          <w:tcPr>
            <w:tcW w:type="dxa" w:w="750"/>
          </w:tcPr>
          <w:p>
            <w:pPr>
              <w:keepLines/>
              <w:spacing w:after="0" w:line="276" w:lineRule="auto"/>
            </w:pPr>
            <w:r>
              <w:rPr>
                <w:rFonts w:ascii="Calibri" w:hAnsi="Calibri" w:eastAsia="Microsoft YaHei"/>
                <w:color w:val="0B2545"/>
                <w:sz w:val="15"/>
              </w:rPr>
              <w:t>D2</w:t>
            </w:r>
          </w:p>
        </w:tc>
        <w:tc>
          <w:tcPr>
            <w:tcW w:type="dxa" w:w="2100"/>
          </w:tcPr>
          <w:p>
            <w:pPr>
              <w:keepLines/>
              <w:spacing w:after="0" w:line="276" w:lineRule="auto"/>
            </w:pPr>
            <w:r>
              <w:rPr>
                <w:rFonts w:ascii="Calibri" w:hAnsi="Calibri" w:eastAsia="Microsoft YaHei"/>
                <w:color w:val="0B2545"/>
                <w:sz w:val="15"/>
              </w:rPr>
              <w:t>OPTICAL</w:t>
            </w:r>
          </w:p>
        </w:tc>
        <w:tc>
          <w:tcPr>
            <w:tcW w:type="dxa" w:w="4560"/>
          </w:tcPr>
          <w:p>
            <w:pPr>
              <w:keepLines/>
              <w:spacing w:after="0" w:line="276" w:lineRule="auto"/>
            </w:pPr>
            <w:r>
              <w:rPr>
                <w:rFonts w:ascii="Calibri" w:hAnsi="Calibri" w:eastAsia="Microsoft YaHei"/>
                <w:color w:val="0B2545"/>
                <w:sz w:val="15"/>
              </w:rPr>
              <w:t>WEST；JET/ITER-oriented geometries；generic tokamaks and stellarators</w:t>
            </w:r>
          </w:p>
        </w:tc>
      </w:tr>
    </w:tbl>
    <w:p>
      <w:pPr>
        <w:spacing w:before="0" w:after="60"/>
      </w:pPr>
    </w:p>
    <w:p>
      <w:pPr>
        <w:widowControl/>
      </w:pPr>
      <w:r>
        <w:rPr>
          <w:rFonts w:ascii="Calibri" w:hAnsi="Calibri" w:eastAsia="Microsoft YaHei"/>
          <w:b/>
          <w:color w:val="1F4D78"/>
        </w:rPr>
        <w:t>解决问题：</w:t>
      </w:r>
      <w:r>
        <w:rPr>
          <w:rFonts w:ascii="Calibri" w:hAnsi="Calibri" w:eastAsia="Microsoft YaHei"/>
        </w:rPr>
        <w:t>辐射诊断需要在同一工具中管理装置 CAD、孔径/探测器几何、视线矩阵、合成信号和反演。</w:t>
      </w:r>
    </w:p>
    <w:p>
      <w:pPr>
        <w:widowControl/>
      </w:pPr>
      <w:r>
        <w:rPr>
          <w:rFonts w:ascii="Calibri" w:hAnsi="Calibri" w:eastAsia="Microsoft YaHei"/>
          <w:b/>
          <w:color w:val="1F4D78"/>
        </w:rPr>
        <w:t>测量原理：</w:t>
      </w:r>
      <w:r>
        <w:rPr>
          <w:rFonts w:ascii="Calibri" w:hAnsi="Calibri" w:eastAsia="Microsoft YaHei"/>
        </w:rPr>
        <w:t>从三维几何建立通道可见性与积分算子，将二维/三维发射率投影为通道信号，并提供逆问题算法。</w:t>
      </w:r>
    </w:p>
    <w:p>
      <w:pPr>
        <w:widowControl/>
      </w:pPr>
      <w:r>
        <w:rPr>
          <w:rFonts w:ascii="Calibri" w:hAnsi="Calibri" w:eastAsia="Microsoft YaHei"/>
          <w:b/>
          <w:color w:val="1F4D78"/>
        </w:rPr>
        <w:t>测量产品：</w:t>
      </w:r>
      <w:r>
        <w:rPr>
          <w:rFonts w:ascii="Calibri" w:hAnsi="Calibri" w:eastAsia="Microsoft YaHei"/>
        </w:rPr>
        <w:t>emissivity；line-integrated brightness；visibility matrices；tomographic maps</w:t>
      </w:r>
    </w:p>
    <w:p>
      <w:pPr>
        <w:widowControl/>
      </w:pPr>
      <w:r>
        <w:rPr>
          <w:rFonts w:ascii="Calibri" w:hAnsi="Calibri" w:eastAsia="Microsoft YaHei"/>
          <w:b/>
          <w:color w:val="1F4D78"/>
        </w:rPr>
        <w:t>时空分辨与覆盖：</w:t>
      </w:r>
      <w:r>
        <w:rPr>
          <w:rFonts w:ascii="Calibri" w:hAnsi="Calibri" w:eastAsia="Microsoft YaHei"/>
        </w:rPr>
        <w:t>时间：因装置、采集和分析链而异；原始来源未给出统一数值。；空间：由视线、几何和反演设定；原始来源未给出统一数值。</w:t>
      </w:r>
    </w:p>
    <w:p>
      <w:pPr>
        <w:widowControl/>
      </w:pPr>
      <w:r>
        <w:rPr>
          <w:rFonts w:ascii="Calibri" w:hAnsi="Calibri" w:eastAsia="Microsoft YaHei"/>
          <w:b/>
          <w:color w:val="1F4D78"/>
        </w:rPr>
        <w:t>仪器与传感器：</w:t>
      </w:r>
      <w:r>
        <w:rPr>
          <w:rFonts w:ascii="Calibri" w:hAnsi="Calibri" w:eastAsia="Microsoft YaHei"/>
        </w:rPr>
        <w:t>bolometers；soft-x-ray arrays；cameras；spectrometers</w:t>
      </w:r>
    </w:p>
    <w:p>
      <w:pPr>
        <w:widowControl/>
      </w:pPr>
      <w:r>
        <w:rPr>
          <w:rFonts w:ascii="Calibri" w:hAnsi="Calibri" w:eastAsia="Microsoft YaHei"/>
          <w:b/>
          <w:color w:val="1F4D78"/>
        </w:rPr>
        <w:t>标定与质量：</w:t>
      </w:r>
      <w:r>
        <w:rPr>
          <w:rFonts w:ascii="Calibri" w:hAnsi="Calibri" w:eastAsia="Microsoft YaHei"/>
        </w:rPr>
        <w:t>可保存通道几何与响应；绝对标定、坏道和时变遮挡仍需作为数据输入和误差模型。</w:t>
      </w:r>
    </w:p>
    <w:p>
      <w:pPr>
        <w:widowControl/>
      </w:pPr>
      <w:r>
        <w:rPr>
          <w:rFonts w:ascii="Calibri" w:hAnsi="Calibri" w:eastAsia="Microsoft YaHei"/>
          <w:b/>
          <w:color w:val="1F4D78"/>
        </w:rPr>
        <w:t>反演与分析：</w:t>
      </w:r>
      <w:r>
        <w:rPr>
          <w:rFonts w:ascii="Calibri" w:hAnsi="Calibri" w:eastAsia="Microsoft YaHei"/>
        </w:rPr>
        <w:t>forward projection；tomographic inversion；geometry optimisation</w:t>
      </w:r>
    </w:p>
    <w:p>
      <w:pPr>
        <w:widowControl/>
      </w:pPr>
      <w:r>
        <w:rPr>
          <w:rFonts w:ascii="Calibri" w:hAnsi="Calibri" w:eastAsia="Microsoft YaHei"/>
          <w:b/>
          <w:color w:val="1F4D78"/>
        </w:rPr>
        <w:t>验证与应用：</w:t>
      </w:r>
      <w:r>
        <w:rPr>
          <w:rFonts w:ascii="Calibri" w:hAnsi="Calibri" w:eastAsia="Microsoft YaHei"/>
        </w:rPr>
        <w:t>官方仓库包含几何、合成信号和反演示例及测试；被用于聚变诊断设计与分析工作流。</w:t>
      </w:r>
    </w:p>
    <w:p>
      <w:pPr>
        <w:widowControl/>
      </w:pPr>
      <w:r>
        <w:rPr>
          <w:rFonts w:ascii="Calibri" w:hAnsi="Calibri" w:eastAsia="Microsoft YaHei"/>
          <w:b/>
          <w:color w:val="1F4D78"/>
        </w:rPr>
        <w:t>局限与边界：</w:t>
      </w:r>
      <w:r>
        <w:rPr>
          <w:rFonts w:ascii="Calibri" w:hAnsi="Calibri" w:eastAsia="Microsoft YaHei"/>
        </w:rPr>
        <w:t>物理发射模型覆盖不如专用光谱代码；复杂反射、非线性探测器和完整协方差需外接。</w:t>
      </w:r>
    </w:p>
    <w:tbl>
      <w:tblPr>
        <w:tblStyle w:val="TableGrid"/>
        <w:tblW w:type="dxa" w:w="9360"/>
        <w:jc w:val="left"/>
        <w:tblLayout w:type="fixed"/>
        <w:tblLook w:firstColumn="1" w:firstRow="1" w:lastColumn="0" w:lastRow="0" w:noHBand="0" w:noVBand="1" w:val="04A0"/>
        <w:tblInd w:w="120" w:type="dxa"/>
      </w:tblPr>
      <w:tblGrid>
        <w:gridCol w:w="9360"/>
      </w:tblGrid>
      <w:tr>
        <w:trPr>
          <w:cantSplit/>
        </w:trPr>
        <w:tc>
          <w:tcPr>
            <w:tcW w:type="dxa" w:w="9360"/>
            <w:tcMar>
              <w:top w:w="80" w:type="dxa"/>
              <w:bottom w:w="80" w:type="dxa"/>
              <w:start w:w="120" w:type="dxa"/>
              <w:end w:w="120" w:type="dxa"/>
            </w:tcMar>
            <w:vAlign w:val="center"/>
            <w:shd w:fill="EEF7F7"/>
          </w:tcPr>
          <w:p>
            <w:pPr>
              <w:keepNext/>
              <w:keepLines/>
              <w:spacing w:after="40"/>
            </w:pPr>
            <w:r>
              <w:rPr>
                <w:rFonts w:ascii="Calibri" w:hAnsi="Calibri" w:eastAsia="Microsoft YaHei"/>
                <w:b/>
                <w:color w:val="008C95"/>
                <w:sz w:val="17"/>
              </w:rPr>
              <w:t>DIGITAL-TWIN RELEVANCE</w:t>
            </w:r>
          </w:p>
          <w:p>
            <w:pPr>
              <w:spacing w:after="0"/>
            </w:pPr>
            <w:r>
              <w:rPr>
                <w:rFonts w:ascii="Calibri" w:hAnsi="Calibri" w:eastAsia="Microsoft YaHei"/>
                <w:color w:val="0B2545"/>
                <w:sz w:val="20"/>
              </w:rPr>
              <w:t>适合建立可版本化的“几何—观测矩阵—反演”资产，并在 CAD 更新后自动重算。</w:t>
            </w:r>
          </w:p>
        </w:tc>
      </w:tr>
    </w:tbl>
    <w:p>
      <w:pPr>
        <w:spacing w:after="40"/>
      </w:pPr>
    </w:p>
    <w:tbl>
      <w:tblPr>
        <w:tblStyle w:val="TableGrid"/>
        <w:tblW w:type="dxa" w:w="9360"/>
        <w:jc w:val="left"/>
        <w:tblLayout w:type="fixed"/>
        <w:tblLook w:firstColumn="1" w:firstRow="1" w:lastColumn="0" w:lastRow="0" w:noHBand="0" w:noVBand="1" w:val="04A0"/>
        <w:tblInd w:w="120" w:type="dxa"/>
      </w:tblPr>
      <w:tblGrid>
        <w:gridCol w:w="850"/>
        <w:gridCol w:w="2500"/>
        <w:gridCol w:w="1600"/>
        <w:gridCol w:w="2300"/>
        <w:gridCol w:w="2110"/>
      </w:tblGrid>
      <w:tr>
        <w:trPr>
          <w:tblHeader w:val="true"/>
        </w:trPr>
        <w:tc>
          <w:tcPr>
            <w:tcW w:type="dxa" w:w="8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年份/类型</w:t>
            </w:r>
          </w:p>
        </w:tc>
        <w:tc>
          <w:tcPr>
            <w:tcW w:type="dxa" w:w="25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论文或软件</w:t>
            </w:r>
          </w:p>
        </w:tc>
        <w:tc>
          <w:tcPr>
            <w:tcW w:type="dxa" w:w="16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期刊/开放性</w:t>
            </w:r>
          </w:p>
        </w:tc>
        <w:tc>
          <w:tcPr>
            <w:tcW w:type="dxa" w:w="23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来源类型/关系</w:t>
            </w:r>
          </w:p>
        </w:tc>
        <w:tc>
          <w:tcPr>
            <w:tcW w:type="dxa" w:w="211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链接</w:t>
            </w:r>
          </w:p>
        </w:tc>
      </w:tr>
      <w:tr>
        <w:trPr>
          <w:cantSplit/>
        </w:trPr>
        <w:tc>
          <w:tcPr>
            <w:tcW w:type="dxa" w:w="850"/>
          </w:tcPr>
          <w:p>
            <w:pPr>
              <w:keepLines/>
              <w:spacing w:after="0" w:line="276" w:lineRule="auto"/>
            </w:pPr>
            <w:r>
              <w:rPr>
                <w:rFonts w:ascii="Calibri" w:hAnsi="Calibri" w:eastAsia="Microsoft YaHei"/>
                <w:color w:val="0B2545"/>
                <w:sz w:val="14"/>
              </w:rPr>
              <w:t>2026</w:t>
            </w:r>
          </w:p>
        </w:tc>
        <w:tc>
          <w:tcPr>
            <w:tcW w:type="dxa" w:w="2500"/>
          </w:tcPr>
          <w:p>
            <w:pPr>
              <w:keepLines/>
              <w:spacing w:after="0" w:line="276" w:lineRule="auto"/>
            </w:pPr>
            <w:r>
              <w:rPr>
                <w:rFonts w:ascii="Calibri" w:hAnsi="Calibri" w:eastAsia="Microsoft YaHei"/>
                <w:color w:val="0B2545"/>
                <w:sz w:val="14"/>
              </w:rPr>
              <w:t>ToFu official documentation</w:t>
            </w:r>
          </w:p>
        </w:tc>
        <w:tc>
          <w:tcPr>
            <w:tcW w:type="dxa" w:w="1600"/>
          </w:tcPr>
          <w:p>
            <w:pPr>
              <w:keepLines/>
              <w:spacing w:after="0" w:line="276" w:lineRule="auto"/>
            </w:pPr>
            <w:r>
              <w:rPr>
                <w:rFonts w:ascii="Calibri" w:hAnsi="Calibri" w:eastAsia="Microsoft YaHei"/>
                <w:color w:val="0B2545"/>
                <w:sz w:val="14"/>
              </w:rPr>
              <w:t>原始论文 / 官方来源</w:t>
            </w:r>
          </w:p>
        </w:tc>
        <w:tc>
          <w:tcPr>
            <w:tcW w:type="dxa" w:w="2300"/>
          </w:tcPr>
          <w:p>
            <w:pPr>
              <w:keepLines/>
              <w:spacing w:after="0" w:line="276" w:lineRule="auto"/>
            </w:pPr>
            <w:r>
              <w:rPr>
                <w:rFonts w:ascii="Calibri" w:hAnsi="Calibri" w:eastAsia="Microsoft YaHei"/>
                <w:color w:val="0B2545"/>
                <w:sz w:val="14"/>
              </w:rPr>
              <w:t>official project documentation</w:t>
            </w:r>
          </w:p>
        </w:tc>
        <w:tc>
          <w:tcPr>
            <w:tcW w:type="dxa" w:w="2110"/>
          </w:tcPr>
          <w:p>
            <w:pPr>
              <w:keepLines/>
              <w:spacing w:after="0" w:line="276" w:lineRule="auto"/>
            </w:pPr>
            <w:hyperlink r:id="rId170">
              <w:r>
                <w:rPr>
                  <w:rFonts w:ascii="Calibri" w:hAnsi="Calibri" w:eastAsia="Microsoft YaHei"/>
                  <w:color w:val="008C95"/>
                  <w:u w:val="single"/>
                </w:rPr>
                <w:t>打开原始来源 ↗</w:t>
              </w:r>
            </w:hyperlink>
          </w:p>
        </w:tc>
      </w:tr>
      <w:tr>
        <w:trPr>
          <w:cantSplit/>
        </w:trPr>
        <w:tc>
          <w:tcPr>
            <w:tcW w:type="dxa" w:w="850"/>
          </w:tcPr>
          <w:p>
            <w:pPr>
              <w:keepLines/>
              <w:spacing w:after="0" w:line="276" w:lineRule="auto"/>
            </w:pPr>
            <w:r>
              <w:rPr>
                <w:rFonts w:ascii="Calibri" w:hAnsi="Calibri" w:eastAsia="Microsoft YaHei"/>
                <w:color w:val="0B2545"/>
                <w:sz w:val="14"/>
              </w:rPr>
              <w:t>软件</w:t>
            </w:r>
          </w:p>
        </w:tc>
        <w:tc>
          <w:tcPr>
            <w:tcW w:type="dxa" w:w="2500"/>
          </w:tcPr>
          <w:p>
            <w:pPr>
              <w:keepLines/>
              <w:spacing w:after="0" w:line="276" w:lineRule="auto"/>
            </w:pPr>
            <w:r>
              <w:rPr>
                <w:rFonts w:ascii="Calibri" w:hAnsi="Calibri" w:eastAsia="Microsoft YaHei"/>
                <w:color w:val="0B2545"/>
                <w:sz w:val="14"/>
              </w:rPr>
              <w:t>ToFu</w:t>
            </w:r>
          </w:p>
        </w:tc>
        <w:tc>
          <w:tcPr>
            <w:tcW w:type="dxa" w:w="1600"/>
          </w:tcPr>
          <w:p>
            <w:pPr>
              <w:keepLines/>
              <w:spacing w:after="0" w:line="276" w:lineRule="auto"/>
            </w:pPr>
            <w:r>
              <w:rPr>
                <w:rFonts w:ascii="Calibri" w:hAnsi="Calibri" w:eastAsia="Microsoft YaHei"/>
                <w:color w:val="0B2545"/>
                <w:sz w:val="14"/>
              </w:rPr>
              <w:t>official-direct</w:t>
            </w:r>
          </w:p>
        </w:tc>
        <w:tc>
          <w:tcPr>
            <w:tcW w:type="dxa" w:w="2300"/>
          </w:tcPr>
          <w:p>
            <w:pPr>
              <w:keepLines/>
              <w:spacing w:after="0" w:line="276" w:lineRule="auto"/>
            </w:pPr>
            <w:r>
              <w:rPr>
                <w:rFonts w:ascii="Calibri" w:hAnsi="Calibri" w:eastAsia="Microsoft YaHei"/>
                <w:color w:val="0B2545"/>
                <w:sz w:val="14"/>
              </w:rPr>
              <w:t>ToFuProject 官方公开仓库，含几何、前向与反演实现。</w:t>
            </w:r>
          </w:p>
        </w:tc>
        <w:tc>
          <w:tcPr>
            <w:tcW w:type="dxa" w:w="2110"/>
          </w:tcPr>
          <w:p>
            <w:pPr>
              <w:keepLines/>
              <w:spacing w:after="0" w:line="276" w:lineRule="auto"/>
            </w:pPr>
            <w:hyperlink r:id="rId171">
              <w:r>
                <w:rPr>
                  <w:rFonts w:ascii="Calibri" w:hAnsi="Calibri" w:eastAsia="Microsoft YaHei"/>
                  <w:color w:val="008C95"/>
                  <w:u w:val="single"/>
                </w:rPr>
                <w:t>打开原始来源 ↗</w:t>
              </w:r>
            </w:hyperlink>
          </w:p>
        </w:tc>
      </w:tr>
    </w:tbl>
    <w:p>
      <w:pPr>
        <w:spacing w:before="0" w:after="60"/>
      </w:pPr>
    </w:p>
    <w:p>
      <w:pPr>
        <w:pStyle w:val="Heading3"/>
        <w:keepNext/>
      </w:pPr>
      <w:r>
        <w:t>DG9.07  XICSRT 晶体 X 射线成像光谱射线追踪</w:t>
      </w:r>
    </w:p>
    <w:p>
      <w:pPr>
        <w:keepNext/>
        <w:spacing w:after="80"/>
      </w:pPr>
      <w:r>
        <w:rPr>
          <w:rFonts w:ascii="Calibri" w:hAnsi="Calibri" w:eastAsia="Microsoft YaHei"/>
          <w:i/>
          <w:color w:val="566573"/>
          <w:sz w:val="18"/>
        </w:rPr>
        <w:t>XICSRT X-ray Crystal Imaging Spectrometer Ray Tracing</w:t>
      </w:r>
    </w:p>
    <w:tbl>
      <w:tblPr>
        <w:tblStyle w:val="TableGrid"/>
        <w:tblW w:type="dxa" w:w="9360"/>
        <w:jc w:val="left"/>
        <w:tblLayout w:type="fixed"/>
        <w:tblLook w:firstColumn="1" w:firstRow="1" w:lastColumn="0" w:lastRow="0" w:noHBand="0" w:noVBand="1" w:val="04A0"/>
        <w:tblInd w:w="120" w:type="dxa"/>
      </w:tblPr>
      <w:tblGrid>
        <w:gridCol w:w="1200"/>
        <w:gridCol w:w="750"/>
        <w:gridCol w:w="750"/>
        <w:gridCol w:w="2100"/>
        <w:gridCol w:w="4560"/>
      </w:tblGrid>
      <w:tr>
        <w:trPr>
          <w:tblHeader w:val="true"/>
        </w:trPr>
        <w:tc>
          <w:tcPr>
            <w:tcW w:type="dxa" w:w="12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工作 ID</w:t>
            </w:r>
          </w:p>
        </w:tc>
        <w:tc>
          <w:tcPr>
            <w:tcW w:type="dxa" w:w="7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证据</w:t>
            </w:r>
          </w:p>
        </w:tc>
        <w:tc>
          <w:tcPr>
            <w:tcW w:type="dxa" w:w="7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部署</w:t>
            </w:r>
          </w:p>
        </w:tc>
        <w:tc>
          <w:tcPr>
            <w:tcW w:type="dxa" w:w="21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技术族</w:t>
            </w:r>
          </w:p>
        </w:tc>
        <w:tc>
          <w:tcPr>
            <w:tcW w:type="dxa" w:w="456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装置</w:t>
            </w:r>
          </w:p>
        </w:tc>
      </w:tr>
      <w:tr>
        <w:trPr>
          <w:cantSplit/>
        </w:trPr>
        <w:tc>
          <w:tcPr>
            <w:tcW w:type="dxa" w:w="1200"/>
          </w:tcPr>
          <w:p>
            <w:pPr>
              <w:keepLines/>
              <w:spacing w:after="0" w:line="276" w:lineRule="auto"/>
            </w:pPr>
            <w:r>
              <w:rPr>
                <w:rFonts w:ascii="Calibri" w:hAnsi="Calibri" w:eastAsia="Microsoft YaHei"/>
                <w:color w:val="0B2545"/>
                <w:sz w:val="15"/>
              </w:rPr>
              <w:t>DSI-015</w:t>
            </w:r>
          </w:p>
        </w:tc>
        <w:tc>
          <w:tcPr>
            <w:tcW w:type="dxa" w:w="750"/>
          </w:tcPr>
          <w:p>
            <w:pPr>
              <w:keepLines/>
              <w:spacing w:after="0" w:line="276" w:lineRule="auto"/>
            </w:pPr>
            <w:r>
              <w:rPr>
                <w:rFonts w:ascii="Calibri" w:hAnsi="Calibri" w:eastAsia="Microsoft YaHei"/>
                <w:color w:val="0B2545"/>
                <w:sz w:val="15"/>
              </w:rPr>
              <w:t>E2</w:t>
            </w:r>
          </w:p>
        </w:tc>
        <w:tc>
          <w:tcPr>
            <w:tcW w:type="dxa" w:w="750"/>
          </w:tcPr>
          <w:p>
            <w:pPr>
              <w:keepLines/>
              <w:spacing w:after="0" w:line="276" w:lineRule="auto"/>
            </w:pPr>
            <w:r>
              <w:rPr>
                <w:rFonts w:ascii="Calibri" w:hAnsi="Calibri" w:eastAsia="Microsoft YaHei"/>
                <w:color w:val="0B2545"/>
                <w:sz w:val="15"/>
              </w:rPr>
              <w:t>D2</w:t>
            </w:r>
          </w:p>
        </w:tc>
        <w:tc>
          <w:tcPr>
            <w:tcW w:type="dxa" w:w="2100"/>
          </w:tcPr>
          <w:p>
            <w:pPr>
              <w:keepLines/>
              <w:spacing w:after="0" w:line="276" w:lineRule="auto"/>
            </w:pPr>
            <w:r>
              <w:rPr>
                <w:rFonts w:ascii="Calibri" w:hAnsi="Calibri" w:eastAsia="Microsoft YaHei"/>
                <w:color w:val="0B2545"/>
                <w:sz w:val="15"/>
              </w:rPr>
              <w:t>OPTICAL</w:t>
            </w:r>
          </w:p>
        </w:tc>
        <w:tc>
          <w:tcPr>
            <w:tcW w:type="dxa" w:w="4560"/>
          </w:tcPr>
          <w:p>
            <w:pPr>
              <w:keepLines/>
              <w:spacing w:after="0" w:line="276" w:lineRule="auto"/>
            </w:pPr>
            <w:r>
              <w:rPr>
                <w:rFonts w:ascii="Calibri" w:hAnsi="Calibri" w:eastAsia="Microsoft YaHei"/>
                <w:color w:val="0B2545"/>
                <w:sz w:val="15"/>
              </w:rPr>
              <w:t>W7-X；ITER XRCS-Core design；NIF-related crystal systems</w:t>
            </w:r>
          </w:p>
        </w:tc>
      </w:tr>
    </w:tbl>
    <w:p>
      <w:pPr>
        <w:spacing w:before="0" w:after="60"/>
      </w:pPr>
    </w:p>
    <w:p>
      <w:pPr>
        <w:widowControl/>
      </w:pPr>
      <w:r>
        <w:rPr>
          <w:rFonts w:ascii="Calibri" w:hAnsi="Calibri" w:eastAsia="Microsoft YaHei"/>
          <w:b/>
          <w:color w:val="1F4D78"/>
        </w:rPr>
        <w:t>解决问题：</w:t>
      </w:r>
      <w:r>
        <w:rPr>
          <w:rFonts w:ascii="Calibri" w:hAnsi="Calibri" w:eastAsia="Microsoft YaHei"/>
        </w:rPr>
        <w:t>XICS/XRCS 的弯晶、像差、空间—光谱耦合和有限探测器几何难以用解析公式充分描述。</w:t>
      </w:r>
    </w:p>
    <w:p>
      <w:pPr>
        <w:widowControl/>
      </w:pPr>
      <w:r>
        <w:rPr>
          <w:rFonts w:ascii="Calibri" w:hAnsi="Calibri" w:eastAsia="Microsoft YaHei"/>
          <w:b/>
          <w:color w:val="1F4D78"/>
        </w:rPr>
        <w:t>测量原理：</w:t>
      </w:r>
      <w:r>
        <w:rPr>
          <w:rFonts w:ascii="Calibri" w:hAnsi="Calibri" w:eastAsia="Microsoft YaHei"/>
        </w:rPr>
        <w:t>发射光子在三维场景中传播，经晶体 Bragg 反射与摇摆曲线采样后到达探测器，生成合成二维谱图。</w:t>
      </w:r>
    </w:p>
    <w:p>
      <w:pPr>
        <w:widowControl/>
      </w:pPr>
      <w:r>
        <w:rPr>
          <w:rFonts w:ascii="Calibri" w:hAnsi="Calibri" w:eastAsia="Microsoft YaHei"/>
          <w:b/>
          <w:color w:val="1F4D78"/>
        </w:rPr>
        <w:t>测量产品：</w:t>
      </w:r>
      <w:r>
        <w:rPr>
          <w:rFonts w:ascii="Calibri" w:hAnsi="Calibri" w:eastAsia="Microsoft YaHei"/>
        </w:rPr>
        <w:t>x-ray spectral images；instrument function；Bragg response；spatial/spectral resolution</w:t>
      </w:r>
    </w:p>
    <w:p>
      <w:pPr>
        <w:widowControl/>
      </w:pPr>
      <w:r>
        <w:rPr>
          <w:rFonts w:ascii="Calibri" w:hAnsi="Calibri" w:eastAsia="Microsoft YaHei"/>
          <w:b/>
          <w:color w:val="1F4D78"/>
        </w:rPr>
        <w:t>时空分辨与覆盖：</w:t>
      </w:r>
      <w:r>
        <w:rPr>
          <w:rFonts w:ascii="Calibri" w:hAnsi="Calibri" w:eastAsia="Microsoft YaHei"/>
        </w:rPr>
        <w:t>时间：因装置、采集和分析链而异；原始来源未给出统一数值。；空间：由视线、几何和反演设定；原始来源未给出统一数值。</w:t>
      </w:r>
    </w:p>
    <w:p>
      <w:pPr>
        <w:widowControl/>
      </w:pPr>
      <w:r>
        <w:rPr>
          <w:rFonts w:ascii="Calibri" w:hAnsi="Calibri" w:eastAsia="Microsoft YaHei"/>
          <w:b/>
          <w:color w:val="1F4D78"/>
        </w:rPr>
        <w:t>仪器与传感器：</w:t>
      </w:r>
      <w:r>
        <w:rPr>
          <w:rFonts w:ascii="Calibri" w:hAnsi="Calibri" w:eastAsia="Microsoft YaHei"/>
        </w:rPr>
        <w:t>bent crystals；x-ray detectors；collimators</w:t>
      </w:r>
    </w:p>
    <w:p>
      <w:pPr>
        <w:widowControl/>
      </w:pPr>
      <w:r>
        <w:rPr>
          <w:rFonts w:ascii="Calibri" w:hAnsi="Calibri" w:eastAsia="Microsoft YaHei"/>
          <w:b/>
          <w:color w:val="1F4D78"/>
        </w:rPr>
        <w:t>标定与质量：</w:t>
      </w:r>
      <w:r>
        <w:rPr>
          <w:rFonts w:ascii="Calibri" w:hAnsi="Calibri" w:eastAsia="Microsoft YaHei"/>
        </w:rPr>
        <w:t>需要晶体曲率/取向、晶格常数、摇摆曲线、探测器像素和能量响应；可用已知线源或装置谱线闭合。</w:t>
      </w:r>
    </w:p>
    <w:p>
      <w:pPr>
        <w:widowControl/>
      </w:pPr>
      <w:r>
        <w:rPr>
          <w:rFonts w:ascii="Calibri" w:hAnsi="Calibri" w:eastAsia="Microsoft YaHei"/>
          <w:b/>
          <w:color w:val="1F4D78"/>
        </w:rPr>
        <w:t>反演与分析：</w:t>
      </w:r>
      <w:r>
        <w:rPr>
          <w:rFonts w:ascii="Calibri" w:hAnsi="Calibri" w:eastAsia="Microsoft YaHei"/>
        </w:rPr>
        <w:t>instrument response；spectral image synthesis；design optimisation</w:t>
      </w:r>
    </w:p>
    <w:p>
      <w:pPr>
        <w:widowControl/>
      </w:pPr>
      <w:r>
        <w:rPr>
          <w:rFonts w:ascii="Calibri" w:hAnsi="Calibri" w:eastAsia="Microsoft YaHei"/>
          <w:b/>
          <w:color w:val="1F4D78"/>
        </w:rPr>
        <w:t>验证与应用：</w:t>
      </w:r>
      <w:r>
        <w:rPr>
          <w:rFonts w:ascii="Calibri" w:hAnsi="Calibri" w:eastAsia="Microsoft YaHei"/>
        </w:rPr>
        <w:t>官方项目包含分析基准和装置几何示例；ITER XRCS-Core 工作用其评估成像和光谱性能。</w:t>
      </w:r>
    </w:p>
    <w:p>
      <w:pPr>
        <w:widowControl/>
      </w:pPr>
      <w:r>
        <w:rPr>
          <w:rFonts w:ascii="Calibri" w:hAnsi="Calibri" w:eastAsia="Microsoft YaHei"/>
          <w:b/>
          <w:color w:val="1F4D78"/>
        </w:rPr>
        <w:t>局限与边界：</w:t>
      </w:r>
      <w:r>
        <w:rPr>
          <w:rFonts w:ascii="Calibri" w:hAnsi="Calibri" w:eastAsia="Microsoft YaHei"/>
        </w:rPr>
        <w:t>等离子体发射与原子模型需外部输入；晶体缺陷、辐照漂移和背景散射模型有限。</w:t>
      </w:r>
    </w:p>
    <w:tbl>
      <w:tblPr>
        <w:tblStyle w:val="TableGrid"/>
        <w:tblW w:type="dxa" w:w="9360"/>
        <w:jc w:val="left"/>
        <w:tblLayout w:type="fixed"/>
        <w:tblLook w:firstColumn="1" w:firstRow="1" w:lastColumn="0" w:lastRow="0" w:noHBand="0" w:noVBand="1" w:val="04A0"/>
        <w:tblInd w:w="120" w:type="dxa"/>
      </w:tblPr>
      <w:tblGrid>
        <w:gridCol w:w="9360"/>
      </w:tblGrid>
      <w:tr>
        <w:trPr>
          <w:cantSplit/>
        </w:trPr>
        <w:tc>
          <w:tcPr>
            <w:tcW w:type="dxa" w:w="9360"/>
            <w:tcMar>
              <w:top w:w="80" w:type="dxa"/>
              <w:bottom w:w="80" w:type="dxa"/>
              <w:start w:w="120" w:type="dxa"/>
              <w:end w:w="120" w:type="dxa"/>
            </w:tcMar>
            <w:vAlign w:val="center"/>
            <w:shd w:fill="EEF7F7"/>
          </w:tcPr>
          <w:p>
            <w:pPr>
              <w:keepNext/>
              <w:keepLines/>
              <w:spacing w:after="40"/>
            </w:pPr>
            <w:r>
              <w:rPr>
                <w:rFonts w:ascii="Calibri" w:hAnsi="Calibri" w:eastAsia="Microsoft YaHei"/>
                <w:b/>
                <w:color w:val="008C95"/>
                <w:sz w:val="17"/>
              </w:rPr>
              <w:t>DIGITAL-TWIN RELEVANCE</w:t>
            </w:r>
          </w:p>
          <w:p>
            <w:pPr>
              <w:spacing w:after="0"/>
            </w:pPr>
            <w:r>
              <w:rPr>
                <w:rFonts w:ascii="Calibri" w:hAnsi="Calibri" w:eastAsia="Microsoft YaHei"/>
                <w:color w:val="0B2545"/>
                <w:sz w:val="20"/>
              </w:rPr>
              <w:t>把核心离子/杂质状态变为真实探测器平面的二维证据，是晶体光谱孪生的观测算子。</w:t>
            </w:r>
          </w:p>
        </w:tc>
      </w:tr>
    </w:tbl>
    <w:p>
      <w:pPr>
        <w:spacing w:after="40"/>
      </w:pPr>
    </w:p>
    <w:tbl>
      <w:tblPr>
        <w:tblStyle w:val="TableGrid"/>
        <w:tblW w:type="dxa" w:w="9360"/>
        <w:jc w:val="left"/>
        <w:tblLayout w:type="fixed"/>
        <w:tblLook w:firstColumn="1" w:firstRow="1" w:lastColumn="0" w:lastRow="0" w:noHBand="0" w:noVBand="1" w:val="04A0"/>
        <w:tblInd w:w="120" w:type="dxa"/>
      </w:tblPr>
      <w:tblGrid>
        <w:gridCol w:w="850"/>
        <w:gridCol w:w="2500"/>
        <w:gridCol w:w="1600"/>
        <w:gridCol w:w="2300"/>
        <w:gridCol w:w="2110"/>
      </w:tblGrid>
      <w:tr>
        <w:trPr>
          <w:tblHeader w:val="true"/>
        </w:trPr>
        <w:tc>
          <w:tcPr>
            <w:tcW w:type="dxa" w:w="8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年份/类型</w:t>
            </w:r>
          </w:p>
        </w:tc>
        <w:tc>
          <w:tcPr>
            <w:tcW w:type="dxa" w:w="25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论文或软件</w:t>
            </w:r>
          </w:p>
        </w:tc>
        <w:tc>
          <w:tcPr>
            <w:tcW w:type="dxa" w:w="16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期刊/开放性</w:t>
            </w:r>
          </w:p>
        </w:tc>
        <w:tc>
          <w:tcPr>
            <w:tcW w:type="dxa" w:w="23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来源类型/关系</w:t>
            </w:r>
          </w:p>
        </w:tc>
        <w:tc>
          <w:tcPr>
            <w:tcW w:type="dxa" w:w="211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链接</w:t>
            </w:r>
          </w:p>
        </w:tc>
      </w:tr>
      <w:tr>
        <w:trPr>
          <w:cantSplit/>
        </w:trPr>
        <w:tc>
          <w:tcPr>
            <w:tcW w:type="dxa" w:w="850"/>
          </w:tcPr>
          <w:p>
            <w:pPr>
              <w:keepLines/>
              <w:spacing w:after="0" w:line="276" w:lineRule="auto"/>
            </w:pPr>
            <w:r>
              <w:rPr>
                <w:rFonts w:ascii="Calibri" w:hAnsi="Calibri" w:eastAsia="Microsoft YaHei"/>
                <w:color w:val="0B2545"/>
                <w:sz w:val="14"/>
              </w:rPr>
              <w:t>2026</w:t>
            </w:r>
          </w:p>
        </w:tc>
        <w:tc>
          <w:tcPr>
            <w:tcW w:type="dxa" w:w="2500"/>
          </w:tcPr>
          <w:p>
            <w:pPr>
              <w:keepLines/>
              <w:spacing w:after="0" w:line="276" w:lineRule="auto"/>
            </w:pPr>
            <w:r>
              <w:rPr>
                <w:rFonts w:ascii="Calibri" w:hAnsi="Calibri" w:eastAsia="Microsoft YaHei"/>
                <w:color w:val="0B2545"/>
                <w:sz w:val="14"/>
              </w:rPr>
              <w:t>XICSRT documentation</w:t>
            </w:r>
          </w:p>
        </w:tc>
        <w:tc>
          <w:tcPr>
            <w:tcW w:type="dxa" w:w="1600"/>
          </w:tcPr>
          <w:p>
            <w:pPr>
              <w:keepLines/>
              <w:spacing w:after="0" w:line="276" w:lineRule="auto"/>
            </w:pPr>
            <w:r>
              <w:rPr>
                <w:rFonts w:ascii="Calibri" w:hAnsi="Calibri" w:eastAsia="Microsoft YaHei"/>
                <w:color w:val="0B2545"/>
                <w:sz w:val="14"/>
              </w:rPr>
              <w:t>原始论文 / 官方来源</w:t>
            </w:r>
          </w:p>
        </w:tc>
        <w:tc>
          <w:tcPr>
            <w:tcW w:type="dxa" w:w="2300"/>
          </w:tcPr>
          <w:p>
            <w:pPr>
              <w:keepLines/>
              <w:spacing w:after="0" w:line="276" w:lineRule="auto"/>
            </w:pPr>
            <w:r>
              <w:rPr>
                <w:rFonts w:ascii="Calibri" w:hAnsi="Calibri" w:eastAsia="Microsoft YaHei"/>
                <w:color w:val="0B2545"/>
                <w:sz w:val="14"/>
              </w:rPr>
              <w:t>official project documentation</w:t>
            </w:r>
          </w:p>
        </w:tc>
        <w:tc>
          <w:tcPr>
            <w:tcW w:type="dxa" w:w="2110"/>
          </w:tcPr>
          <w:p>
            <w:pPr>
              <w:keepLines/>
              <w:spacing w:after="0" w:line="276" w:lineRule="auto"/>
            </w:pPr>
            <w:hyperlink r:id="rId172">
              <w:r>
                <w:rPr>
                  <w:rFonts w:ascii="Calibri" w:hAnsi="Calibri" w:eastAsia="Microsoft YaHei"/>
                  <w:color w:val="008C95"/>
                  <w:u w:val="single"/>
                </w:rPr>
                <w:t>打开原始来源 ↗</w:t>
              </w:r>
            </w:hyperlink>
          </w:p>
        </w:tc>
      </w:tr>
      <w:tr>
        <w:trPr>
          <w:cantSplit/>
        </w:trPr>
        <w:tc>
          <w:tcPr>
            <w:tcW w:type="dxa" w:w="850"/>
          </w:tcPr>
          <w:p>
            <w:pPr>
              <w:keepLines/>
              <w:spacing w:after="0" w:line="276" w:lineRule="auto"/>
            </w:pPr>
            <w:r>
              <w:rPr>
                <w:rFonts w:ascii="Calibri" w:hAnsi="Calibri" w:eastAsia="Microsoft YaHei"/>
                <w:color w:val="0B2545"/>
                <w:sz w:val="14"/>
              </w:rPr>
              <w:t>2020</w:t>
            </w:r>
          </w:p>
        </w:tc>
        <w:tc>
          <w:tcPr>
            <w:tcW w:type="dxa" w:w="2500"/>
          </w:tcPr>
          <w:p>
            <w:pPr>
              <w:keepLines/>
              <w:spacing w:after="0" w:line="276" w:lineRule="auto"/>
            </w:pPr>
            <w:r>
              <w:rPr>
                <w:rFonts w:ascii="Calibri" w:hAnsi="Calibri" w:eastAsia="Microsoft YaHei"/>
                <w:color w:val="0B2545"/>
                <w:sz w:val="14"/>
              </w:rPr>
              <w:t>Synthetic modeling of ITER XRCS-Core diagnostic</w:t>
            </w:r>
          </w:p>
        </w:tc>
        <w:tc>
          <w:tcPr>
            <w:tcW w:type="dxa" w:w="1600"/>
          </w:tcPr>
          <w:p>
            <w:pPr>
              <w:keepLines/>
              <w:spacing w:after="0" w:line="276" w:lineRule="auto"/>
            </w:pPr>
            <w:r>
              <w:rPr>
                <w:rFonts w:ascii="Calibri" w:hAnsi="Calibri" w:eastAsia="Microsoft YaHei"/>
                <w:color w:val="0B2545"/>
                <w:sz w:val="14"/>
              </w:rPr>
              <w:t>原始论文 / 官方来源</w:t>
            </w:r>
          </w:p>
        </w:tc>
        <w:tc>
          <w:tcPr>
            <w:tcW w:type="dxa" w:w="2300"/>
          </w:tcPr>
          <w:p>
            <w:pPr>
              <w:keepLines/>
              <w:spacing w:after="0" w:line="276" w:lineRule="auto"/>
            </w:pPr>
            <w:r>
              <w:rPr>
                <w:rFonts w:ascii="Calibri" w:hAnsi="Calibri" w:eastAsia="Microsoft YaHei"/>
                <w:color w:val="0B2545"/>
                <w:sz w:val="14"/>
              </w:rPr>
              <w:t>APS primary conference abstract</w:t>
            </w:r>
          </w:p>
        </w:tc>
        <w:tc>
          <w:tcPr>
            <w:tcW w:type="dxa" w:w="2110"/>
          </w:tcPr>
          <w:p>
            <w:pPr>
              <w:keepLines/>
              <w:spacing w:after="0" w:line="276" w:lineRule="auto"/>
            </w:pPr>
            <w:hyperlink r:id="rId173">
              <w:r>
                <w:rPr>
                  <w:rFonts w:ascii="Calibri" w:hAnsi="Calibri" w:eastAsia="Microsoft YaHei"/>
                  <w:color w:val="008C95"/>
                  <w:u w:val="single"/>
                </w:rPr>
                <w:t>打开原始来源 ↗</w:t>
              </w:r>
            </w:hyperlink>
          </w:p>
        </w:tc>
      </w:tr>
      <w:tr>
        <w:trPr>
          <w:cantSplit/>
        </w:trPr>
        <w:tc>
          <w:tcPr>
            <w:tcW w:type="dxa" w:w="850"/>
          </w:tcPr>
          <w:p>
            <w:pPr>
              <w:keepLines/>
              <w:spacing w:after="0" w:line="276" w:lineRule="auto"/>
            </w:pPr>
            <w:r>
              <w:rPr>
                <w:rFonts w:ascii="Calibri" w:hAnsi="Calibri" w:eastAsia="Microsoft YaHei"/>
                <w:color w:val="0B2545"/>
                <w:sz w:val="14"/>
              </w:rPr>
              <w:t>软件</w:t>
            </w:r>
          </w:p>
        </w:tc>
        <w:tc>
          <w:tcPr>
            <w:tcW w:type="dxa" w:w="2500"/>
          </w:tcPr>
          <w:p>
            <w:pPr>
              <w:keepLines/>
              <w:spacing w:after="0" w:line="276" w:lineRule="auto"/>
            </w:pPr>
            <w:r>
              <w:rPr>
                <w:rFonts w:ascii="Calibri" w:hAnsi="Calibri" w:eastAsia="Microsoft YaHei"/>
                <w:color w:val="0B2545"/>
                <w:sz w:val="14"/>
              </w:rPr>
              <w:t>XICSRT</w:t>
            </w:r>
          </w:p>
        </w:tc>
        <w:tc>
          <w:tcPr>
            <w:tcW w:type="dxa" w:w="1600"/>
          </w:tcPr>
          <w:p>
            <w:pPr>
              <w:keepLines/>
              <w:spacing w:after="0" w:line="276" w:lineRule="auto"/>
            </w:pPr>
            <w:r>
              <w:rPr>
                <w:rFonts w:ascii="Calibri" w:hAnsi="Calibri" w:eastAsia="Microsoft YaHei"/>
                <w:color w:val="0B2545"/>
                <w:sz w:val="14"/>
              </w:rPr>
              <w:t>official-direct</w:t>
            </w:r>
          </w:p>
        </w:tc>
        <w:tc>
          <w:tcPr>
            <w:tcW w:type="dxa" w:w="2300"/>
          </w:tcPr>
          <w:p>
            <w:pPr>
              <w:keepLines/>
              <w:spacing w:after="0" w:line="276" w:lineRule="auto"/>
            </w:pPr>
            <w:r>
              <w:rPr>
                <w:rFonts w:ascii="Calibri" w:hAnsi="Calibri" w:eastAsia="Microsoft YaHei"/>
                <w:color w:val="0B2545"/>
                <w:sz w:val="14"/>
              </w:rPr>
              <w:t>Princeton University 官方组织下的开源仓库。</w:t>
            </w:r>
          </w:p>
        </w:tc>
        <w:tc>
          <w:tcPr>
            <w:tcW w:type="dxa" w:w="2110"/>
          </w:tcPr>
          <w:p>
            <w:pPr>
              <w:keepLines/>
              <w:spacing w:after="0" w:line="276" w:lineRule="auto"/>
            </w:pPr>
            <w:hyperlink r:id="rId174">
              <w:r>
                <w:rPr>
                  <w:rFonts w:ascii="Calibri" w:hAnsi="Calibri" w:eastAsia="Microsoft YaHei"/>
                  <w:color w:val="008C95"/>
                  <w:u w:val="single"/>
                </w:rPr>
                <w:t>打开原始来源 ↗</w:t>
              </w:r>
            </w:hyperlink>
          </w:p>
        </w:tc>
      </w:tr>
    </w:tbl>
    <w:p>
      <w:pPr>
        <w:spacing w:before="0" w:after="60"/>
      </w:pPr>
    </w:p>
    <w:p>
      <w:pPr>
        <w:pStyle w:val="Heading3"/>
        <w:keepNext/>
      </w:pPr>
      <w:r>
        <w:t>DG9.08  ECRad 电子回旋辐射输运与 ECE 合成诊断</w:t>
      </w:r>
    </w:p>
    <w:p>
      <w:pPr>
        <w:keepNext/>
        <w:spacing w:after="80"/>
      </w:pPr>
      <w:r>
        <w:rPr>
          <w:rFonts w:ascii="Calibri" w:hAnsi="Calibri" w:eastAsia="Microsoft YaHei"/>
          <w:i/>
          <w:color w:val="566573"/>
          <w:sz w:val="18"/>
        </w:rPr>
        <w:t>ECRad Electron Cyclotron Radiation Transport and Synthetic ECE</w:t>
      </w:r>
    </w:p>
    <w:tbl>
      <w:tblPr>
        <w:tblStyle w:val="TableGrid"/>
        <w:tblW w:type="dxa" w:w="9360"/>
        <w:jc w:val="left"/>
        <w:tblLayout w:type="fixed"/>
        <w:tblLook w:firstColumn="1" w:firstRow="1" w:lastColumn="0" w:lastRow="0" w:noHBand="0" w:noVBand="1" w:val="04A0"/>
        <w:tblInd w:w="120" w:type="dxa"/>
      </w:tblPr>
      <w:tblGrid>
        <w:gridCol w:w="1200"/>
        <w:gridCol w:w="750"/>
        <w:gridCol w:w="750"/>
        <w:gridCol w:w="2100"/>
        <w:gridCol w:w="4560"/>
      </w:tblGrid>
      <w:tr>
        <w:trPr>
          <w:tblHeader w:val="true"/>
        </w:trPr>
        <w:tc>
          <w:tcPr>
            <w:tcW w:type="dxa" w:w="12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工作 ID</w:t>
            </w:r>
          </w:p>
        </w:tc>
        <w:tc>
          <w:tcPr>
            <w:tcW w:type="dxa" w:w="7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证据</w:t>
            </w:r>
          </w:p>
        </w:tc>
        <w:tc>
          <w:tcPr>
            <w:tcW w:type="dxa" w:w="7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部署</w:t>
            </w:r>
          </w:p>
        </w:tc>
        <w:tc>
          <w:tcPr>
            <w:tcW w:type="dxa" w:w="21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技术族</w:t>
            </w:r>
          </w:p>
        </w:tc>
        <w:tc>
          <w:tcPr>
            <w:tcW w:type="dxa" w:w="456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装置</w:t>
            </w:r>
          </w:p>
        </w:tc>
      </w:tr>
      <w:tr>
        <w:trPr>
          <w:cantSplit/>
        </w:trPr>
        <w:tc>
          <w:tcPr>
            <w:tcW w:type="dxa" w:w="1200"/>
          </w:tcPr>
          <w:p>
            <w:pPr>
              <w:keepLines/>
              <w:spacing w:after="0" w:line="276" w:lineRule="auto"/>
            </w:pPr>
            <w:r>
              <w:rPr>
                <w:rFonts w:ascii="Calibri" w:hAnsi="Calibri" w:eastAsia="Microsoft YaHei"/>
                <w:color w:val="0B2545"/>
                <w:sz w:val="15"/>
              </w:rPr>
              <w:t>DSI-016</w:t>
            </w:r>
          </w:p>
        </w:tc>
        <w:tc>
          <w:tcPr>
            <w:tcW w:type="dxa" w:w="750"/>
          </w:tcPr>
          <w:p>
            <w:pPr>
              <w:keepLines/>
              <w:spacing w:after="0" w:line="276" w:lineRule="auto"/>
            </w:pPr>
            <w:r>
              <w:rPr>
                <w:rFonts w:ascii="Calibri" w:hAnsi="Calibri" w:eastAsia="Microsoft YaHei"/>
                <w:color w:val="0B2545"/>
                <w:sz w:val="15"/>
              </w:rPr>
              <w:t>E3</w:t>
            </w:r>
          </w:p>
        </w:tc>
        <w:tc>
          <w:tcPr>
            <w:tcW w:type="dxa" w:w="750"/>
          </w:tcPr>
          <w:p>
            <w:pPr>
              <w:keepLines/>
              <w:spacing w:after="0" w:line="276" w:lineRule="auto"/>
            </w:pPr>
            <w:r>
              <w:rPr>
                <w:rFonts w:ascii="Calibri" w:hAnsi="Calibri" w:eastAsia="Microsoft YaHei"/>
                <w:color w:val="0B2545"/>
                <w:sz w:val="15"/>
              </w:rPr>
              <w:t>D3</w:t>
            </w:r>
          </w:p>
        </w:tc>
        <w:tc>
          <w:tcPr>
            <w:tcW w:type="dxa" w:w="2100"/>
          </w:tcPr>
          <w:p>
            <w:pPr>
              <w:keepLines/>
              <w:spacing w:after="0" w:line="276" w:lineRule="auto"/>
            </w:pPr>
            <w:r>
              <w:rPr>
                <w:rFonts w:ascii="Calibri" w:hAnsi="Calibri" w:eastAsia="Microsoft YaHei"/>
                <w:color w:val="0B2545"/>
                <w:sz w:val="15"/>
              </w:rPr>
              <w:t>MICROWAVE</w:t>
            </w:r>
          </w:p>
        </w:tc>
        <w:tc>
          <w:tcPr>
            <w:tcW w:type="dxa" w:w="4560"/>
          </w:tcPr>
          <w:p>
            <w:pPr>
              <w:keepLines/>
              <w:spacing w:after="0" w:line="276" w:lineRule="auto"/>
            </w:pPr>
            <w:r>
              <w:rPr>
                <w:rFonts w:ascii="Calibri" w:hAnsi="Calibri" w:eastAsia="Microsoft YaHei"/>
                <w:color w:val="0B2545"/>
                <w:sz w:val="15"/>
              </w:rPr>
              <w:t>ASDEX Upgrade；TCV；ITER-oriented studies；various ECE systems</w:t>
            </w:r>
          </w:p>
        </w:tc>
      </w:tr>
    </w:tbl>
    <w:p>
      <w:pPr>
        <w:spacing w:before="0" w:after="60"/>
      </w:pPr>
    </w:p>
    <w:p>
      <w:pPr>
        <w:widowControl/>
      </w:pPr>
      <w:r>
        <w:rPr>
          <w:rFonts w:ascii="Calibri" w:hAnsi="Calibri" w:eastAsia="Microsoft YaHei"/>
          <w:b/>
          <w:color w:val="1F4D78"/>
        </w:rPr>
        <w:t>解决问题：</w:t>
      </w:r>
      <w:r>
        <w:rPr>
          <w:rFonts w:ascii="Calibri" w:hAnsi="Calibri" w:eastAsia="Microsoft YaHei"/>
        </w:rPr>
        <w:t>高温、斜视、低光学厚度或非热电子条件下，ECE 亮温不再简单等于局部电子温度。</w:t>
      </w:r>
    </w:p>
    <w:p>
      <w:pPr>
        <w:widowControl/>
      </w:pPr>
      <w:r>
        <w:rPr>
          <w:rFonts w:ascii="Calibri" w:hAnsi="Calibri" w:eastAsia="Microsoft YaHei"/>
          <w:b/>
          <w:color w:val="1F4D78"/>
        </w:rPr>
        <w:t>测量原理：</w:t>
      </w:r>
      <w:r>
        <w:rPr>
          <w:rFonts w:ascii="Calibri" w:hAnsi="Calibri" w:eastAsia="Microsoft YaHei"/>
        </w:rPr>
        <w:t>沿 ECE 视线求解回旋辐射传输，计算发射、吸收、偏振和共振展宽，生成频率通道的合成辐射温度。</w:t>
      </w:r>
    </w:p>
    <w:p>
      <w:pPr>
        <w:widowControl/>
      </w:pPr>
      <w:r>
        <w:rPr>
          <w:rFonts w:ascii="Calibri" w:hAnsi="Calibri" w:eastAsia="Microsoft YaHei"/>
          <w:b/>
          <w:color w:val="1F4D78"/>
        </w:rPr>
        <w:t>测量产品：</w:t>
      </w:r>
      <w:r>
        <w:rPr>
          <w:rFonts w:ascii="Calibri" w:hAnsi="Calibri" w:eastAsia="Microsoft YaHei"/>
        </w:rPr>
        <w:t>ECE spectra；radiation temperature；birthplace distribution；optical depth</w:t>
      </w:r>
    </w:p>
    <w:p>
      <w:pPr>
        <w:widowControl/>
      </w:pPr>
      <w:r>
        <w:rPr>
          <w:rFonts w:ascii="Calibri" w:hAnsi="Calibri" w:eastAsia="Microsoft YaHei"/>
          <w:b/>
          <w:color w:val="1F4D78"/>
        </w:rPr>
        <w:t>时空分辨与覆盖：</w:t>
      </w:r>
      <w:r>
        <w:rPr>
          <w:rFonts w:ascii="Calibri" w:hAnsi="Calibri" w:eastAsia="Microsoft YaHei"/>
        </w:rPr>
        <w:t>时间：因装置、采集和分析链而异；原始来源未给出统一数值。；空间：由视线、几何和反演设定；原始来源未给出统一数值。</w:t>
      </w:r>
    </w:p>
    <w:p>
      <w:pPr>
        <w:widowControl/>
      </w:pPr>
      <w:r>
        <w:rPr>
          <w:rFonts w:ascii="Calibri" w:hAnsi="Calibri" w:eastAsia="Microsoft YaHei"/>
          <w:b/>
          <w:color w:val="1F4D78"/>
        </w:rPr>
        <w:t>仪器与传感器：</w:t>
      </w:r>
      <w:r>
        <w:rPr>
          <w:rFonts w:ascii="Calibri" w:hAnsi="Calibri" w:eastAsia="Microsoft YaHei"/>
        </w:rPr>
        <w:t>ECE radiometers；ECE imaging optics</w:t>
      </w:r>
    </w:p>
    <w:p>
      <w:pPr>
        <w:widowControl/>
      </w:pPr>
      <w:r>
        <w:rPr>
          <w:rFonts w:ascii="Calibri" w:hAnsi="Calibri" w:eastAsia="Microsoft YaHei"/>
          <w:b/>
          <w:color w:val="1F4D78"/>
        </w:rPr>
        <w:t>标定与质量：</w:t>
      </w:r>
      <w:r>
        <w:rPr>
          <w:rFonts w:ascii="Calibri" w:hAnsi="Calibri" w:eastAsia="Microsoft YaHei"/>
        </w:rPr>
        <w:t>需绝对辐射、频率响应、视线和磁场标定；模型可预测每通道出生位置与非局域响应。</w:t>
      </w:r>
    </w:p>
    <w:p>
      <w:pPr>
        <w:widowControl/>
      </w:pPr>
      <w:r>
        <w:rPr>
          <w:rFonts w:ascii="Calibri" w:hAnsi="Calibri" w:eastAsia="Microsoft YaHei"/>
          <w:b/>
          <w:color w:val="1F4D78"/>
        </w:rPr>
        <w:t>反演与分析：</w:t>
      </w:r>
      <w:r>
        <w:rPr>
          <w:rFonts w:ascii="Calibri" w:hAnsi="Calibri" w:eastAsia="Microsoft YaHei"/>
        </w:rPr>
        <w:t>Te interpretation；forward spectra；diagnostic design；non-thermal sensitivity</w:t>
      </w:r>
    </w:p>
    <w:p>
      <w:pPr>
        <w:widowControl/>
      </w:pPr>
      <w:r>
        <w:rPr>
          <w:rFonts w:ascii="Calibri" w:hAnsi="Calibri" w:eastAsia="Microsoft YaHei"/>
          <w:b/>
          <w:color w:val="1F4D78"/>
        </w:rPr>
        <w:t>验证与应用：</w:t>
      </w:r>
      <w:r>
        <w:rPr>
          <w:rFonts w:ascii="Calibri" w:hAnsi="Calibri" w:eastAsia="Microsoft YaHei"/>
        </w:rPr>
        <w:t>参考论文对常规、斜视和成像 ECE 情况进行核验，并与既有模型/实验数据应用比较；支持真实装置数据的分析验证，但未证明常规在线部署。</w:t>
      </w:r>
    </w:p>
    <w:p>
      <w:pPr>
        <w:widowControl/>
      </w:pPr>
      <w:r>
        <w:rPr>
          <w:rFonts w:ascii="Calibri" w:hAnsi="Calibri" w:eastAsia="Microsoft YaHei"/>
          <w:b/>
          <w:color w:val="1F4D78"/>
        </w:rPr>
        <w:t>局限与边界：</w:t>
      </w:r>
      <w:r>
        <w:rPr>
          <w:rFonts w:ascii="Calibri" w:hAnsi="Calibri" w:eastAsia="Microsoft YaHei"/>
        </w:rPr>
        <w:t>几何光学在强衍射/模式转换条件受限；分布函数、壁反射和磁场误差会产生结构性偏差。</w:t>
      </w:r>
    </w:p>
    <w:tbl>
      <w:tblPr>
        <w:tblStyle w:val="TableGrid"/>
        <w:tblW w:type="dxa" w:w="9360"/>
        <w:jc w:val="left"/>
        <w:tblLayout w:type="fixed"/>
        <w:tblLook w:firstColumn="1" w:firstRow="1" w:lastColumn="0" w:lastRow="0" w:noHBand="0" w:noVBand="1" w:val="04A0"/>
        <w:tblInd w:w="120" w:type="dxa"/>
      </w:tblPr>
      <w:tblGrid>
        <w:gridCol w:w="9360"/>
      </w:tblGrid>
      <w:tr>
        <w:trPr>
          <w:cantSplit/>
        </w:trPr>
        <w:tc>
          <w:tcPr>
            <w:tcW w:type="dxa" w:w="9360"/>
            <w:tcMar>
              <w:top w:w="80" w:type="dxa"/>
              <w:bottom w:w="80" w:type="dxa"/>
              <w:start w:w="120" w:type="dxa"/>
              <w:end w:w="120" w:type="dxa"/>
            </w:tcMar>
            <w:vAlign w:val="center"/>
            <w:shd w:fill="EEF7F7"/>
          </w:tcPr>
          <w:p>
            <w:pPr>
              <w:keepNext/>
              <w:keepLines/>
              <w:spacing w:after="40"/>
            </w:pPr>
            <w:r>
              <w:rPr>
                <w:rFonts w:ascii="Calibri" w:hAnsi="Calibri" w:eastAsia="Microsoft YaHei"/>
                <w:b/>
                <w:color w:val="008C95"/>
                <w:sz w:val="17"/>
              </w:rPr>
              <w:t>DIGITAL-TWIN RELEVANCE</w:t>
            </w:r>
          </w:p>
          <w:p>
            <w:pPr>
              <w:spacing w:after="0"/>
            </w:pPr>
            <w:r>
              <w:rPr>
                <w:rFonts w:ascii="Calibri" w:hAnsi="Calibri" w:eastAsia="Microsoft YaHei"/>
                <w:color w:val="0B2545"/>
                <w:sz w:val="20"/>
              </w:rPr>
              <w:t>是电子温度孪生连接微波观测的高保真前向模型，可生成通道响应和模型失配指标。</w:t>
            </w:r>
          </w:p>
        </w:tc>
      </w:tr>
    </w:tbl>
    <w:p>
      <w:pPr>
        <w:spacing w:after="40"/>
      </w:pPr>
    </w:p>
    <w:tbl>
      <w:tblPr>
        <w:tblStyle w:val="TableGrid"/>
        <w:tblW w:type="dxa" w:w="9360"/>
        <w:jc w:val="left"/>
        <w:tblLayout w:type="fixed"/>
        <w:tblLook w:firstColumn="1" w:firstRow="1" w:lastColumn="0" w:lastRow="0" w:noHBand="0" w:noVBand="1" w:val="04A0"/>
        <w:tblInd w:w="120" w:type="dxa"/>
      </w:tblPr>
      <w:tblGrid>
        <w:gridCol w:w="850"/>
        <w:gridCol w:w="2500"/>
        <w:gridCol w:w="1600"/>
        <w:gridCol w:w="2300"/>
        <w:gridCol w:w="2110"/>
      </w:tblGrid>
      <w:tr>
        <w:trPr>
          <w:tblHeader w:val="true"/>
        </w:trPr>
        <w:tc>
          <w:tcPr>
            <w:tcW w:type="dxa" w:w="8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年份/类型</w:t>
            </w:r>
          </w:p>
        </w:tc>
        <w:tc>
          <w:tcPr>
            <w:tcW w:type="dxa" w:w="25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论文或软件</w:t>
            </w:r>
          </w:p>
        </w:tc>
        <w:tc>
          <w:tcPr>
            <w:tcW w:type="dxa" w:w="16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期刊/开放性</w:t>
            </w:r>
          </w:p>
        </w:tc>
        <w:tc>
          <w:tcPr>
            <w:tcW w:type="dxa" w:w="23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来源类型/关系</w:t>
            </w:r>
          </w:p>
        </w:tc>
        <w:tc>
          <w:tcPr>
            <w:tcW w:type="dxa" w:w="211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链接</w:t>
            </w:r>
          </w:p>
        </w:tc>
      </w:tr>
      <w:tr>
        <w:trPr>
          <w:cantSplit/>
        </w:trPr>
        <w:tc>
          <w:tcPr>
            <w:tcW w:type="dxa" w:w="850"/>
          </w:tcPr>
          <w:p>
            <w:pPr>
              <w:keepLines/>
              <w:spacing w:after="0" w:line="276" w:lineRule="auto"/>
            </w:pPr>
            <w:r>
              <w:rPr>
                <w:rFonts w:ascii="Calibri" w:hAnsi="Calibri" w:eastAsia="Microsoft YaHei"/>
                <w:color w:val="0B2545"/>
                <w:sz w:val="14"/>
              </w:rPr>
              <w:t>2020</w:t>
            </w:r>
          </w:p>
        </w:tc>
        <w:tc>
          <w:tcPr>
            <w:tcW w:type="dxa" w:w="2500"/>
          </w:tcPr>
          <w:p>
            <w:pPr>
              <w:keepLines/>
              <w:spacing w:after="0" w:line="276" w:lineRule="auto"/>
            </w:pPr>
            <w:r>
              <w:rPr>
                <w:rFonts w:ascii="Calibri" w:hAnsi="Calibri" w:eastAsia="Microsoft YaHei"/>
                <w:color w:val="0B2545"/>
                <w:sz w:val="14"/>
              </w:rPr>
              <w:t>ECRad: An electron cyclotron radiation transport solver for advanced data analysis in thermal and non-thermal fusion plasmas</w:t>
            </w:r>
          </w:p>
        </w:tc>
        <w:tc>
          <w:tcPr>
            <w:tcW w:type="dxa" w:w="1600"/>
          </w:tcPr>
          <w:p>
            <w:pPr>
              <w:keepLines/>
              <w:spacing w:after="0" w:line="276" w:lineRule="auto"/>
            </w:pPr>
            <w:r>
              <w:rPr>
                <w:rFonts w:ascii="Calibri" w:hAnsi="Calibri" w:eastAsia="Microsoft YaHei"/>
                <w:color w:val="0B2545"/>
                <w:sz w:val="14"/>
              </w:rPr>
              <w:t>Computer Physics Communications</w:t>
            </w:r>
          </w:p>
        </w:tc>
        <w:tc>
          <w:tcPr>
            <w:tcW w:type="dxa" w:w="2300"/>
          </w:tcPr>
          <w:p>
            <w:pPr>
              <w:keepLines/>
              <w:spacing w:after="0" w:line="276" w:lineRule="auto"/>
            </w:pPr>
            <w:r>
              <w:rPr>
                <w:rFonts w:ascii="Calibri" w:hAnsi="Calibri" w:eastAsia="Microsoft YaHei"/>
                <w:color w:val="0B2545"/>
                <w:sz w:val="14"/>
              </w:rPr>
              <w:t>peer-reviewed primary code report</w:t>
            </w:r>
          </w:p>
        </w:tc>
        <w:tc>
          <w:tcPr>
            <w:tcW w:type="dxa" w:w="2110"/>
          </w:tcPr>
          <w:p>
            <w:pPr>
              <w:keepLines/>
              <w:spacing w:after="0" w:line="276" w:lineRule="auto"/>
            </w:pPr>
            <w:hyperlink r:id="rId175">
              <w:r>
                <w:rPr>
                  <w:rFonts w:ascii="Calibri" w:hAnsi="Calibri" w:eastAsia="Microsoft YaHei"/>
                  <w:color w:val="008C95"/>
                  <w:u w:val="single"/>
                </w:rPr>
                <w:t>打开原始来源 ↗</w:t>
              </w:r>
            </w:hyperlink>
          </w:p>
        </w:tc>
      </w:tr>
      <w:tr>
        <w:trPr>
          <w:cantSplit/>
        </w:trPr>
        <w:tc>
          <w:tcPr>
            <w:tcW w:type="dxa" w:w="850"/>
          </w:tcPr>
          <w:p>
            <w:pPr>
              <w:keepLines/>
              <w:spacing w:after="0" w:line="276" w:lineRule="auto"/>
            </w:pPr>
            <w:r>
              <w:rPr>
                <w:rFonts w:ascii="Calibri" w:hAnsi="Calibri" w:eastAsia="Microsoft YaHei"/>
                <w:color w:val="0B2545"/>
                <w:sz w:val="14"/>
              </w:rPr>
              <w:t>软件</w:t>
            </w:r>
          </w:p>
        </w:tc>
        <w:tc>
          <w:tcPr>
            <w:tcW w:type="dxa" w:w="2500"/>
          </w:tcPr>
          <w:p>
            <w:pPr>
              <w:keepLines/>
              <w:spacing w:after="0" w:line="276" w:lineRule="auto"/>
            </w:pPr>
            <w:r>
              <w:rPr>
                <w:rFonts w:ascii="Calibri" w:hAnsi="Calibri" w:eastAsia="Microsoft YaHei"/>
                <w:color w:val="0B2545"/>
                <w:sz w:val="14"/>
              </w:rPr>
              <w:t>ECRad</w:t>
            </w:r>
          </w:p>
        </w:tc>
        <w:tc>
          <w:tcPr>
            <w:tcW w:type="dxa" w:w="1600"/>
          </w:tcPr>
          <w:p>
            <w:pPr>
              <w:keepLines/>
              <w:spacing w:after="0" w:line="276" w:lineRule="auto"/>
            </w:pPr>
            <w:r>
              <w:rPr>
                <w:rFonts w:ascii="Calibri" w:hAnsi="Calibri" w:eastAsia="Microsoft YaHei"/>
                <w:color w:val="0B2545"/>
                <w:sz w:val="14"/>
              </w:rPr>
              <w:t>official-direct</w:t>
            </w:r>
          </w:p>
        </w:tc>
        <w:tc>
          <w:tcPr>
            <w:tcW w:type="dxa" w:w="2300"/>
          </w:tcPr>
          <w:p>
            <w:pPr>
              <w:keepLines/>
              <w:spacing w:after="0" w:line="276" w:lineRule="auto"/>
            </w:pPr>
            <w:r>
              <w:rPr>
                <w:rFonts w:ascii="Calibri" w:hAnsi="Calibri" w:eastAsia="Microsoft YaHei"/>
                <w:color w:val="0B2545"/>
                <w:sz w:val="14"/>
              </w:rPr>
              <w:t>主要开发团队维护的公开代码。</w:t>
            </w:r>
          </w:p>
        </w:tc>
        <w:tc>
          <w:tcPr>
            <w:tcW w:type="dxa" w:w="2110"/>
          </w:tcPr>
          <w:p>
            <w:pPr>
              <w:keepLines/>
              <w:spacing w:after="0" w:line="276" w:lineRule="auto"/>
            </w:pPr>
            <w:hyperlink r:id="rId176">
              <w:r>
                <w:rPr>
                  <w:rFonts w:ascii="Calibri" w:hAnsi="Calibri" w:eastAsia="Microsoft YaHei"/>
                  <w:color w:val="008C95"/>
                  <w:u w:val="single"/>
                </w:rPr>
                <w:t>打开原始来源 ↗</w:t>
              </w:r>
            </w:hyperlink>
          </w:p>
        </w:tc>
      </w:tr>
    </w:tbl>
    <w:p>
      <w:pPr>
        <w:spacing w:before="0" w:after="60"/>
      </w:pPr>
    </w:p>
    <w:p>
      <w:pPr>
        <w:pStyle w:val="Heading3"/>
        <w:keepNext/>
      </w:pPr>
      <w:r>
        <w:t>DG9.09  REFMUL 系列反射计全波合成诊断</w:t>
      </w:r>
    </w:p>
    <w:p>
      <w:pPr>
        <w:keepNext/>
        <w:spacing w:after="80"/>
      </w:pPr>
      <w:r>
        <w:rPr>
          <w:rFonts w:ascii="Calibri" w:hAnsi="Calibri" w:eastAsia="Microsoft YaHei"/>
          <w:i/>
          <w:color w:val="566573"/>
          <w:sz w:val="18"/>
        </w:rPr>
        <w:t>REFMUL Family Full-Wave Reflectometry Synthetic Diagnostics</w:t>
      </w:r>
    </w:p>
    <w:tbl>
      <w:tblPr>
        <w:tblStyle w:val="TableGrid"/>
        <w:tblW w:type="dxa" w:w="9360"/>
        <w:jc w:val="left"/>
        <w:tblLayout w:type="fixed"/>
        <w:tblLook w:firstColumn="1" w:firstRow="1" w:lastColumn="0" w:lastRow="0" w:noHBand="0" w:noVBand="1" w:val="04A0"/>
        <w:tblInd w:w="120" w:type="dxa"/>
      </w:tblPr>
      <w:tblGrid>
        <w:gridCol w:w="1200"/>
        <w:gridCol w:w="750"/>
        <w:gridCol w:w="750"/>
        <w:gridCol w:w="2100"/>
        <w:gridCol w:w="4560"/>
      </w:tblGrid>
      <w:tr>
        <w:trPr>
          <w:tblHeader w:val="true"/>
        </w:trPr>
        <w:tc>
          <w:tcPr>
            <w:tcW w:type="dxa" w:w="12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工作 ID</w:t>
            </w:r>
          </w:p>
        </w:tc>
        <w:tc>
          <w:tcPr>
            <w:tcW w:type="dxa" w:w="7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证据</w:t>
            </w:r>
          </w:p>
        </w:tc>
        <w:tc>
          <w:tcPr>
            <w:tcW w:type="dxa" w:w="7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部署</w:t>
            </w:r>
          </w:p>
        </w:tc>
        <w:tc>
          <w:tcPr>
            <w:tcW w:type="dxa" w:w="21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技术族</w:t>
            </w:r>
          </w:p>
        </w:tc>
        <w:tc>
          <w:tcPr>
            <w:tcW w:type="dxa" w:w="456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装置</w:t>
            </w:r>
          </w:p>
        </w:tc>
      </w:tr>
      <w:tr>
        <w:trPr>
          <w:cantSplit/>
        </w:trPr>
        <w:tc>
          <w:tcPr>
            <w:tcW w:type="dxa" w:w="1200"/>
          </w:tcPr>
          <w:p>
            <w:pPr>
              <w:keepLines/>
              <w:spacing w:after="0" w:line="276" w:lineRule="auto"/>
            </w:pPr>
            <w:r>
              <w:rPr>
                <w:rFonts w:ascii="Calibri" w:hAnsi="Calibri" w:eastAsia="Microsoft YaHei"/>
                <w:color w:val="0B2545"/>
                <w:sz w:val="15"/>
              </w:rPr>
              <w:t>DSI-017</w:t>
            </w:r>
          </w:p>
        </w:tc>
        <w:tc>
          <w:tcPr>
            <w:tcW w:type="dxa" w:w="750"/>
          </w:tcPr>
          <w:p>
            <w:pPr>
              <w:keepLines/>
              <w:spacing w:after="0" w:line="276" w:lineRule="auto"/>
            </w:pPr>
            <w:r>
              <w:rPr>
                <w:rFonts w:ascii="Calibri" w:hAnsi="Calibri" w:eastAsia="Microsoft YaHei"/>
                <w:color w:val="0B2545"/>
                <w:sz w:val="15"/>
              </w:rPr>
              <w:t>E3</w:t>
            </w:r>
          </w:p>
        </w:tc>
        <w:tc>
          <w:tcPr>
            <w:tcW w:type="dxa" w:w="750"/>
          </w:tcPr>
          <w:p>
            <w:pPr>
              <w:keepLines/>
              <w:spacing w:after="0" w:line="276" w:lineRule="auto"/>
            </w:pPr>
            <w:r>
              <w:rPr>
                <w:rFonts w:ascii="Calibri" w:hAnsi="Calibri" w:eastAsia="Microsoft YaHei"/>
                <w:color w:val="0B2545"/>
                <w:sz w:val="15"/>
              </w:rPr>
              <w:t>D2</w:t>
            </w:r>
          </w:p>
        </w:tc>
        <w:tc>
          <w:tcPr>
            <w:tcW w:type="dxa" w:w="2100"/>
          </w:tcPr>
          <w:p>
            <w:pPr>
              <w:keepLines/>
              <w:spacing w:after="0" w:line="276" w:lineRule="auto"/>
            </w:pPr>
            <w:r>
              <w:rPr>
                <w:rFonts w:ascii="Calibri" w:hAnsi="Calibri" w:eastAsia="Microsoft YaHei"/>
                <w:color w:val="0B2545"/>
                <w:sz w:val="15"/>
              </w:rPr>
              <w:t>MICROWAVE</w:t>
            </w:r>
          </w:p>
        </w:tc>
        <w:tc>
          <w:tcPr>
            <w:tcW w:type="dxa" w:w="4560"/>
          </w:tcPr>
          <w:p>
            <w:pPr>
              <w:keepLines/>
              <w:spacing w:after="0" w:line="276" w:lineRule="auto"/>
            </w:pPr>
            <w:r>
              <w:rPr>
                <w:rFonts w:ascii="Calibri" w:hAnsi="Calibri" w:eastAsia="Microsoft YaHei"/>
                <w:color w:val="0B2545"/>
                <w:sz w:val="15"/>
              </w:rPr>
              <w:t>ASDEX Upgrade；JET；DIII-D/KSTAR imaging-reflectometry studies；DEMO design studies</w:t>
            </w:r>
          </w:p>
        </w:tc>
      </w:tr>
    </w:tbl>
    <w:p>
      <w:pPr>
        <w:spacing w:before="0" w:after="60"/>
      </w:pPr>
    </w:p>
    <w:p>
      <w:pPr>
        <w:widowControl/>
      </w:pPr>
      <w:r>
        <w:rPr>
          <w:rFonts w:ascii="Calibri" w:hAnsi="Calibri" w:eastAsia="Microsoft YaHei"/>
          <w:b/>
          <w:color w:val="1F4D78"/>
        </w:rPr>
        <w:t>解决问题：</w:t>
      </w:r>
      <w:r>
        <w:rPr>
          <w:rFonts w:ascii="Calibri" w:hAnsi="Calibri" w:eastAsia="Microsoft YaHei"/>
        </w:rPr>
        <w:t>反射计相位/幅度受截止层、湍流、多重散射、曲率和天线几何影响，几何光学在强涨落下失效。</w:t>
      </w:r>
    </w:p>
    <w:p>
      <w:pPr>
        <w:widowControl/>
      </w:pPr>
      <w:r>
        <w:rPr>
          <w:rFonts w:ascii="Calibri" w:hAnsi="Calibri" w:eastAsia="Microsoft YaHei"/>
          <w:b/>
          <w:color w:val="1F4D78"/>
        </w:rPr>
        <w:t>测量原理：</w:t>
      </w:r>
      <w:r>
        <w:rPr>
          <w:rFonts w:ascii="Calibri" w:hAnsi="Calibri" w:eastAsia="Microsoft YaHei"/>
        </w:rPr>
        <w:t>在给定密度场和磁/介电模型中用 FDTD 推进电磁波，记录天线处复信号并按实验链解调。</w:t>
      </w:r>
    </w:p>
    <w:p>
      <w:pPr>
        <w:widowControl/>
      </w:pPr>
      <w:r>
        <w:rPr>
          <w:rFonts w:ascii="Calibri" w:hAnsi="Calibri" w:eastAsia="Microsoft YaHei"/>
          <w:b/>
          <w:color w:val="1F4D78"/>
        </w:rPr>
        <w:t>测量产品：</w:t>
      </w:r>
      <w:r>
        <w:rPr>
          <w:rFonts w:ascii="Calibri" w:hAnsi="Calibri" w:eastAsia="Microsoft YaHei"/>
        </w:rPr>
        <w:t>complex reflected field；phase；amplitude；Doppler spectrum；correlation</w:t>
      </w:r>
    </w:p>
    <w:p>
      <w:pPr>
        <w:widowControl/>
      </w:pPr>
      <w:r>
        <w:rPr>
          <w:rFonts w:ascii="Calibri" w:hAnsi="Calibri" w:eastAsia="Microsoft YaHei"/>
          <w:b/>
          <w:color w:val="1F4D78"/>
        </w:rPr>
        <w:t>时空分辨与覆盖：</w:t>
      </w:r>
      <w:r>
        <w:rPr>
          <w:rFonts w:ascii="Calibri" w:hAnsi="Calibri" w:eastAsia="Microsoft YaHei"/>
        </w:rPr>
        <w:t>时间：因装置、采集和分析链而异；原始来源未给出统一数值。；空间：由视线、几何和反演设定；原始来源未给出统一数值。</w:t>
      </w:r>
    </w:p>
    <w:p>
      <w:pPr>
        <w:widowControl/>
      </w:pPr>
      <w:r>
        <w:rPr>
          <w:rFonts w:ascii="Calibri" w:hAnsi="Calibri" w:eastAsia="Microsoft YaHei"/>
          <w:b/>
          <w:color w:val="1F4D78"/>
        </w:rPr>
        <w:t>仪器与传感器：</w:t>
      </w:r>
      <w:r>
        <w:rPr>
          <w:rFonts w:ascii="Calibri" w:hAnsi="Calibri" w:eastAsia="Microsoft YaHei"/>
        </w:rPr>
        <w:t>launch/receive antennas；waveguides；reflectometers</w:t>
      </w:r>
    </w:p>
    <w:p>
      <w:pPr>
        <w:widowControl/>
      </w:pPr>
      <w:r>
        <w:rPr>
          <w:rFonts w:ascii="Calibri" w:hAnsi="Calibri" w:eastAsia="Microsoft YaHei"/>
          <w:b/>
          <w:color w:val="1F4D78"/>
        </w:rPr>
        <w:t>标定与质量：</w:t>
      </w:r>
      <w:r>
        <w:rPr>
          <w:rFonts w:ascii="Calibri" w:hAnsi="Calibri" w:eastAsia="Microsoft YaHei"/>
        </w:rPr>
        <w:t>需频率扫掠、I/Q、延迟、波导和天线方向图标定；FDTD 网格/边界的数值色散也需基准。</w:t>
      </w:r>
    </w:p>
    <w:p>
      <w:pPr>
        <w:widowControl/>
      </w:pPr>
      <w:r>
        <w:rPr>
          <w:rFonts w:ascii="Calibri" w:hAnsi="Calibri" w:eastAsia="Microsoft YaHei"/>
          <w:b/>
          <w:color w:val="1F4D78"/>
        </w:rPr>
        <w:t>反演与分析：</w:t>
      </w:r>
      <w:r>
        <w:rPr>
          <w:rFonts w:ascii="Calibri" w:hAnsi="Calibri" w:eastAsia="Microsoft YaHei"/>
        </w:rPr>
        <w:t>density-profile interpretation；turbulence response；Doppler reflectometry synthetic signal</w:t>
      </w:r>
    </w:p>
    <w:p>
      <w:pPr>
        <w:widowControl/>
      </w:pPr>
      <w:r>
        <w:rPr>
          <w:rFonts w:ascii="Calibri" w:hAnsi="Calibri" w:eastAsia="Microsoft YaHei"/>
          <w:b/>
          <w:color w:val="1F4D78"/>
        </w:rPr>
        <w:t>验证与应用：</w:t>
      </w:r>
      <w:r>
        <w:rPr>
          <w:rFonts w:ascii="Calibri" w:hAnsi="Calibri" w:eastAsia="Microsoft YaHei"/>
        </w:rPr>
        <w:t>综述记录 REFMUL、REFMULF、REFMUL3 与实验/其他全波代码的长期比较；DEMO 研究用于可测性评估。</w:t>
      </w:r>
    </w:p>
    <w:p>
      <w:pPr>
        <w:widowControl/>
      </w:pPr>
      <w:r>
        <w:rPr>
          <w:rFonts w:ascii="Calibri" w:hAnsi="Calibri" w:eastAsia="Microsoft YaHei"/>
          <w:b/>
          <w:color w:val="1F4D78"/>
        </w:rPr>
        <w:t>局限与边界：</w:t>
      </w:r>
      <w:r>
        <w:rPr>
          <w:rFonts w:ascii="Calibri" w:hAnsi="Calibri" w:eastAsia="Microsoft YaHei"/>
        </w:rPr>
        <w:t>3D 全波计算昂贵；边界条件、天线近场和湍流输入决定结果，专用实现未发现可核验公共仓库。</w:t>
      </w:r>
    </w:p>
    <w:tbl>
      <w:tblPr>
        <w:tblStyle w:val="TableGrid"/>
        <w:tblW w:type="dxa" w:w="9360"/>
        <w:jc w:val="left"/>
        <w:tblLayout w:type="fixed"/>
        <w:tblLook w:firstColumn="1" w:firstRow="1" w:lastColumn="0" w:lastRow="0" w:noHBand="0" w:noVBand="1" w:val="04A0"/>
        <w:tblInd w:w="120" w:type="dxa"/>
      </w:tblPr>
      <w:tblGrid>
        <w:gridCol w:w="9360"/>
      </w:tblGrid>
      <w:tr>
        <w:trPr>
          <w:cantSplit/>
        </w:trPr>
        <w:tc>
          <w:tcPr>
            <w:tcW w:type="dxa" w:w="9360"/>
            <w:tcMar>
              <w:top w:w="80" w:type="dxa"/>
              <w:bottom w:w="80" w:type="dxa"/>
              <w:start w:w="120" w:type="dxa"/>
              <w:end w:w="120" w:type="dxa"/>
            </w:tcMar>
            <w:vAlign w:val="center"/>
            <w:shd w:fill="EEF7F7"/>
          </w:tcPr>
          <w:p>
            <w:pPr>
              <w:keepNext/>
              <w:keepLines/>
              <w:spacing w:after="40"/>
            </w:pPr>
            <w:r>
              <w:rPr>
                <w:rFonts w:ascii="Calibri" w:hAnsi="Calibri" w:eastAsia="Microsoft YaHei"/>
                <w:b/>
                <w:color w:val="008C95"/>
                <w:sz w:val="17"/>
              </w:rPr>
              <w:t>DIGITAL-TWIN RELEVANCE</w:t>
            </w:r>
          </w:p>
          <w:p>
            <w:pPr>
              <w:spacing w:after="0"/>
            </w:pPr>
            <w:r>
              <w:rPr>
                <w:rFonts w:ascii="Calibri" w:hAnsi="Calibri" w:eastAsia="Microsoft YaHei"/>
                <w:color w:val="0B2545"/>
                <w:sz w:val="20"/>
              </w:rPr>
              <w:t>为密度/湍流孪生提供强非线性观测算子，也适合作为实时代理模型的教师模型。</w:t>
            </w:r>
          </w:p>
        </w:tc>
      </w:tr>
    </w:tbl>
    <w:p>
      <w:pPr>
        <w:spacing w:after="40"/>
      </w:pPr>
    </w:p>
    <w:tbl>
      <w:tblPr>
        <w:tblStyle w:val="TableGrid"/>
        <w:tblW w:type="dxa" w:w="9360"/>
        <w:jc w:val="left"/>
        <w:tblLayout w:type="fixed"/>
        <w:tblLook w:firstColumn="1" w:firstRow="1" w:lastColumn="0" w:lastRow="0" w:noHBand="0" w:noVBand="1" w:val="04A0"/>
        <w:tblInd w:w="120" w:type="dxa"/>
      </w:tblPr>
      <w:tblGrid>
        <w:gridCol w:w="850"/>
        <w:gridCol w:w="2500"/>
        <w:gridCol w:w="1600"/>
        <w:gridCol w:w="2300"/>
        <w:gridCol w:w="2110"/>
      </w:tblGrid>
      <w:tr>
        <w:trPr>
          <w:tblHeader w:val="true"/>
        </w:trPr>
        <w:tc>
          <w:tcPr>
            <w:tcW w:type="dxa" w:w="8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年份/类型</w:t>
            </w:r>
          </w:p>
        </w:tc>
        <w:tc>
          <w:tcPr>
            <w:tcW w:type="dxa" w:w="25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论文或软件</w:t>
            </w:r>
          </w:p>
        </w:tc>
        <w:tc>
          <w:tcPr>
            <w:tcW w:type="dxa" w:w="16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期刊/开放性</w:t>
            </w:r>
          </w:p>
        </w:tc>
        <w:tc>
          <w:tcPr>
            <w:tcW w:type="dxa" w:w="23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来源类型/关系</w:t>
            </w:r>
          </w:p>
        </w:tc>
        <w:tc>
          <w:tcPr>
            <w:tcW w:type="dxa" w:w="211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链接</w:t>
            </w:r>
          </w:p>
        </w:tc>
      </w:tr>
      <w:tr>
        <w:trPr>
          <w:cantSplit/>
        </w:trPr>
        <w:tc>
          <w:tcPr>
            <w:tcW w:type="dxa" w:w="850"/>
          </w:tcPr>
          <w:p>
            <w:pPr>
              <w:keepLines/>
              <w:spacing w:after="0" w:line="276" w:lineRule="auto"/>
            </w:pPr>
            <w:r>
              <w:rPr>
                <w:rFonts w:ascii="Calibri" w:hAnsi="Calibri" w:eastAsia="Microsoft YaHei"/>
                <w:color w:val="0B2545"/>
                <w:sz w:val="14"/>
              </w:rPr>
              <w:t>2024</w:t>
            </w:r>
          </w:p>
        </w:tc>
        <w:tc>
          <w:tcPr>
            <w:tcW w:type="dxa" w:w="2500"/>
          </w:tcPr>
          <w:p>
            <w:pPr>
              <w:keepLines/>
              <w:spacing w:after="0" w:line="276" w:lineRule="auto"/>
            </w:pPr>
            <w:r>
              <w:rPr>
                <w:rFonts w:ascii="Calibri" w:hAnsi="Calibri" w:eastAsia="Microsoft YaHei"/>
                <w:color w:val="0B2545"/>
                <w:sz w:val="14"/>
              </w:rPr>
              <w:t>An overview of the evolution of the modeling of reflectometry diagnostics in fusion plasmas using finite-difference time-domain codes</w:t>
            </w:r>
          </w:p>
        </w:tc>
        <w:tc>
          <w:tcPr>
            <w:tcW w:type="dxa" w:w="1600"/>
          </w:tcPr>
          <w:p>
            <w:pPr>
              <w:keepLines/>
              <w:spacing w:after="0" w:line="276" w:lineRule="auto"/>
            </w:pPr>
            <w:r>
              <w:rPr>
                <w:rFonts w:ascii="Calibri" w:hAnsi="Calibri" w:eastAsia="Microsoft YaHei"/>
                <w:color w:val="0B2545"/>
                <w:sz w:val="14"/>
              </w:rPr>
              <w:t>Fusion Engineering and Design</w:t>
            </w:r>
          </w:p>
        </w:tc>
        <w:tc>
          <w:tcPr>
            <w:tcW w:type="dxa" w:w="2300"/>
          </w:tcPr>
          <w:p>
            <w:pPr>
              <w:keepLines/>
              <w:spacing w:after="0" w:line="276" w:lineRule="auto"/>
            </w:pPr>
            <w:r>
              <w:rPr>
                <w:rFonts w:ascii="Calibri" w:hAnsi="Calibri" w:eastAsia="Microsoft YaHei"/>
                <w:color w:val="0B2545"/>
                <w:sz w:val="14"/>
              </w:rPr>
              <w:t>peer-reviewed author review of primary code family</w:t>
            </w:r>
          </w:p>
        </w:tc>
        <w:tc>
          <w:tcPr>
            <w:tcW w:type="dxa" w:w="2110"/>
          </w:tcPr>
          <w:p>
            <w:pPr>
              <w:keepLines/>
              <w:spacing w:after="0" w:line="276" w:lineRule="auto"/>
            </w:pPr>
            <w:hyperlink r:id="rId177">
              <w:r>
                <w:rPr>
                  <w:rFonts w:ascii="Calibri" w:hAnsi="Calibri" w:eastAsia="Microsoft YaHei"/>
                  <w:color w:val="008C95"/>
                  <w:u w:val="single"/>
                </w:rPr>
                <w:t>打开原始来源 ↗</w:t>
              </w:r>
            </w:hyperlink>
          </w:p>
        </w:tc>
      </w:tr>
      <w:tr>
        <w:trPr>
          <w:cantSplit/>
        </w:trPr>
        <w:tc>
          <w:tcPr>
            <w:tcW w:type="dxa" w:w="850"/>
          </w:tcPr>
          <w:p>
            <w:pPr>
              <w:keepLines/>
              <w:spacing w:after="0" w:line="276" w:lineRule="auto"/>
            </w:pPr>
            <w:r>
              <w:rPr>
                <w:rFonts w:ascii="Calibri" w:hAnsi="Calibri" w:eastAsia="Microsoft YaHei"/>
                <w:color w:val="0B2545"/>
                <w:sz w:val="14"/>
              </w:rPr>
              <w:t>2021</w:t>
            </w:r>
          </w:p>
        </w:tc>
        <w:tc>
          <w:tcPr>
            <w:tcW w:type="dxa" w:w="2500"/>
          </w:tcPr>
          <w:p>
            <w:pPr>
              <w:keepLines/>
              <w:spacing w:after="0" w:line="276" w:lineRule="auto"/>
            </w:pPr>
            <w:r>
              <w:rPr>
                <w:rFonts w:ascii="Calibri" w:hAnsi="Calibri" w:eastAsia="Microsoft YaHei"/>
                <w:color w:val="0B2545"/>
                <w:sz w:val="14"/>
              </w:rPr>
              <w:t>On the edge turbulence effects on the density profile reconstruction using O-mode reflectometers</w:t>
            </w:r>
          </w:p>
        </w:tc>
        <w:tc>
          <w:tcPr>
            <w:tcW w:type="dxa" w:w="1600"/>
          </w:tcPr>
          <w:p>
            <w:pPr>
              <w:keepLines/>
              <w:spacing w:after="0" w:line="276" w:lineRule="auto"/>
            </w:pPr>
            <w:r>
              <w:rPr>
                <w:rFonts w:ascii="Calibri" w:hAnsi="Calibri" w:eastAsia="Microsoft YaHei"/>
                <w:color w:val="0B2545"/>
                <w:sz w:val="14"/>
              </w:rPr>
              <w:t>Fusion Engineering and Design</w:t>
            </w:r>
          </w:p>
        </w:tc>
        <w:tc>
          <w:tcPr>
            <w:tcW w:type="dxa" w:w="2300"/>
          </w:tcPr>
          <w:p>
            <w:pPr>
              <w:keepLines/>
              <w:spacing w:after="0" w:line="276" w:lineRule="auto"/>
            </w:pPr>
            <w:r>
              <w:rPr>
                <w:rFonts w:ascii="Calibri" w:hAnsi="Calibri" w:eastAsia="Microsoft YaHei"/>
                <w:color w:val="0B2545"/>
                <w:sz w:val="14"/>
              </w:rPr>
              <w:t>peer-reviewed primary simulation</w:t>
            </w:r>
          </w:p>
        </w:tc>
        <w:tc>
          <w:tcPr>
            <w:tcW w:type="dxa" w:w="2110"/>
          </w:tcPr>
          <w:p>
            <w:pPr>
              <w:keepLines/>
              <w:spacing w:after="0" w:line="276" w:lineRule="auto"/>
            </w:pPr>
            <w:hyperlink r:id="rId178">
              <w:r>
                <w:rPr>
                  <w:rFonts w:ascii="Calibri" w:hAnsi="Calibri" w:eastAsia="Microsoft YaHei"/>
                  <w:color w:val="008C95"/>
                  <w:u w:val="single"/>
                </w:rPr>
                <w:t>打开原始来源 ↗</w:t>
              </w:r>
            </w:hyperlink>
          </w:p>
        </w:tc>
      </w:tr>
      <w:tr>
        <w:trPr>
          <w:cantSplit/>
        </w:trPr>
        <w:tc>
          <w:tcPr>
            <w:tcW w:type="dxa" w:w="850"/>
          </w:tcPr>
          <w:p>
            <w:pPr>
              <w:keepLines/>
              <w:spacing w:after="0" w:line="276" w:lineRule="auto"/>
            </w:pPr>
            <w:r>
              <w:rPr>
                <w:rFonts w:ascii="Calibri" w:hAnsi="Calibri" w:eastAsia="Microsoft YaHei"/>
                <w:color w:val="0B2545"/>
                <w:sz w:val="14"/>
              </w:rPr>
              <w:t>软件</w:t>
            </w:r>
          </w:p>
        </w:tc>
        <w:tc>
          <w:tcPr>
            <w:tcW w:type="dxa" w:w="2500"/>
          </w:tcPr>
          <w:p>
            <w:pPr>
              <w:keepLines/>
              <w:spacing w:after="0" w:line="276" w:lineRule="auto"/>
            </w:pPr>
            <w:r>
              <w:rPr>
                <w:rFonts w:ascii="Calibri" w:hAnsi="Calibri" w:eastAsia="Microsoft YaHei"/>
                <w:color w:val="0B2545"/>
                <w:sz w:val="14"/>
              </w:rPr>
              <w:t>REFMUL/REFMULF/REFMUL3</w:t>
            </w:r>
          </w:p>
        </w:tc>
        <w:tc>
          <w:tcPr>
            <w:tcW w:type="dxa" w:w="1600"/>
          </w:tcPr>
          <w:p>
            <w:pPr>
              <w:keepLines/>
              <w:spacing w:after="0" w:line="276" w:lineRule="auto"/>
            </w:pPr>
            <w:r>
              <w:rPr>
                <w:rFonts w:ascii="Calibri" w:hAnsi="Calibri" w:eastAsia="Microsoft YaHei"/>
                <w:color w:val="0B2545"/>
                <w:sz w:val="14"/>
              </w:rPr>
              <w:t>not-public</w:t>
            </w:r>
          </w:p>
        </w:tc>
        <w:tc>
          <w:tcPr>
            <w:tcW w:type="dxa" w:w="2300"/>
          </w:tcPr>
          <w:p>
            <w:pPr>
              <w:keepLines/>
              <w:spacing w:after="0" w:line="276" w:lineRule="auto"/>
            </w:pPr>
            <w:r>
              <w:rPr>
                <w:rFonts w:ascii="Calibri" w:hAnsi="Calibri" w:eastAsia="Microsoft YaHei"/>
                <w:color w:val="0B2545"/>
                <w:sz w:val="14"/>
              </w:rPr>
              <w:t>未核验到开发团队公开的可下载生产仓库；论文仅描述代码。</w:t>
            </w:r>
          </w:p>
        </w:tc>
        <w:tc>
          <w:tcPr>
            <w:tcW w:type="dxa" w:w="2110"/>
          </w:tcPr>
          <w:p>
            <w:pPr>
              <w:keepLines/>
              <w:spacing w:after="0" w:line="276" w:lineRule="auto"/>
            </w:pPr>
            <w:r>
              <w:rPr>
                <w:rFonts w:ascii="Calibri" w:hAnsi="Calibri" w:eastAsia="Microsoft YaHei"/>
                <w:color w:val="0B2545"/>
                <w:sz w:val="14"/>
              </w:rPr>
              <w:t>未公开</w:t>
            </w:r>
          </w:p>
        </w:tc>
      </w:tr>
    </w:tbl>
    <w:p>
      <w:pPr>
        <w:spacing w:before="0" w:after="60"/>
      </w:pPr>
    </w:p>
    <w:p>
      <w:pPr>
        <w:pStyle w:val="Heading3"/>
        <w:keepNext/>
      </w:pPr>
      <w:r>
        <w:t>DG9.10  XGC1—BES 全光学合成诊断</w:t>
      </w:r>
    </w:p>
    <w:p>
      <w:pPr>
        <w:keepNext/>
        <w:spacing w:after="80"/>
      </w:pPr>
      <w:r>
        <w:rPr>
          <w:rFonts w:ascii="Calibri" w:hAnsi="Calibri" w:eastAsia="Microsoft YaHei"/>
          <w:i/>
          <w:color w:val="566573"/>
          <w:sz w:val="18"/>
        </w:rPr>
        <w:t>XGC1 Synthetic Beam Emission Spectroscopy</w:t>
      </w:r>
    </w:p>
    <w:tbl>
      <w:tblPr>
        <w:tblStyle w:val="TableGrid"/>
        <w:tblW w:type="dxa" w:w="9360"/>
        <w:jc w:val="left"/>
        <w:tblLayout w:type="fixed"/>
        <w:tblLook w:firstColumn="1" w:firstRow="1" w:lastColumn="0" w:lastRow="0" w:noHBand="0" w:noVBand="1" w:val="04A0"/>
        <w:tblInd w:w="120" w:type="dxa"/>
      </w:tblPr>
      <w:tblGrid>
        <w:gridCol w:w="1200"/>
        <w:gridCol w:w="750"/>
        <w:gridCol w:w="750"/>
        <w:gridCol w:w="2100"/>
        <w:gridCol w:w="4560"/>
      </w:tblGrid>
      <w:tr>
        <w:trPr>
          <w:tblHeader w:val="true"/>
        </w:trPr>
        <w:tc>
          <w:tcPr>
            <w:tcW w:type="dxa" w:w="12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工作 ID</w:t>
            </w:r>
          </w:p>
        </w:tc>
        <w:tc>
          <w:tcPr>
            <w:tcW w:type="dxa" w:w="7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证据</w:t>
            </w:r>
          </w:p>
        </w:tc>
        <w:tc>
          <w:tcPr>
            <w:tcW w:type="dxa" w:w="7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部署</w:t>
            </w:r>
          </w:p>
        </w:tc>
        <w:tc>
          <w:tcPr>
            <w:tcW w:type="dxa" w:w="21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技术族</w:t>
            </w:r>
          </w:p>
        </w:tc>
        <w:tc>
          <w:tcPr>
            <w:tcW w:type="dxa" w:w="456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装置</w:t>
            </w:r>
          </w:p>
        </w:tc>
      </w:tr>
      <w:tr>
        <w:trPr>
          <w:cantSplit/>
        </w:trPr>
        <w:tc>
          <w:tcPr>
            <w:tcW w:type="dxa" w:w="1200"/>
          </w:tcPr>
          <w:p>
            <w:pPr>
              <w:keepLines/>
              <w:spacing w:after="0" w:line="276" w:lineRule="auto"/>
            </w:pPr>
            <w:r>
              <w:rPr>
                <w:rFonts w:ascii="Calibri" w:hAnsi="Calibri" w:eastAsia="Microsoft YaHei"/>
                <w:color w:val="0B2545"/>
                <w:sz w:val="15"/>
              </w:rPr>
              <w:t>DSI-018</w:t>
            </w:r>
          </w:p>
        </w:tc>
        <w:tc>
          <w:tcPr>
            <w:tcW w:type="dxa" w:w="750"/>
          </w:tcPr>
          <w:p>
            <w:pPr>
              <w:keepLines/>
              <w:spacing w:after="0" w:line="276" w:lineRule="auto"/>
            </w:pPr>
            <w:r>
              <w:rPr>
                <w:rFonts w:ascii="Calibri" w:hAnsi="Calibri" w:eastAsia="Microsoft YaHei"/>
                <w:color w:val="0B2545"/>
                <w:sz w:val="15"/>
              </w:rPr>
              <w:t>E2</w:t>
            </w:r>
          </w:p>
        </w:tc>
        <w:tc>
          <w:tcPr>
            <w:tcW w:type="dxa" w:w="750"/>
          </w:tcPr>
          <w:p>
            <w:pPr>
              <w:keepLines/>
              <w:spacing w:after="0" w:line="276" w:lineRule="auto"/>
            </w:pPr>
            <w:r>
              <w:rPr>
                <w:rFonts w:ascii="Calibri" w:hAnsi="Calibri" w:eastAsia="Microsoft YaHei"/>
                <w:color w:val="0B2545"/>
                <w:sz w:val="15"/>
              </w:rPr>
              <w:t>D2</w:t>
            </w:r>
          </w:p>
        </w:tc>
        <w:tc>
          <w:tcPr>
            <w:tcW w:type="dxa" w:w="2100"/>
          </w:tcPr>
          <w:p>
            <w:pPr>
              <w:keepLines/>
              <w:spacing w:after="0" w:line="276" w:lineRule="auto"/>
            </w:pPr>
            <w:r>
              <w:rPr>
                <w:rFonts w:ascii="Calibri" w:hAnsi="Calibri" w:eastAsia="Microsoft YaHei"/>
                <w:color w:val="0B2545"/>
                <w:sz w:val="15"/>
              </w:rPr>
              <w:t>OPTICAL</w:t>
            </w:r>
          </w:p>
        </w:tc>
        <w:tc>
          <w:tcPr>
            <w:tcW w:type="dxa" w:w="4560"/>
          </w:tcPr>
          <w:p>
            <w:pPr>
              <w:keepLines/>
              <w:spacing w:after="0" w:line="276" w:lineRule="auto"/>
            </w:pPr>
            <w:r>
              <w:rPr>
                <w:rFonts w:ascii="Calibri" w:hAnsi="Calibri" w:eastAsia="Microsoft YaHei"/>
                <w:color w:val="0B2545"/>
                <w:sz w:val="15"/>
              </w:rPr>
              <w:t>DIII-D-like BES geometry with XGC1 edge simulations</w:t>
            </w:r>
          </w:p>
        </w:tc>
      </w:tr>
    </w:tbl>
    <w:p>
      <w:pPr>
        <w:spacing w:before="0" w:after="60"/>
      </w:pPr>
    </w:p>
    <w:p>
      <w:pPr>
        <w:widowControl/>
      </w:pPr>
      <w:r>
        <w:rPr>
          <w:rFonts w:ascii="Calibri" w:hAnsi="Calibri" w:eastAsia="Microsoft YaHei"/>
          <w:b/>
          <w:color w:val="1F4D78"/>
        </w:rPr>
        <w:t>解决问题：</w:t>
      </w:r>
      <w:r>
        <w:rPr>
          <w:rFonts w:ascii="Calibri" w:hAnsi="Calibri" w:eastAsia="Microsoft YaHei"/>
        </w:rPr>
        <w:t>BES 测得的密度涨落会被有限束宽、寿命效应、视场重叠和光学点扩散卷积，不能直接等同于局部模拟密度。</w:t>
      </w:r>
    </w:p>
    <w:p>
      <w:pPr>
        <w:widowControl/>
      </w:pPr>
      <w:r>
        <w:rPr>
          <w:rFonts w:ascii="Calibri" w:hAnsi="Calibri" w:eastAsia="Microsoft YaHei"/>
          <w:b/>
          <w:color w:val="1F4D78"/>
        </w:rPr>
        <w:t>测量原理：</w:t>
      </w:r>
      <w:r>
        <w:rPr>
          <w:rFonts w:ascii="Calibri" w:hAnsi="Calibri" w:eastAsia="Microsoft YaHei"/>
        </w:rPr>
        <w:t>把 XGC1 边缘湍流映射到中性束发射，经真实三维束和光学系统积分到探测通道。</w:t>
      </w:r>
    </w:p>
    <w:p>
      <w:pPr>
        <w:widowControl/>
      </w:pPr>
      <w:r>
        <w:rPr>
          <w:rFonts w:ascii="Calibri" w:hAnsi="Calibri" w:eastAsia="Microsoft YaHei"/>
          <w:b/>
          <w:color w:val="1F4D78"/>
        </w:rPr>
        <w:t>测量产品：</w:t>
      </w:r>
      <w:r>
        <w:rPr>
          <w:rFonts w:ascii="Calibri" w:hAnsi="Calibri" w:eastAsia="Microsoft YaHei"/>
        </w:rPr>
        <w:t>BES intensity fluctuations；cross-correlation；wavenumber response；apparent velocity</w:t>
      </w:r>
    </w:p>
    <w:p>
      <w:pPr>
        <w:widowControl/>
      </w:pPr>
      <w:r>
        <w:rPr>
          <w:rFonts w:ascii="Calibri" w:hAnsi="Calibri" w:eastAsia="Microsoft YaHei"/>
          <w:b/>
          <w:color w:val="1F4D78"/>
        </w:rPr>
        <w:t>时空分辨与覆盖：</w:t>
      </w:r>
      <w:r>
        <w:rPr>
          <w:rFonts w:ascii="Calibri" w:hAnsi="Calibri" w:eastAsia="Microsoft YaHei"/>
        </w:rPr>
        <w:t>时间：因装置、采集和分析链而异；原始来源未给出统一数值。；空间：由视线、几何和反演设定；原始来源未给出统一数值。</w:t>
      </w:r>
    </w:p>
    <w:p>
      <w:pPr>
        <w:widowControl/>
      </w:pPr>
      <w:r>
        <w:rPr>
          <w:rFonts w:ascii="Calibri" w:hAnsi="Calibri" w:eastAsia="Microsoft YaHei"/>
          <w:b/>
          <w:color w:val="1F4D78"/>
        </w:rPr>
        <w:t>仪器与传感器：</w:t>
      </w:r>
      <w:r>
        <w:rPr>
          <w:rFonts w:ascii="Calibri" w:hAnsi="Calibri" w:eastAsia="Microsoft YaHei"/>
        </w:rPr>
        <w:t>neutral beam；collection optics；photodetector array</w:t>
      </w:r>
    </w:p>
    <w:p>
      <w:pPr>
        <w:widowControl/>
      </w:pPr>
      <w:r>
        <w:rPr>
          <w:rFonts w:ascii="Calibri" w:hAnsi="Calibri" w:eastAsia="Microsoft YaHei"/>
          <w:b/>
          <w:color w:val="1F4D78"/>
        </w:rPr>
        <w:t>标定与质量：</w:t>
      </w:r>
      <w:r>
        <w:rPr>
          <w:rFonts w:ascii="Calibri" w:hAnsi="Calibri" w:eastAsia="Microsoft YaHei"/>
        </w:rPr>
        <w:t>需束几何、滤光片、光学 PSF、通道增益和噪声标定；合成链可闭合检查空间分辨。</w:t>
      </w:r>
    </w:p>
    <w:p>
      <w:pPr>
        <w:widowControl/>
      </w:pPr>
      <w:r>
        <w:rPr>
          <w:rFonts w:ascii="Calibri" w:hAnsi="Calibri" w:eastAsia="Microsoft YaHei"/>
          <w:b/>
          <w:color w:val="1F4D78"/>
        </w:rPr>
        <w:t>反演与分析：</w:t>
      </w:r>
      <w:r>
        <w:rPr>
          <w:rFonts w:ascii="Calibri" w:hAnsi="Calibri" w:eastAsia="Microsoft YaHei"/>
        </w:rPr>
        <w:t>turbulence validation；synthetic correlation；diagnostic transfer function</w:t>
      </w:r>
    </w:p>
    <w:p>
      <w:pPr>
        <w:widowControl/>
      </w:pPr>
      <w:r>
        <w:rPr>
          <w:rFonts w:ascii="Calibri" w:hAnsi="Calibri" w:eastAsia="Microsoft YaHei"/>
          <w:b/>
          <w:color w:val="1F4D78"/>
        </w:rPr>
        <w:t>验证与应用：</w:t>
      </w:r>
      <w:r>
        <w:rPr>
          <w:rFonts w:ascii="Calibri" w:hAnsi="Calibri" w:eastAsia="Microsoft YaHei"/>
        </w:rPr>
        <w:t>论文对光学集成、现实束模型和 XGC1 数据进行端到端合成，量化诊断卷积对湍流统计的影响。</w:t>
      </w:r>
    </w:p>
    <w:p>
      <w:pPr>
        <w:widowControl/>
      </w:pPr>
      <w:r>
        <w:rPr>
          <w:rFonts w:ascii="Calibri" w:hAnsi="Calibri" w:eastAsia="Microsoft YaHei"/>
          <w:b/>
          <w:color w:val="1F4D78"/>
        </w:rPr>
        <w:t>局限与边界：</w:t>
      </w:r>
      <w:r>
        <w:rPr>
          <w:rFonts w:ascii="Calibri" w:hAnsi="Calibri" w:eastAsia="Microsoft YaHei"/>
        </w:rPr>
        <w:t>验证依赖特定模拟和诊断几何；XGC1/原子发射/光学误差未形成统一后验，专用流水线未公开。</w:t>
      </w:r>
    </w:p>
    <w:tbl>
      <w:tblPr>
        <w:tblStyle w:val="TableGrid"/>
        <w:tblW w:type="dxa" w:w="9360"/>
        <w:jc w:val="left"/>
        <w:tblLayout w:type="fixed"/>
        <w:tblLook w:firstColumn="1" w:firstRow="1" w:lastColumn="0" w:lastRow="0" w:noHBand="0" w:noVBand="1" w:val="04A0"/>
        <w:tblInd w:w="120" w:type="dxa"/>
      </w:tblPr>
      <w:tblGrid>
        <w:gridCol w:w="9360"/>
      </w:tblGrid>
      <w:tr>
        <w:trPr>
          <w:cantSplit/>
        </w:trPr>
        <w:tc>
          <w:tcPr>
            <w:tcW w:type="dxa" w:w="9360"/>
            <w:tcMar>
              <w:top w:w="80" w:type="dxa"/>
              <w:bottom w:w="80" w:type="dxa"/>
              <w:start w:w="120" w:type="dxa"/>
              <w:end w:w="120" w:type="dxa"/>
            </w:tcMar>
            <w:vAlign w:val="center"/>
            <w:shd w:fill="EEF7F7"/>
          </w:tcPr>
          <w:p>
            <w:pPr>
              <w:keepNext/>
              <w:keepLines/>
              <w:spacing w:after="40"/>
            </w:pPr>
            <w:r>
              <w:rPr>
                <w:rFonts w:ascii="Calibri" w:hAnsi="Calibri" w:eastAsia="Microsoft YaHei"/>
                <w:b/>
                <w:color w:val="008C95"/>
                <w:sz w:val="17"/>
              </w:rPr>
              <w:t>DIGITAL-TWIN RELEVANCE</w:t>
            </w:r>
          </w:p>
          <w:p>
            <w:pPr>
              <w:spacing w:after="0"/>
            </w:pPr>
            <w:r>
              <w:rPr>
                <w:rFonts w:ascii="Calibri" w:hAnsi="Calibri" w:eastAsia="Microsoft YaHei"/>
                <w:color w:val="0B2545"/>
                <w:sz w:val="20"/>
              </w:rPr>
              <w:t>是“模拟场不能直接与诊断量比较”的典型案例，要求孪生在观测空间做 V&amp;V。</w:t>
            </w:r>
          </w:p>
        </w:tc>
      </w:tr>
    </w:tbl>
    <w:p>
      <w:pPr>
        <w:spacing w:after="40"/>
      </w:pPr>
    </w:p>
    <w:tbl>
      <w:tblPr>
        <w:tblStyle w:val="TableGrid"/>
        <w:tblW w:type="dxa" w:w="9360"/>
        <w:jc w:val="left"/>
        <w:tblLayout w:type="fixed"/>
        <w:tblLook w:firstColumn="1" w:firstRow="1" w:lastColumn="0" w:lastRow="0" w:noHBand="0" w:noVBand="1" w:val="04A0"/>
        <w:tblInd w:w="120" w:type="dxa"/>
      </w:tblPr>
      <w:tblGrid>
        <w:gridCol w:w="850"/>
        <w:gridCol w:w="2500"/>
        <w:gridCol w:w="1600"/>
        <w:gridCol w:w="2300"/>
        <w:gridCol w:w="2110"/>
      </w:tblGrid>
      <w:tr>
        <w:trPr>
          <w:tblHeader w:val="true"/>
        </w:trPr>
        <w:tc>
          <w:tcPr>
            <w:tcW w:type="dxa" w:w="8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年份/类型</w:t>
            </w:r>
          </w:p>
        </w:tc>
        <w:tc>
          <w:tcPr>
            <w:tcW w:type="dxa" w:w="25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论文或软件</w:t>
            </w:r>
          </w:p>
        </w:tc>
        <w:tc>
          <w:tcPr>
            <w:tcW w:type="dxa" w:w="16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期刊/开放性</w:t>
            </w:r>
          </w:p>
        </w:tc>
        <w:tc>
          <w:tcPr>
            <w:tcW w:type="dxa" w:w="23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来源类型/关系</w:t>
            </w:r>
          </w:p>
        </w:tc>
        <w:tc>
          <w:tcPr>
            <w:tcW w:type="dxa" w:w="211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链接</w:t>
            </w:r>
          </w:p>
        </w:tc>
      </w:tr>
      <w:tr>
        <w:trPr>
          <w:cantSplit/>
        </w:trPr>
        <w:tc>
          <w:tcPr>
            <w:tcW w:type="dxa" w:w="850"/>
          </w:tcPr>
          <w:p>
            <w:pPr>
              <w:keepLines/>
              <w:spacing w:after="0" w:line="276" w:lineRule="auto"/>
            </w:pPr>
            <w:r>
              <w:rPr>
                <w:rFonts w:ascii="Calibri" w:hAnsi="Calibri" w:eastAsia="Microsoft YaHei"/>
                <w:color w:val="0B2545"/>
                <w:sz w:val="14"/>
              </w:rPr>
              <w:t>2017</w:t>
            </w:r>
          </w:p>
        </w:tc>
        <w:tc>
          <w:tcPr>
            <w:tcW w:type="dxa" w:w="2500"/>
          </w:tcPr>
          <w:p>
            <w:pPr>
              <w:keepLines/>
              <w:spacing w:after="0" w:line="276" w:lineRule="auto"/>
            </w:pPr>
            <w:r>
              <w:rPr>
                <w:rFonts w:ascii="Calibri" w:hAnsi="Calibri" w:eastAsia="Microsoft YaHei"/>
                <w:color w:val="0B2545"/>
                <w:sz w:val="14"/>
              </w:rPr>
              <w:t>Synthetic diagnostic for the beam emission spectroscopy diagnostic using a full optical integration</w:t>
            </w:r>
          </w:p>
        </w:tc>
        <w:tc>
          <w:tcPr>
            <w:tcW w:type="dxa" w:w="1600"/>
          </w:tcPr>
          <w:p>
            <w:pPr>
              <w:keepLines/>
              <w:spacing w:after="0" w:line="276" w:lineRule="auto"/>
            </w:pPr>
            <w:r>
              <w:rPr>
                <w:rFonts w:ascii="Calibri" w:hAnsi="Calibri" w:eastAsia="Microsoft YaHei"/>
                <w:color w:val="0B2545"/>
                <w:sz w:val="14"/>
              </w:rPr>
              <w:t>Plasma Physics and Controlled Fusion</w:t>
            </w:r>
          </w:p>
        </w:tc>
        <w:tc>
          <w:tcPr>
            <w:tcW w:type="dxa" w:w="2300"/>
          </w:tcPr>
          <w:p>
            <w:pPr>
              <w:keepLines/>
              <w:spacing w:after="0" w:line="276" w:lineRule="auto"/>
            </w:pPr>
            <w:r>
              <w:rPr>
                <w:rFonts w:ascii="Calibri" w:hAnsi="Calibri" w:eastAsia="Microsoft YaHei"/>
                <w:color w:val="0B2545"/>
                <w:sz w:val="14"/>
              </w:rPr>
              <w:t>peer-reviewed primary synthetic-diagnostic study</w:t>
            </w:r>
          </w:p>
        </w:tc>
        <w:tc>
          <w:tcPr>
            <w:tcW w:type="dxa" w:w="2110"/>
          </w:tcPr>
          <w:p>
            <w:pPr>
              <w:keepLines/>
              <w:spacing w:after="0" w:line="276" w:lineRule="auto"/>
            </w:pPr>
            <w:hyperlink r:id="rId179">
              <w:r>
                <w:rPr>
                  <w:rFonts w:ascii="Calibri" w:hAnsi="Calibri" w:eastAsia="Microsoft YaHei"/>
                  <w:color w:val="008C95"/>
                  <w:u w:val="single"/>
                </w:rPr>
                <w:t>打开原始来源 ↗</w:t>
              </w:r>
            </w:hyperlink>
          </w:p>
        </w:tc>
      </w:tr>
      <w:tr>
        <w:trPr>
          <w:cantSplit/>
        </w:trPr>
        <w:tc>
          <w:tcPr>
            <w:tcW w:type="dxa" w:w="850"/>
          </w:tcPr>
          <w:p>
            <w:pPr>
              <w:keepLines/>
              <w:spacing w:after="0" w:line="276" w:lineRule="auto"/>
            </w:pPr>
            <w:r>
              <w:rPr>
                <w:rFonts w:ascii="Calibri" w:hAnsi="Calibri" w:eastAsia="Microsoft YaHei"/>
                <w:color w:val="0B2545"/>
                <w:sz w:val="14"/>
              </w:rPr>
              <w:t>软件</w:t>
            </w:r>
          </w:p>
        </w:tc>
        <w:tc>
          <w:tcPr>
            <w:tcW w:type="dxa" w:w="2500"/>
          </w:tcPr>
          <w:p>
            <w:pPr>
              <w:keepLines/>
              <w:spacing w:after="0" w:line="276" w:lineRule="auto"/>
            </w:pPr>
            <w:r>
              <w:rPr>
                <w:rFonts w:ascii="Calibri" w:hAnsi="Calibri" w:eastAsia="Microsoft YaHei"/>
                <w:color w:val="0B2545"/>
                <w:sz w:val="14"/>
              </w:rPr>
              <w:t>XGC1-BES synthetic diagnostic workflow</w:t>
            </w:r>
          </w:p>
        </w:tc>
        <w:tc>
          <w:tcPr>
            <w:tcW w:type="dxa" w:w="1600"/>
          </w:tcPr>
          <w:p>
            <w:pPr>
              <w:keepLines/>
              <w:spacing w:after="0" w:line="276" w:lineRule="auto"/>
            </w:pPr>
            <w:r>
              <w:rPr>
                <w:rFonts w:ascii="Calibri" w:hAnsi="Calibri" w:eastAsia="Microsoft YaHei"/>
                <w:color w:val="0B2545"/>
                <w:sz w:val="14"/>
              </w:rPr>
              <w:t>not-public</w:t>
            </w:r>
          </w:p>
        </w:tc>
        <w:tc>
          <w:tcPr>
            <w:tcW w:type="dxa" w:w="2300"/>
          </w:tcPr>
          <w:p>
            <w:pPr>
              <w:keepLines/>
              <w:spacing w:after="0" w:line="276" w:lineRule="auto"/>
            </w:pPr>
            <w:r>
              <w:rPr>
                <w:rFonts w:ascii="Calibri" w:hAnsi="Calibri" w:eastAsia="Microsoft YaHei"/>
                <w:color w:val="0B2545"/>
                <w:sz w:val="14"/>
              </w:rPr>
              <w:t>论文专用端到端实现未发现公开仓库。</w:t>
            </w:r>
          </w:p>
        </w:tc>
        <w:tc>
          <w:tcPr>
            <w:tcW w:type="dxa" w:w="2110"/>
          </w:tcPr>
          <w:p>
            <w:pPr>
              <w:keepLines/>
              <w:spacing w:after="0" w:line="276" w:lineRule="auto"/>
            </w:pPr>
            <w:r>
              <w:rPr>
                <w:rFonts w:ascii="Calibri" w:hAnsi="Calibri" w:eastAsia="Microsoft YaHei"/>
                <w:color w:val="0B2545"/>
                <w:sz w:val="14"/>
              </w:rPr>
              <w:t>未公开</w:t>
            </w:r>
          </w:p>
        </w:tc>
      </w:tr>
      <w:tr>
        <w:trPr>
          <w:cantSplit/>
        </w:trPr>
        <w:tc>
          <w:tcPr>
            <w:tcW w:type="dxa" w:w="850"/>
          </w:tcPr>
          <w:p>
            <w:pPr>
              <w:keepLines/>
              <w:spacing w:after="0" w:line="276" w:lineRule="auto"/>
            </w:pPr>
            <w:r>
              <w:rPr>
                <w:rFonts w:ascii="Calibri" w:hAnsi="Calibri" w:eastAsia="Microsoft YaHei"/>
                <w:color w:val="0B2545"/>
                <w:sz w:val="14"/>
              </w:rPr>
              <w:t>软件</w:t>
            </w:r>
          </w:p>
        </w:tc>
        <w:tc>
          <w:tcPr>
            <w:tcW w:type="dxa" w:w="2500"/>
          </w:tcPr>
          <w:p>
            <w:pPr>
              <w:keepLines/>
              <w:spacing w:after="0" w:line="276" w:lineRule="auto"/>
            </w:pPr>
            <w:r>
              <w:rPr>
                <w:rFonts w:ascii="Calibri" w:hAnsi="Calibri" w:eastAsia="Microsoft YaHei"/>
                <w:color w:val="0B2545"/>
                <w:sz w:val="14"/>
              </w:rPr>
              <w:t>XGC</w:t>
            </w:r>
          </w:p>
        </w:tc>
        <w:tc>
          <w:tcPr>
            <w:tcW w:type="dxa" w:w="1600"/>
          </w:tcPr>
          <w:p>
            <w:pPr>
              <w:keepLines/>
              <w:spacing w:after="0" w:line="276" w:lineRule="auto"/>
            </w:pPr>
            <w:r>
              <w:rPr>
                <w:rFonts w:ascii="Calibri" w:hAnsi="Calibri" w:eastAsia="Microsoft YaHei"/>
                <w:color w:val="0B2545"/>
                <w:sz w:val="14"/>
              </w:rPr>
              <w:t>not-public</w:t>
            </w:r>
          </w:p>
        </w:tc>
        <w:tc>
          <w:tcPr>
            <w:tcW w:type="dxa" w:w="2300"/>
          </w:tcPr>
          <w:p>
            <w:pPr>
              <w:keepLines/>
              <w:spacing w:after="0" w:line="276" w:lineRule="auto"/>
            </w:pPr>
            <w:r>
              <w:rPr>
                <w:rFonts w:ascii="Calibri" w:hAnsi="Calibri" w:eastAsia="Microsoft YaHei"/>
                <w:color w:val="0B2545"/>
                <w:sz w:val="14"/>
              </w:rPr>
              <w:t>XGC1 是物理输入代码；访问受协作与许可约束，且不是 BES 观测算子本体。</w:t>
            </w:r>
          </w:p>
        </w:tc>
        <w:tc>
          <w:tcPr>
            <w:tcW w:type="dxa" w:w="2110"/>
          </w:tcPr>
          <w:p>
            <w:pPr>
              <w:keepLines/>
              <w:spacing w:after="0" w:line="276" w:lineRule="auto"/>
            </w:pPr>
            <w:r>
              <w:rPr>
                <w:rFonts w:ascii="Calibri" w:hAnsi="Calibri" w:eastAsia="Microsoft YaHei"/>
                <w:color w:val="0B2545"/>
                <w:sz w:val="14"/>
              </w:rPr>
              <w:t>未公开</w:t>
            </w:r>
          </w:p>
        </w:tc>
      </w:tr>
    </w:tbl>
    <w:p>
      <w:pPr>
        <w:spacing w:before="0" w:after="60"/>
      </w:pPr>
    </w:p>
    <w:p>
      <w:pPr>
        <w:pStyle w:val="Heading3"/>
        <w:keepNext/>
      </w:pPr>
      <w:r>
        <w:t>DG9.11  ASCOT5 快离子轨道与多诊断合成响应</w:t>
      </w:r>
    </w:p>
    <w:p>
      <w:pPr>
        <w:keepNext/>
        <w:spacing w:after="80"/>
      </w:pPr>
      <w:r>
        <w:rPr>
          <w:rFonts w:ascii="Calibri" w:hAnsi="Calibri" w:eastAsia="Microsoft YaHei"/>
          <w:i/>
          <w:color w:val="566573"/>
          <w:sz w:val="18"/>
        </w:rPr>
        <w:t>ASCOT5 Fast-Ion Orbit Following and Synthetic Diagnostic Responses</w:t>
      </w:r>
    </w:p>
    <w:tbl>
      <w:tblPr>
        <w:tblStyle w:val="TableGrid"/>
        <w:tblW w:type="dxa" w:w="9360"/>
        <w:jc w:val="left"/>
        <w:tblLayout w:type="fixed"/>
        <w:tblLook w:firstColumn="1" w:firstRow="1" w:lastColumn="0" w:lastRow="0" w:noHBand="0" w:noVBand="1" w:val="04A0"/>
        <w:tblInd w:w="120" w:type="dxa"/>
      </w:tblPr>
      <w:tblGrid>
        <w:gridCol w:w="1200"/>
        <w:gridCol w:w="750"/>
        <w:gridCol w:w="750"/>
        <w:gridCol w:w="2100"/>
        <w:gridCol w:w="4560"/>
      </w:tblGrid>
      <w:tr>
        <w:trPr>
          <w:tblHeader w:val="true"/>
        </w:trPr>
        <w:tc>
          <w:tcPr>
            <w:tcW w:type="dxa" w:w="12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工作 ID</w:t>
            </w:r>
          </w:p>
        </w:tc>
        <w:tc>
          <w:tcPr>
            <w:tcW w:type="dxa" w:w="7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证据</w:t>
            </w:r>
          </w:p>
        </w:tc>
        <w:tc>
          <w:tcPr>
            <w:tcW w:type="dxa" w:w="7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部署</w:t>
            </w:r>
          </w:p>
        </w:tc>
        <w:tc>
          <w:tcPr>
            <w:tcW w:type="dxa" w:w="21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技术族</w:t>
            </w:r>
          </w:p>
        </w:tc>
        <w:tc>
          <w:tcPr>
            <w:tcW w:type="dxa" w:w="456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装置</w:t>
            </w:r>
          </w:p>
        </w:tc>
      </w:tr>
      <w:tr>
        <w:trPr>
          <w:cantSplit/>
        </w:trPr>
        <w:tc>
          <w:tcPr>
            <w:tcW w:type="dxa" w:w="1200"/>
          </w:tcPr>
          <w:p>
            <w:pPr>
              <w:keepLines/>
              <w:spacing w:after="0" w:line="276" w:lineRule="auto"/>
            </w:pPr>
            <w:r>
              <w:rPr>
                <w:rFonts w:ascii="Calibri" w:hAnsi="Calibri" w:eastAsia="Microsoft YaHei"/>
                <w:color w:val="0B2545"/>
                <w:sz w:val="15"/>
              </w:rPr>
              <w:t>DSI-019</w:t>
            </w:r>
          </w:p>
        </w:tc>
        <w:tc>
          <w:tcPr>
            <w:tcW w:type="dxa" w:w="750"/>
          </w:tcPr>
          <w:p>
            <w:pPr>
              <w:keepLines/>
              <w:spacing w:after="0" w:line="276" w:lineRule="auto"/>
            </w:pPr>
            <w:r>
              <w:rPr>
                <w:rFonts w:ascii="Calibri" w:hAnsi="Calibri" w:eastAsia="Microsoft YaHei"/>
                <w:color w:val="0B2545"/>
                <w:sz w:val="15"/>
              </w:rPr>
              <w:t>E3</w:t>
            </w:r>
          </w:p>
        </w:tc>
        <w:tc>
          <w:tcPr>
            <w:tcW w:type="dxa" w:w="750"/>
          </w:tcPr>
          <w:p>
            <w:pPr>
              <w:keepLines/>
              <w:spacing w:after="0" w:line="276" w:lineRule="auto"/>
            </w:pPr>
            <w:r>
              <w:rPr>
                <w:rFonts w:ascii="Calibri" w:hAnsi="Calibri" w:eastAsia="Microsoft YaHei"/>
                <w:color w:val="0B2545"/>
                <w:sz w:val="15"/>
              </w:rPr>
              <w:t>D2</w:t>
            </w:r>
          </w:p>
        </w:tc>
        <w:tc>
          <w:tcPr>
            <w:tcW w:type="dxa" w:w="2100"/>
          </w:tcPr>
          <w:p>
            <w:pPr>
              <w:keepLines/>
              <w:spacing w:after="0" w:line="276" w:lineRule="auto"/>
            </w:pPr>
            <w:r>
              <w:rPr>
                <w:rFonts w:ascii="Calibri" w:hAnsi="Calibri" w:eastAsia="Microsoft YaHei"/>
                <w:color w:val="0B2545"/>
                <w:sz w:val="15"/>
              </w:rPr>
              <w:t>NUCLEAR_PARTICLE</w:t>
            </w:r>
          </w:p>
        </w:tc>
        <w:tc>
          <w:tcPr>
            <w:tcW w:type="dxa" w:w="4560"/>
          </w:tcPr>
          <w:p>
            <w:pPr>
              <w:keepLines/>
              <w:spacing w:after="0" w:line="276" w:lineRule="auto"/>
            </w:pPr>
            <w:r>
              <w:rPr>
                <w:rFonts w:ascii="Calibri" w:hAnsi="Calibri" w:eastAsia="Microsoft YaHei"/>
                <w:color w:val="0B2545"/>
                <w:sz w:val="15"/>
              </w:rPr>
              <w:t>ASDEX Upgrade；DIII-D；JET；ITER；SPARC；W7-X</w:t>
            </w:r>
          </w:p>
        </w:tc>
      </w:tr>
    </w:tbl>
    <w:p>
      <w:pPr>
        <w:spacing w:before="0" w:after="60"/>
      </w:pPr>
    </w:p>
    <w:p>
      <w:pPr>
        <w:widowControl/>
      </w:pPr>
      <w:r>
        <w:rPr>
          <w:rFonts w:ascii="Calibri" w:hAnsi="Calibri" w:eastAsia="Microsoft YaHei"/>
          <w:b/>
          <w:color w:val="1F4D78"/>
        </w:rPr>
        <w:t>解决问题：</w:t>
      </w:r>
      <w:r>
        <w:rPr>
          <w:rFonts w:ascii="Calibri" w:hAnsi="Calibri" w:eastAsia="Microsoft YaHei"/>
        </w:rPr>
        <w:t>快离子诊断对相空间的采样高度选择性，且受三维磁场、碰撞、损失轨道和壁几何共同影响。</w:t>
      </w:r>
    </w:p>
    <w:p>
      <w:pPr>
        <w:widowControl/>
      </w:pPr>
      <w:r>
        <w:rPr>
          <w:rFonts w:ascii="Calibri" w:hAnsi="Calibri" w:eastAsia="Microsoft YaHei"/>
          <w:b/>
          <w:color w:val="1F4D78"/>
        </w:rPr>
        <w:t>测量原理：</w:t>
      </w:r>
      <w:r>
        <w:rPr>
          <w:rFonts w:ascii="Calibri" w:hAnsi="Calibri" w:eastAsia="Microsoft YaHei"/>
        </w:rPr>
        <w:t>在平衡/三维场中推进快离子轨道与碰撞，计算分布和损失，再通过诊断权重或专用接口生成 CTS、NPA、FILD、IR、核反应等可观测量。</w:t>
      </w:r>
    </w:p>
    <w:p>
      <w:pPr>
        <w:widowControl/>
      </w:pPr>
      <w:r>
        <w:rPr>
          <w:rFonts w:ascii="Calibri" w:hAnsi="Calibri" w:eastAsia="Microsoft YaHei"/>
          <w:b/>
          <w:color w:val="1F4D78"/>
        </w:rPr>
        <w:t>测量产品：</w:t>
      </w:r>
      <w:r>
        <w:rPr>
          <w:rFonts w:ascii="Calibri" w:hAnsi="Calibri" w:eastAsia="Microsoft YaHei"/>
        </w:rPr>
        <w:t>fast-ion distribution；losses；synthetic CTS/NPA/FILD/neutron responses</w:t>
      </w:r>
    </w:p>
    <w:p>
      <w:pPr>
        <w:widowControl/>
      </w:pPr>
      <w:r>
        <w:rPr>
          <w:rFonts w:ascii="Calibri" w:hAnsi="Calibri" w:eastAsia="Microsoft YaHei"/>
          <w:b/>
          <w:color w:val="1F4D78"/>
        </w:rPr>
        <w:t>时空分辨与覆盖：</w:t>
      </w:r>
      <w:r>
        <w:rPr>
          <w:rFonts w:ascii="Calibri" w:hAnsi="Calibri" w:eastAsia="Microsoft YaHei"/>
        </w:rPr>
        <w:t>时间：因装置、采集和分析链而异；原始来源未给出统一数值。；空间：由视线、几何和反演设定；原始来源未给出统一数值。</w:t>
      </w:r>
    </w:p>
    <w:p>
      <w:pPr>
        <w:widowControl/>
      </w:pPr>
      <w:r>
        <w:rPr>
          <w:rFonts w:ascii="Calibri" w:hAnsi="Calibri" w:eastAsia="Microsoft YaHei"/>
          <w:b/>
          <w:color w:val="1F4D78"/>
        </w:rPr>
        <w:t>仪器与传感器：</w:t>
      </w:r>
      <w:r>
        <w:rPr>
          <w:rFonts w:ascii="Calibri" w:hAnsi="Calibri" w:eastAsia="Microsoft YaHei"/>
        </w:rPr>
        <w:t>CTS；NPA；FILD；IR camera；neutron camera/activation probe</w:t>
      </w:r>
    </w:p>
    <w:p>
      <w:pPr>
        <w:widowControl/>
      </w:pPr>
      <w:r>
        <w:rPr>
          <w:rFonts w:ascii="Calibri" w:hAnsi="Calibri" w:eastAsia="Microsoft YaHei"/>
          <w:b/>
          <w:color w:val="1F4D78"/>
        </w:rPr>
        <w:t>标定与质量：</w:t>
      </w:r>
      <w:r>
        <w:rPr>
          <w:rFonts w:ascii="Calibri" w:hAnsi="Calibri" w:eastAsia="Microsoft YaHei"/>
        </w:rPr>
        <w:t>各下游诊断需独立响应和几何校准；ASCOT5 主要校验轨道/碰撞物理与壁交点。</w:t>
      </w:r>
    </w:p>
    <w:p>
      <w:pPr>
        <w:widowControl/>
      </w:pPr>
      <w:r>
        <w:rPr>
          <w:rFonts w:ascii="Calibri" w:hAnsi="Calibri" w:eastAsia="Microsoft YaHei"/>
          <w:b/>
          <w:color w:val="1F4D78"/>
        </w:rPr>
        <w:t>反演与分析：</w:t>
      </w:r>
      <w:r>
        <w:rPr>
          <w:rFonts w:ascii="Calibri" w:hAnsi="Calibri" w:eastAsia="Microsoft YaHei"/>
        </w:rPr>
        <w:t>forward distribution；diagnostic comparison；loss mapping</w:t>
      </w:r>
    </w:p>
    <w:p>
      <w:pPr>
        <w:widowControl/>
      </w:pPr>
      <w:r>
        <w:rPr>
          <w:rFonts w:ascii="Calibri" w:hAnsi="Calibri" w:eastAsia="Microsoft YaHei"/>
          <w:b/>
          <w:color w:val="1F4D78"/>
        </w:rPr>
        <w:t>验证与应用：</w:t>
      </w:r>
      <w:r>
        <w:rPr>
          <w:rFonts w:ascii="Calibri" w:hAnsi="Calibri" w:eastAsia="Microsoft YaHei"/>
        </w:rPr>
        <w:t>ASCOT5 对新经典输运解析结果和 ASCOT4 做验证；多装置研究比较多种快离子诊断的相空间覆盖。</w:t>
      </w:r>
    </w:p>
    <w:p>
      <w:pPr>
        <w:widowControl/>
      </w:pPr>
      <w:r>
        <w:rPr>
          <w:rFonts w:ascii="Calibri" w:hAnsi="Calibri" w:eastAsia="Microsoft YaHei"/>
          <w:b/>
          <w:color w:val="1F4D78"/>
        </w:rPr>
        <w:t>局限与边界：</w:t>
      </w:r>
      <w:r>
        <w:rPr>
          <w:rFonts w:ascii="Calibri" w:hAnsi="Calibri" w:eastAsia="Microsoft YaHei"/>
        </w:rPr>
        <w:t>它是粒子物理教师模型而非统一仪器模拟器；诊断响应常由外部代码完成，计算成本高且输入场误差显著。</w:t>
      </w:r>
    </w:p>
    <w:tbl>
      <w:tblPr>
        <w:tblStyle w:val="TableGrid"/>
        <w:tblW w:type="dxa" w:w="9360"/>
        <w:jc w:val="left"/>
        <w:tblLayout w:type="fixed"/>
        <w:tblLook w:firstColumn="1" w:firstRow="1" w:lastColumn="0" w:lastRow="0" w:noHBand="0" w:noVBand="1" w:val="04A0"/>
        <w:tblInd w:w="120" w:type="dxa"/>
      </w:tblPr>
      <w:tblGrid>
        <w:gridCol w:w="9360"/>
      </w:tblGrid>
      <w:tr>
        <w:trPr>
          <w:cantSplit/>
        </w:trPr>
        <w:tc>
          <w:tcPr>
            <w:tcW w:type="dxa" w:w="9360"/>
            <w:tcMar>
              <w:top w:w="80" w:type="dxa"/>
              <w:bottom w:w="80" w:type="dxa"/>
              <w:start w:w="120" w:type="dxa"/>
              <w:end w:w="120" w:type="dxa"/>
            </w:tcMar>
            <w:vAlign w:val="center"/>
            <w:shd w:fill="EEF7F7"/>
          </w:tcPr>
          <w:p>
            <w:pPr>
              <w:keepNext/>
              <w:keepLines/>
              <w:spacing w:after="40"/>
            </w:pPr>
            <w:r>
              <w:rPr>
                <w:rFonts w:ascii="Calibri" w:hAnsi="Calibri" w:eastAsia="Microsoft YaHei"/>
                <w:b/>
                <w:color w:val="008C95"/>
                <w:sz w:val="17"/>
              </w:rPr>
              <w:t>DIGITAL-TWIN RELEVANCE</w:t>
            </w:r>
          </w:p>
          <w:p>
            <w:pPr>
              <w:spacing w:after="0"/>
            </w:pPr>
            <w:r>
              <w:rPr>
                <w:rFonts w:ascii="Calibri" w:hAnsi="Calibri" w:eastAsia="Microsoft YaHei"/>
                <w:color w:val="0B2545"/>
                <w:sz w:val="20"/>
              </w:rPr>
              <w:t>支撑快离子状态—壁载荷—诊断响应的跨域闭环，可生成代理训练集和场景证据。</w:t>
            </w:r>
          </w:p>
        </w:tc>
      </w:tr>
    </w:tbl>
    <w:p>
      <w:pPr>
        <w:spacing w:after="40"/>
      </w:pPr>
    </w:p>
    <w:tbl>
      <w:tblPr>
        <w:tblStyle w:val="TableGrid"/>
        <w:tblW w:type="dxa" w:w="9360"/>
        <w:jc w:val="left"/>
        <w:tblLayout w:type="fixed"/>
        <w:tblLook w:firstColumn="1" w:firstRow="1" w:lastColumn="0" w:lastRow="0" w:noHBand="0" w:noVBand="1" w:val="04A0"/>
        <w:tblInd w:w="120" w:type="dxa"/>
      </w:tblPr>
      <w:tblGrid>
        <w:gridCol w:w="850"/>
        <w:gridCol w:w="2500"/>
        <w:gridCol w:w="1600"/>
        <w:gridCol w:w="2300"/>
        <w:gridCol w:w="2110"/>
      </w:tblGrid>
      <w:tr>
        <w:trPr>
          <w:tblHeader w:val="true"/>
        </w:trPr>
        <w:tc>
          <w:tcPr>
            <w:tcW w:type="dxa" w:w="8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年份/类型</w:t>
            </w:r>
          </w:p>
        </w:tc>
        <w:tc>
          <w:tcPr>
            <w:tcW w:type="dxa" w:w="25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论文或软件</w:t>
            </w:r>
          </w:p>
        </w:tc>
        <w:tc>
          <w:tcPr>
            <w:tcW w:type="dxa" w:w="16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期刊/开放性</w:t>
            </w:r>
          </w:p>
        </w:tc>
        <w:tc>
          <w:tcPr>
            <w:tcW w:type="dxa" w:w="23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来源类型/关系</w:t>
            </w:r>
          </w:p>
        </w:tc>
        <w:tc>
          <w:tcPr>
            <w:tcW w:type="dxa" w:w="211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链接</w:t>
            </w:r>
          </w:p>
        </w:tc>
      </w:tr>
      <w:tr>
        <w:trPr>
          <w:cantSplit/>
        </w:trPr>
        <w:tc>
          <w:tcPr>
            <w:tcW w:type="dxa" w:w="850"/>
          </w:tcPr>
          <w:p>
            <w:pPr>
              <w:keepLines/>
              <w:spacing w:after="0" w:line="276" w:lineRule="auto"/>
            </w:pPr>
            <w:r>
              <w:rPr>
                <w:rFonts w:ascii="Calibri" w:hAnsi="Calibri" w:eastAsia="Microsoft YaHei"/>
                <w:color w:val="0B2545"/>
                <w:sz w:val="14"/>
              </w:rPr>
              <w:t>2019</w:t>
            </w:r>
          </w:p>
        </w:tc>
        <w:tc>
          <w:tcPr>
            <w:tcW w:type="dxa" w:w="2500"/>
          </w:tcPr>
          <w:p>
            <w:pPr>
              <w:keepLines/>
              <w:spacing w:after="0" w:line="276" w:lineRule="auto"/>
            </w:pPr>
            <w:r>
              <w:rPr>
                <w:rFonts w:ascii="Calibri" w:hAnsi="Calibri" w:eastAsia="Microsoft YaHei"/>
                <w:color w:val="0B2545"/>
                <w:sz w:val="14"/>
              </w:rPr>
              <w:t>High-performance orbit-following code ASCOT5 for Monte Carlo simulations in fusion plasmas</w:t>
            </w:r>
          </w:p>
        </w:tc>
        <w:tc>
          <w:tcPr>
            <w:tcW w:type="dxa" w:w="1600"/>
          </w:tcPr>
          <w:p>
            <w:pPr>
              <w:keepLines/>
              <w:spacing w:after="0" w:line="276" w:lineRule="auto"/>
            </w:pPr>
            <w:r>
              <w:rPr>
                <w:rFonts w:ascii="Calibri" w:hAnsi="Calibri" w:eastAsia="Microsoft YaHei"/>
                <w:color w:val="0B2545"/>
                <w:sz w:val="14"/>
              </w:rPr>
              <w:t>原始论文 / 官方来源</w:t>
            </w:r>
          </w:p>
        </w:tc>
        <w:tc>
          <w:tcPr>
            <w:tcW w:type="dxa" w:w="2300"/>
          </w:tcPr>
          <w:p>
            <w:pPr>
              <w:keepLines/>
              <w:spacing w:after="0" w:line="276" w:lineRule="auto"/>
            </w:pPr>
            <w:r>
              <w:rPr>
                <w:rFonts w:ascii="Calibri" w:hAnsi="Calibri" w:eastAsia="Microsoft YaHei"/>
                <w:color w:val="0B2545"/>
                <w:sz w:val="14"/>
              </w:rPr>
              <w:t>author primary preprint</w:t>
            </w:r>
          </w:p>
        </w:tc>
        <w:tc>
          <w:tcPr>
            <w:tcW w:type="dxa" w:w="2110"/>
          </w:tcPr>
          <w:p>
            <w:pPr>
              <w:keepLines/>
              <w:spacing w:after="0" w:line="276" w:lineRule="auto"/>
            </w:pPr>
            <w:hyperlink r:id="rId180">
              <w:r>
                <w:rPr>
                  <w:rFonts w:ascii="Calibri" w:hAnsi="Calibri" w:eastAsia="Microsoft YaHei"/>
                  <w:color w:val="008C95"/>
                  <w:u w:val="single"/>
                </w:rPr>
                <w:t>打开原始来源 ↗</w:t>
              </w:r>
            </w:hyperlink>
          </w:p>
        </w:tc>
      </w:tr>
      <w:tr>
        <w:trPr>
          <w:cantSplit/>
        </w:trPr>
        <w:tc>
          <w:tcPr>
            <w:tcW w:type="dxa" w:w="850"/>
          </w:tcPr>
          <w:p>
            <w:pPr>
              <w:keepLines/>
              <w:spacing w:after="0" w:line="276" w:lineRule="auto"/>
            </w:pPr>
            <w:r>
              <w:rPr>
                <w:rFonts w:ascii="Calibri" w:hAnsi="Calibri" w:eastAsia="Microsoft YaHei"/>
                <w:color w:val="0B2545"/>
                <w:sz w:val="14"/>
              </w:rPr>
              <w:t>2019</w:t>
            </w:r>
          </w:p>
        </w:tc>
        <w:tc>
          <w:tcPr>
            <w:tcW w:type="dxa" w:w="2500"/>
          </w:tcPr>
          <w:p>
            <w:pPr>
              <w:keepLines/>
              <w:spacing w:after="0" w:line="276" w:lineRule="auto"/>
            </w:pPr>
            <w:r>
              <w:rPr>
                <w:rFonts w:ascii="Calibri" w:hAnsi="Calibri" w:eastAsia="Microsoft YaHei"/>
                <w:color w:val="0B2545"/>
                <w:sz w:val="14"/>
              </w:rPr>
              <w:t>Comparative study of fast-ion diagnostics using orbit-following simulations</w:t>
            </w:r>
          </w:p>
        </w:tc>
        <w:tc>
          <w:tcPr>
            <w:tcW w:type="dxa" w:w="1600"/>
          </w:tcPr>
          <w:p>
            <w:pPr>
              <w:keepLines/>
              <w:spacing w:after="0" w:line="276" w:lineRule="auto"/>
            </w:pPr>
            <w:r>
              <w:rPr>
                <w:rFonts w:ascii="Calibri" w:hAnsi="Calibri" w:eastAsia="Microsoft YaHei"/>
                <w:color w:val="0B2545"/>
                <w:sz w:val="14"/>
              </w:rPr>
              <w:t>原始论文 / 官方来源</w:t>
            </w:r>
          </w:p>
        </w:tc>
        <w:tc>
          <w:tcPr>
            <w:tcW w:type="dxa" w:w="2300"/>
          </w:tcPr>
          <w:p>
            <w:pPr>
              <w:keepLines/>
              <w:spacing w:after="0" w:line="276" w:lineRule="auto"/>
            </w:pPr>
            <w:r>
              <w:rPr>
                <w:rFonts w:ascii="Calibri" w:hAnsi="Calibri" w:eastAsia="Microsoft YaHei"/>
                <w:color w:val="0B2545"/>
                <w:sz w:val="14"/>
              </w:rPr>
              <w:t>author primary preprint</w:t>
            </w:r>
          </w:p>
        </w:tc>
        <w:tc>
          <w:tcPr>
            <w:tcW w:type="dxa" w:w="2110"/>
          </w:tcPr>
          <w:p>
            <w:pPr>
              <w:keepLines/>
              <w:spacing w:after="0" w:line="276" w:lineRule="auto"/>
            </w:pPr>
            <w:hyperlink r:id="rId181">
              <w:r>
                <w:rPr>
                  <w:rFonts w:ascii="Calibri" w:hAnsi="Calibri" w:eastAsia="Microsoft YaHei"/>
                  <w:color w:val="008C95"/>
                  <w:u w:val="single"/>
                </w:rPr>
                <w:t>打开原始来源 ↗</w:t>
              </w:r>
            </w:hyperlink>
          </w:p>
        </w:tc>
      </w:tr>
      <w:tr>
        <w:trPr>
          <w:cantSplit/>
        </w:trPr>
        <w:tc>
          <w:tcPr>
            <w:tcW w:type="dxa" w:w="850"/>
          </w:tcPr>
          <w:p>
            <w:pPr>
              <w:keepLines/>
              <w:spacing w:after="0" w:line="276" w:lineRule="auto"/>
            </w:pPr>
            <w:r>
              <w:rPr>
                <w:rFonts w:ascii="Calibri" w:hAnsi="Calibri" w:eastAsia="Microsoft YaHei"/>
                <w:color w:val="0B2545"/>
                <w:sz w:val="14"/>
              </w:rPr>
              <w:t>软件</w:t>
            </w:r>
          </w:p>
        </w:tc>
        <w:tc>
          <w:tcPr>
            <w:tcW w:type="dxa" w:w="2500"/>
          </w:tcPr>
          <w:p>
            <w:pPr>
              <w:keepLines/>
              <w:spacing w:after="0" w:line="276" w:lineRule="auto"/>
            </w:pPr>
            <w:r>
              <w:rPr>
                <w:rFonts w:ascii="Calibri" w:hAnsi="Calibri" w:eastAsia="Microsoft YaHei"/>
                <w:color w:val="0B2545"/>
                <w:sz w:val="14"/>
              </w:rPr>
              <w:t>ASCOT5</w:t>
            </w:r>
          </w:p>
        </w:tc>
        <w:tc>
          <w:tcPr>
            <w:tcW w:type="dxa" w:w="1600"/>
          </w:tcPr>
          <w:p>
            <w:pPr>
              <w:keepLines/>
              <w:spacing w:after="0" w:line="276" w:lineRule="auto"/>
            </w:pPr>
            <w:r>
              <w:rPr>
                <w:rFonts w:ascii="Calibri" w:hAnsi="Calibri" w:eastAsia="Microsoft YaHei"/>
                <w:color w:val="0B2545"/>
                <w:sz w:val="14"/>
              </w:rPr>
              <w:t>official-direct</w:t>
            </w:r>
          </w:p>
        </w:tc>
        <w:tc>
          <w:tcPr>
            <w:tcW w:type="dxa" w:w="2300"/>
          </w:tcPr>
          <w:p>
            <w:pPr>
              <w:keepLines/>
              <w:spacing w:after="0" w:line="276" w:lineRule="auto"/>
            </w:pPr>
            <w:r>
              <w:rPr>
                <w:rFonts w:ascii="Calibri" w:hAnsi="Calibri" w:eastAsia="Microsoft YaHei"/>
                <w:color w:val="0B2545"/>
                <w:sz w:val="14"/>
              </w:rPr>
              <w:t>ASCOT 开发团队官方公开仓库。</w:t>
            </w:r>
          </w:p>
        </w:tc>
        <w:tc>
          <w:tcPr>
            <w:tcW w:type="dxa" w:w="2110"/>
          </w:tcPr>
          <w:p>
            <w:pPr>
              <w:keepLines/>
              <w:spacing w:after="0" w:line="276" w:lineRule="auto"/>
            </w:pPr>
            <w:hyperlink r:id="rId182">
              <w:r>
                <w:rPr>
                  <w:rFonts w:ascii="Calibri" w:hAnsi="Calibri" w:eastAsia="Microsoft YaHei"/>
                  <w:color w:val="008C95"/>
                  <w:u w:val="single"/>
                </w:rPr>
                <w:t>打开原始来源 ↗</w:t>
              </w:r>
            </w:hyperlink>
          </w:p>
        </w:tc>
      </w:tr>
    </w:tbl>
    <w:p>
      <w:pPr>
        <w:spacing w:before="0" w:after="60"/>
      </w:pPr>
    </w:p>
    <w:p>
      <w:pPr>
        <w:pStyle w:val="Heading3"/>
        <w:keepNext/>
      </w:pPr>
      <w:r>
        <w:t>DG9.12  DRESS/pydress 任意反应物分布的聚变中子谱合成</w:t>
      </w:r>
    </w:p>
    <w:p>
      <w:pPr>
        <w:keepNext/>
        <w:spacing w:after="80"/>
      </w:pPr>
      <w:r>
        <w:rPr>
          <w:rFonts w:ascii="Calibri" w:hAnsi="Calibri" w:eastAsia="Microsoft YaHei"/>
          <w:i/>
          <w:color w:val="566573"/>
          <w:sz w:val="18"/>
        </w:rPr>
        <w:t>DRESS/pydress Fusion Neutron Spectra from Arbitrary Reactant Distributions</w:t>
      </w:r>
    </w:p>
    <w:tbl>
      <w:tblPr>
        <w:tblStyle w:val="TableGrid"/>
        <w:tblW w:type="dxa" w:w="9360"/>
        <w:jc w:val="left"/>
        <w:tblLayout w:type="fixed"/>
        <w:tblLook w:firstColumn="1" w:firstRow="1" w:lastColumn="0" w:lastRow="0" w:noHBand="0" w:noVBand="1" w:val="04A0"/>
        <w:tblInd w:w="120" w:type="dxa"/>
      </w:tblPr>
      <w:tblGrid>
        <w:gridCol w:w="1200"/>
        <w:gridCol w:w="750"/>
        <w:gridCol w:w="750"/>
        <w:gridCol w:w="2100"/>
        <w:gridCol w:w="4560"/>
      </w:tblGrid>
      <w:tr>
        <w:trPr>
          <w:tblHeader w:val="true"/>
        </w:trPr>
        <w:tc>
          <w:tcPr>
            <w:tcW w:type="dxa" w:w="12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工作 ID</w:t>
            </w:r>
          </w:p>
        </w:tc>
        <w:tc>
          <w:tcPr>
            <w:tcW w:type="dxa" w:w="7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证据</w:t>
            </w:r>
          </w:p>
        </w:tc>
        <w:tc>
          <w:tcPr>
            <w:tcW w:type="dxa" w:w="7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部署</w:t>
            </w:r>
          </w:p>
        </w:tc>
        <w:tc>
          <w:tcPr>
            <w:tcW w:type="dxa" w:w="21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技术族</w:t>
            </w:r>
          </w:p>
        </w:tc>
        <w:tc>
          <w:tcPr>
            <w:tcW w:type="dxa" w:w="456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装置</w:t>
            </w:r>
          </w:p>
        </w:tc>
      </w:tr>
      <w:tr>
        <w:trPr>
          <w:cantSplit/>
        </w:trPr>
        <w:tc>
          <w:tcPr>
            <w:tcW w:type="dxa" w:w="1200"/>
          </w:tcPr>
          <w:p>
            <w:pPr>
              <w:keepLines/>
              <w:spacing w:after="0" w:line="276" w:lineRule="auto"/>
            </w:pPr>
            <w:r>
              <w:rPr>
                <w:rFonts w:ascii="Calibri" w:hAnsi="Calibri" w:eastAsia="Microsoft YaHei"/>
                <w:color w:val="0B2545"/>
                <w:sz w:val="15"/>
              </w:rPr>
              <w:t>DSI-020</w:t>
            </w:r>
          </w:p>
        </w:tc>
        <w:tc>
          <w:tcPr>
            <w:tcW w:type="dxa" w:w="750"/>
          </w:tcPr>
          <w:p>
            <w:pPr>
              <w:keepLines/>
              <w:spacing w:after="0" w:line="276" w:lineRule="auto"/>
            </w:pPr>
            <w:r>
              <w:rPr>
                <w:rFonts w:ascii="Calibri" w:hAnsi="Calibri" w:eastAsia="Microsoft YaHei"/>
                <w:color w:val="0B2545"/>
                <w:sz w:val="15"/>
              </w:rPr>
              <w:t>E3</w:t>
            </w:r>
          </w:p>
        </w:tc>
        <w:tc>
          <w:tcPr>
            <w:tcW w:type="dxa" w:w="750"/>
          </w:tcPr>
          <w:p>
            <w:pPr>
              <w:keepLines/>
              <w:spacing w:after="0" w:line="276" w:lineRule="auto"/>
            </w:pPr>
            <w:r>
              <w:rPr>
                <w:rFonts w:ascii="Calibri" w:hAnsi="Calibri" w:eastAsia="Microsoft YaHei"/>
                <w:color w:val="0B2545"/>
                <w:sz w:val="15"/>
              </w:rPr>
              <w:t>D2</w:t>
            </w:r>
          </w:p>
        </w:tc>
        <w:tc>
          <w:tcPr>
            <w:tcW w:type="dxa" w:w="2100"/>
          </w:tcPr>
          <w:p>
            <w:pPr>
              <w:keepLines/>
              <w:spacing w:after="0" w:line="276" w:lineRule="auto"/>
            </w:pPr>
            <w:r>
              <w:rPr>
                <w:rFonts w:ascii="Calibri" w:hAnsi="Calibri" w:eastAsia="Microsoft YaHei"/>
                <w:color w:val="0B2545"/>
                <w:sz w:val="15"/>
              </w:rPr>
              <w:t>NUCLEAR_PARTICLE</w:t>
            </w:r>
          </w:p>
        </w:tc>
        <w:tc>
          <w:tcPr>
            <w:tcW w:type="dxa" w:w="4560"/>
          </w:tcPr>
          <w:p>
            <w:pPr>
              <w:keepLines/>
              <w:spacing w:after="0" w:line="276" w:lineRule="auto"/>
            </w:pPr>
            <w:r>
              <w:rPr>
                <w:rFonts w:ascii="Calibri" w:hAnsi="Calibri" w:eastAsia="Microsoft YaHei"/>
                <w:color w:val="0B2545"/>
                <w:sz w:val="15"/>
              </w:rPr>
              <w:t>MAST；generic D-D/D-T devices；ITER/DEMO scenario studies</w:t>
            </w:r>
          </w:p>
        </w:tc>
      </w:tr>
    </w:tbl>
    <w:p>
      <w:pPr>
        <w:spacing w:before="0" w:after="60"/>
      </w:pPr>
    </w:p>
    <w:p>
      <w:pPr>
        <w:widowControl/>
      </w:pPr>
      <w:r>
        <w:rPr>
          <w:rFonts w:ascii="Calibri" w:hAnsi="Calibri" w:eastAsia="Microsoft YaHei"/>
          <w:b/>
          <w:color w:val="1F4D78"/>
        </w:rPr>
        <w:t>解决问题：</w:t>
      </w:r>
      <w:r>
        <w:rPr>
          <w:rFonts w:ascii="Calibri" w:hAnsi="Calibri" w:eastAsia="Microsoft YaHei"/>
        </w:rPr>
        <w:t>非麦克斯韦、各向异性和快离子尾会改变中子能谱，仅用温度展宽公式无法解释燃烧等离子体。</w:t>
      </w:r>
    </w:p>
    <w:p>
      <w:pPr>
        <w:widowControl/>
      </w:pPr>
      <w:r>
        <w:rPr>
          <w:rFonts w:ascii="Calibri" w:hAnsi="Calibri" w:eastAsia="Microsoft YaHei"/>
          <w:b/>
          <w:color w:val="1F4D78"/>
        </w:rPr>
        <w:t>测量原理：</w:t>
      </w:r>
      <w:r>
        <w:rPr>
          <w:rFonts w:ascii="Calibri" w:hAnsi="Calibri" w:eastAsia="Microsoft YaHei"/>
        </w:rPr>
        <w:t>从任意反应物速度分布采样双体反应运动学与微分截面，生成观察方向相关的中子/产物能谱。</w:t>
      </w:r>
    </w:p>
    <w:p>
      <w:pPr>
        <w:widowControl/>
      </w:pPr>
      <w:r>
        <w:rPr>
          <w:rFonts w:ascii="Calibri" w:hAnsi="Calibri" w:eastAsia="Microsoft YaHei"/>
          <w:b/>
          <w:color w:val="1F4D78"/>
        </w:rPr>
        <w:t>测量产品：</w:t>
      </w:r>
      <w:r>
        <w:rPr>
          <w:rFonts w:ascii="Calibri" w:hAnsi="Calibri" w:eastAsia="Microsoft YaHei"/>
        </w:rPr>
        <w:t>neutron energy spectrum；reaction rate；spectral moments；anisotropy</w:t>
      </w:r>
    </w:p>
    <w:p>
      <w:pPr>
        <w:widowControl/>
      </w:pPr>
      <w:r>
        <w:rPr>
          <w:rFonts w:ascii="Calibri" w:hAnsi="Calibri" w:eastAsia="Microsoft YaHei"/>
          <w:b/>
          <w:color w:val="1F4D78"/>
        </w:rPr>
        <w:t>时空分辨与覆盖：</w:t>
      </w:r>
      <w:r>
        <w:rPr>
          <w:rFonts w:ascii="Calibri" w:hAnsi="Calibri" w:eastAsia="Microsoft YaHei"/>
        </w:rPr>
        <w:t>时间：因装置、采集和分析链而异；原始来源未给出统一数值。；空间：由视线、几何和反演设定；原始来源未给出统一数值。</w:t>
      </w:r>
    </w:p>
    <w:p>
      <w:pPr>
        <w:widowControl/>
      </w:pPr>
      <w:r>
        <w:rPr>
          <w:rFonts w:ascii="Calibri" w:hAnsi="Calibri" w:eastAsia="Microsoft YaHei"/>
          <w:b/>
          <w:color w:val="1F4D78"/>
        </w:rPr>
        <w:t>仪器与传感器：</w:t>
      </w:r>
      <w:r>
        <w:rPr>
          <w:rFonts w:ascii="Calibri" w:hAnsi="Calibri" w:eastAsia="Microsoft YaHei"/>
        </w:rPr>
        <w:t>neutron spectrometers</w:t>
      </w:r>
    </w:p>
    <w:p>
      <w:pPr>
        <w:widowControl/>
      </w:pPr>
      <w:r>
        <w:rPr>
          <w:rFonts w:ascii="Calibri" w:hAnsi="Calibri" w:eastAsia="Microsoft YaHei"/>
          <w:b/>
          <w:color w:val="1F4D78"/>
        </w:rPr>
        <w:t>标定与质量：</w:t>
      </w:r>
      <w:r>
        <w:rPr>
          <w:rFonts w:ascii="Calibri" w:hAnsi="Calibri" w:eastAsia="Microsoft YaHei"/>
        </w:rPr>
        <w:t>代码输出源谱；与探测数据比较前还需探测器响应矩阵、能标、效率、散射背景和绝对通量校准。</w:t>
      </w:r>
    </w:p>
    <w:p>
      <w:pPr>
        <w:widowControl/>
      </w:pPr>
      <w:r>
        <w:rPr>
          <w:rFonts w:ascii="Calibri" w:hAnsi="Calibri" w:eastAsia="Microsoft YaHei"/>
          <w:b/>
          <w:color w:val="1F4D78"/>
        </w:rPr>
        <w:t>反演与分析：</w:t>
      </w:r>
      <w:r>
        <w:rPr>
          <w:rFonts w:ascii="Calibri" w:hAnsi="Calibri" w:eastAsia="Microsoft YaHei"/>
        </w:rPr>
        <w:t>ion-temperature interpretation；fast-ion tail sensitivity；source-spectrum prediction</w:t>
      </w:r>
    </w:p>
    <w:p>
      <w:pPr>
        <w:widowControl/>
      </w:pPr>
      <w:r>
        <w:rPr>
          <w:rFonts w:ascii="Calibri" w:hAnsi="Calibri" w:eastAsia="Microsoft YaHei"/>
          <w:b/>
          <w:color w:val="1F4D78"/>
        </w:rPr>
        <w:t>验证与应用：</w:t>
      </w:r>
      <w:r>
        <w:rPr>
          <w:rFonts w:ascii="Calibri" w:hAnsi="Calibri" w:eastAsia="Microsoft YaHei"/>
        </w:rPr>
        <w:t>方法论文给出运动学/截面核验；后续在 MAST 与实测中子谱和快离子模型比较。</w:t>
      </w:r>
    </w:p>
    <w:p>
      <w:pPr>
        <w:widowControl/>
      </w:pPr>
      <w:r>
        <w:rPr>
          <w:rFonts w:ascii="Calibri" w:hAnsi="Calibri" w:eastAsia="Microsoft YaHei"/>
          <w:b/>
          <w:color w:val="1F4D78"/>
        </w:rPr>
        <w:t>局限与边界：</w:t>
      </w:r>
      <w:r>
        <w:rPr>
          <w:rFonts w:ascii="Calibri" w:hAnsi="Calibri" w:eastAsia="Microsoft YaHei"/>
        </w:rPr>
        <w:t>不含完整装置中子输运和探测器响应；反应物分布误差、核数据与背景会耦合。</w:t>
      </w:r>
    </w:p>
    <w:tbl>
      <w:tblPr>
        <w:tblStyle w:val="TableGrid"/>
        <w:tblW w:type="dxa" w:w="9360"/>
        <w:jc w:val="left"/>
        <w:tblLayout w:type="fixed"/>
        <w:tblLook w:firstColumn="1" w:firstRow="1" w:lastColumn="0" w:lastRow="0" w:noHBand="0" w:noVBand="1" w:val="04A0"/>
        <w:tblInd w:w="120" w:type="dxa"/>
      </w:tblPr>
      <w:tblGrid>
        <w:gridCol w:w="9360"/>
      </w:tblGrid>
      <w:tr>
        <w:trPr>
          <w:cantSplit/>
        </w:trPr>
        <w:tc>
          <w:tcPr>
            <w:tcW w:type="dxa" w:w="9360"/>
            <w:tcMar>
              <w:top w:w="80" w:type="dxa"/>
              <w:bottom w:w="80" w:type="dxa"/>
              <w:start w:w="120" w:type="dxa"/>
              <w:end w:w="120" w:type="dxa"/>
            </w:tcMar>
            <w:vAlign w:val="center"/>
            <w:shd w:fill="EEF7F7"/>
          </w:tcPr>
          <w:p>
            <w:pPr>
              <w:keepNext/>
              <w:keepLines/>
              <w:spacing w:after="40"/>
            </w:pPr>
            <w:r>
              <w:rPr>
                <w:rFonts w:ascii="Calibri" w:hAnsi="Calibri" w:eastAsia="Microsoft YaHei"/>
                <w:b/>
                <w:color w:val="008C95"/>
                <w:sz w:val="17"/>
              </w:rPr>
              <w:t>DIGITAL-TWIN RELEVANCE</w:t>
            </w:r>
          </w:p>
          <w:p>
            <w:pPr>
              <w:spacing w:after="0"/>
            </w:pPr>
            <w:r>
              <w:rPr>
                <w:rFonts w:ascii="Calibri" w:hAnsi="Calibri" w:eastAsia="Microsoft YaHei"/>
                <w:color w:val="0B2545"/>
                <w:sz w:val="20"/>
              </w:rPr>
              <w:t>为聚变功率和燃料离子孪生提供源项观测算子，应与 OpenMC/MCNP 探测器输运串联。</w:t>
            </w:r>
          </w:p>
        </w:tc>
      </w:tr>
    </w:tbl>
    <w:p>
      <w:pPr>
        <w:spacing w:after="40"/>
      </w:pPr>
    </w:p>
    <w:tbl>
      <w:tblPr>
        <w:tblStyle w:val="TableGrid"/>
        <w:tblW w:type="dxa" w:w="9360"/>
        <w:jc w:val="left"/>
        <w:tblLayout w:type="fixed"/>
        <w:tblLook w:firstColumn="1" w:firstRow="1" w:lastColumn="0" w:lastRow="0" w:noHBand="0" w:noVBand="1" w:val="04A0"/>
        <w:tblInd w:w="120" w:type="dxa"/>
      </w:tblPr>
      <w:tblGrid>
        <w:gridCol w:w="850"/>
        <w:gridCol w:w="2500"/>
        <w:gridCol w:w="1600"/>
        <w:gridCol w:w="2300"/>
        <w:gridCol w:w="2110"/>
      </w:tblGrid>
      <w:tr>
        <w:trPr>
          <w:tblHeader w:val="true"/>
        </w:trPr>
        <w:tc>
          <w:tcPr>
            <w:tcW w:type="dxa" w:w="8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年份/类型</w:t>
            </w:r>
          </w:p>
        </w:tc>
        <w:tc>
          <w:tcPr>
            <w:tcW w:type="dxa" w:w="25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论文或软件</w:t>
            </w:r>
          </w:p>
        </w:tc>
        <w:tc>
          <w:tcPr>
            <w:tcW w:type="dxa" w:w="16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期刊/开放性</w:t>
            </w:r>
          </w:p>
        </w:tc>
        <w:tc>
          <w:tcPr>
            <w:tcW w:type="dxa" w:w="23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来源类型/关系</w:t>
            </w:r>
          </w:p>
        </w:tc>
        <w:tc>
          <w:tcPr>
            <w:tcW w:type="dxa" w:w="211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链接</w:t>
            </w:r>
          </w:p>
        </w:tc>
      </w:tr>
      <w:tr>
        <w:trPr>
          <w:cantSplit/>
        </w:trPr>
        <w:tc>
          <w:tcPr>
            <w:tcW w:type="dxa" w:w="850"/>
          </w:tcPr>
          <w:p>
            <w:pPr>
              <w:keepLines/>
              <w:spacing w:after="0" w:line="276" w:lineRule="auto"/>
            </w:pPr>
            <w:r>
              <w:rPr>
                <w:rFonts w:ascii="Calibri" w:hAnsi="Calibri" w:eastAsia="Microsoft YaHei"/>
                <w:color w:val="0B2545"/>
                <w:sz w:val="14"/>
              </w:rPr>
              <w:t>2016</w:t>
            </w:r>
          </w:p>
        </w:tc>
        <w:tc>
          <w:tcPr>
            <w:tcW w:type="dxa" w:w="2500"/>
          </w:tcPr>
          <w:p>
            <w:pPr>
              <w:keepLines/>
              <w:spacing w:after="0" w:line="276" w:lineRule="auto"/>
            </w:pPr>
            <w:r>
              <w:rPr>
                <w:rFonts w:ascii="Calibri" w:hAnsi="Calibri" w:eastAsia="Microsoft YaHei"/>
                <w:color w:val="0B2545"/>
                <w:sz w:val="14"/>
              </w:rPr>
              <w:t>Calculating fusion neutron energy spectra from arbitrary reactant distributions</w:t>
            </w:r>
          </w:p>
        </w:tc>
        <w:tc>
          <w:tcPr>
            <w:tcW w:type="dxa" w:w="1600"/>
          </w:tcPr>
          <w:p>
            <w:pPr>
              <w:keepLines/>
              <w:spacing w:after="0" w:line="276" w:lineRule="auto"/>
            </w:pPr>
            <w:r>
              <w:rPr>
                <w:rFonts w:ascii="Calibri" w:hAnsi="Calibri" w:eastAsia="Microsoft YaHei"/>
                <w:color w:val="0B2545"/>
                <w:sz w:val="14"/>
              </w:rPr>
              <w:t>Computer Physics Communications</w:t>
            </w:r>
          </w:p>
        </w:tc>
        <w:tc>
          <w:tcPr>
            <w:tcW w:type="dxa" w:w="2300"/>
          </w:tcPr>
          <w:p>
            <w:pPr>
              <w:keepLines/>
              <w:spacing w:after="0" w:line="276" w:lineRule="auto"/>
            </w:pPr>
            <w:r>
              <w:rPr>
                <w:rFonts w:ascii="Calibri" w:hAnsi="Calibri" w:eastAsia="Microsoft YaHei"/>
                <w:color w:val="0B2545"/>
                <w:sz w:val="14"/>
              </w:rPr>
              <w:t>peer-reviewed primary method report</w:t>
            </w:r>
          </w:p>
        </w:tc>
        <w:tc>
          <w:tcPr>
            <w:tcW w:type="dxa" w:w="2110"/>
          </w:tcPr>
          <w:p>
            <w:pPr>
              <w:keepLines/>
              <w:spacing w:after="0" w:line="276" w:lineRule="auto"/>
            </w:pPr>
            <w:hyperlink r:id="rId183">
              <w:r>
                <w:rPr>
                  <w:rFonts w:ascii="Calibri" w:hAnsi="Calibri" w:eastAsia="Microsoft YaHei"/>
                  <w:color w:val="008C95"/>
                  <w:u w:val="single"/>
                </w:rPr>
                <w:t>打开原始来源 ↗</w:t>
              </w:r>
            </w:hyperlink>
          </w:p>
        </w:tc>
      </w:tr>
      <w:tr>
        <w:trPr>
          <w:cantSplit/>
        </w:trPr>
        <w:tc>
          <w:tcPr>
            <w:tcW w:type="dxa" w:w="850"/>
          </w:tcPr>
          <w:p>
            <w:pPr>
              <w:keepLines/>
              <w:spacing w:after="0" w:line="276" w:lineRule="auto"/>
            </w:pPr>
            <w:r>
              <w:rPr>
                <w:rFonts w:ascii="Calibri" w:hAnsi="Calibri" w:eastAsia="Microsoft YaHei"/>
                <w:color w:val="0B2545"/>
                <w:sz w:val="14"/>
              </w:rPr>
              <w:t>2021</w:t>
            </w:r>
          </w:p>
        </w:tc>
        <w:tc>
          <w:tcPr>
            <w:tcW w:type="dxa" w:w="2500"/>
          </w:tcPr>
          <w:p>
            <w:pPr>
              <w:keepLines/>
              <w:spacing w:after="0" w:line="276" w:lineRule="auto"/>
            </w:pPr>
            <w:r>
              <w:rPr>
                <w:rFonts w:ascii="Calibri" w:hAnsi="Calibri" w:eastAsia="Microsoft YaHei"/>
                <w:color w:val="0B2545"/>
                <w:sz w:val="14"/>
              </w:rPr>
              <w:t>Validation of neutron emission and neutron energy spectrum calculations on a Mega Ampere Spherical Tokamak with directional relativistic spectrum simulator</w:t>
            </w:r>
          </w:p>
        </w:tc>
        <w:tc>
          <w:tcPr>
            <w:tcW w:type="dxa" w:w="1600"/>
          </w:tcPr>
          <w:p>
            <w:pPr>
              <w:keepLines/>
              <w:spacing w:after="0" w:line="276" w:lineRule="auto"/>
            </w:pPr>
            <w:r>
              <w:rPr>
                <w:rFonts w:ascii="Calibri" w:hAnsi="Calibri" w:eastAsia="Microsoft YaHei"/>
                <w:color w:val="0B2545"/>
                <w:sz w:val="14"/>
              </w:rPr>
              <w:t>Plasma Physics and Controlled Fusion</w:t>
            </w:r>
          </w:p>
        </w:tc>
        <w:tc>
          <w:tcPr>
            <w:tcW w:type="dxa" w:w="2300"/>
          </w:tcPr>
          <w:p>
            <w:pPr>
              <w:keepLines/>
              <w:spacing w:after="0" w:line="276" w:lineRule="auto"/>
            </w:pPr>
            <w:r>
              <w:rPr>
                <w:rFonts w:ascii="Calibri" w:hAnsi="Calibri" w:eastAsia="Microsoft YaHei"/>
                <w:color w:val="0B2545"/>
                <w:sz w:val="14"/>
              </w:rPr>
              <w:t>peer-reviewed primary experimental validation</w:t>
            </w:r>
          </w:p>
        </w:tc>
        <w:tc>
          <w:tcPr>
            <w:tcW w:type="dxa" w:w="2110"/>
          </w:tcPr>
          <w:p>
            <w:pPr>
              <w:keepLines/>
              <w:spacing w:after="0" w:line="276" w:lineRule="auto"/>
            </w:pPr>
            <w:hyperlink r:id="rId184">
              <w:r>
                <w:rPr>
                  <w:rFonts w:ascii="Calibri" w:hAnsi="Calibri" w:eastAsia="Microsoft YaHei"/>
                  <w:color w:val="008C95"/>
                  <w:u w:val="single"/>
                </w:rPr>
                <w:t>打开原始来源 ↗</w:t>
              </w:r>
            </w:hyperlink>
          </w:p>
        </w:tc>
      </w:tr>
      <w:tr>
        <w:trPr>
          <w:cantSplit/>
        </w:trPr>
        <w:tc>
          <w:tcPr>
            <w:tcW w:type="dxa" w:w="850"/>
          </w:tcPr>
          <w:p>
            <w:pPr>
              <w:keepLines/>
              <w:spacing w:after="0" w:line="276" w:lineRule="auto"/>
            </w:pPr>
            <w:r>
              <w:rPr>
                <w:rFonts w:ascii="Calibri" w:hAnsi="Calibri" w:eastAsia="Microsoft YaHei"/>
                <w:color w:val="0B2545"/>
                <w:sz w:val="14"/>
              </w:rPr>
              <w:t>软件</w:t>
            </w:r>
          </w:p>
        </w:tc>
        <w:tc>
          <w:tcPr>
            <w:tcW w:type="dxa" w:w="2500"/>
          </w:tcPr>
          <w:p>
            <w:pPr>
              <w:keepLines/>
              <w:spacing w:after="0" w:line="276" w:lineRule="auto"/>
            </w:pPr>
            <w:r>
              <w:rPr>
                <w:rFonts w:ascii="Calibri" w:hAnsi="Calibri" w:eastAsia="Microsoft YaHei"/>
                <w:color w:val="0B2545"/>
                <w:sz w:val="14"/>
              </w:rPr>
              <w:t>pydress</w:t>
            </w:r>
          </w:p>
        </w:tc>
        <w:tc>
          <w:tcPr>
            <w:tcW w:type="dxa" w:w="1600"/>
          </w:tcPr>
          <w:p>
            <w:pPr>
              <w:keepLines/>
              <w:spacing w:after="0" w:line="276" w:lineRule="auto"/>
            </w:pPr>
            <w:r>
              <w:rPr>
                <w:rFonts w:ascii="Calibri" w:hAnsi="Calibri" w:eastAsia="Microsoft YaHei"/>
                <w:color w:val="0B2545"/>
                <w:sz w:val="14"/>
              </w:rPr>
              <w:t>official-direct</w:t>
            </w:r>
          </w:p>
        </w:tc>
        <w:tc>
          <w:tcPr>
            <w:tcW w:type="dxa" w:w="2300"/>
          </w:tcPr>
          <w:p>
            <w:pPr>
              <w:keepLines/>
              <w:spacing w:after="0" w:line="276" w:lineRule="auto"/>
            </w:pPr>
            <w:r>
              <w:rPr>
                <w:rFonts w:ascii="Calibri" w:hAnsi="Calibri" w:eastAsia="Microsoft YaHei"/>
                <w:color w:val="0B2545"/>
                <w:sz w:val="14"/>
              </w:rPr>
              <w:t>DRESS 作者发布的 Python 实现。</w:t>
            </w:r>
          </w:p>
        </w:tc>
        <w:tc>
          <w:tcPr>
            <w:tcW w:type="dxa" w:w="2110"/>
          </w:tcPr>
          <w:p>
            <w:pPr>
              <w:keepLines/>
              <w:spacing w:after="0" w:line="276" w:lineRule="auto"/>
            </w:pPr>
            <w:hyperlink r:id="rId185">
              <w:r>
                <w:rPr>
                  <w:rFonts w:ascii="Calibri" w:hAnsi="Calibri" w:eastAsia="Microsoft YaHei"/>
                  <w:color w:val="008C95"/>
                  <w:u w:val="single"/>
                </w:rPr>
                <w:t>打开原始来源 ↗</w:t>
              </w:r>
            </w:hyperlink>
          </w:p>
        </w:tc>
      </w:tr>
    </w:tbl>
    <w:p>
      <w:pPr>
        <w:spacing w:before="0" w:after="60"/>
      </w:pPr>
    </w:p>
    <w:p>
      <w:pPr>
        <w:pStyle w:val="Heading3"/>
        <w:keepNext/>
      </w:pPr>
      <w:r>
        <w:t>DG9.13  ScintSuite/FILDSIM 快离子损失探针合成诊断</w:t>
      </w:r>
    </w:p>
    <w:p>
      <w:pPr>
        <w:keepNext/>
        <w:spacing w:after="80"/>
      </w:pPr>
      <w:r>
        <w:rPr>
          <w:rFonts w:ascii="Calibri" w:hAnsi="Calibri" w:eastAsia="Microsoft YaHei"/>
          <w:i/>
          <w:color w:val="566573"/>
          <w:sz w:val="18"/>
        </w:rPr>
        <w:t>ScintSuite/FILDSIM Synthetic Fast-Ion Loss Diagnostics</w:t>
      </w:r>
    </w:p>
    <w:tbl>
      <w:tblPr>
        <w:tblStyle w:val="TableGrid"/>
        <w:tblW w:type="dxa" w:w="9360"/>
        <w:jc w:val="left"/>
        <w:tblLayout w:type="fixed"/>
        <w:tblLook w:firstColumn="1" w:firstRow="1" w:lastColumn="0" w:lastRow="0" w:noHBand="0" w:noVBand="1" w:val="04A0"/>
        <w:tblInd w:w="120" w:type="dxa"/>
      </w:tblPr>
      <w:tblGrid>
        <w:gridCol w:w="1200"/>
        <w:gridCol w:w="750"/>
        <w:gridCol w:w="750"/>
        <w:gridCol w:w="2100"/>
        <w:gridCol w:w="4560"/>
      </w:tblGrid>
      <w:tr>
        <w:trPr>
          <w:tblHeader w:val="true"/>
        </w:trPr>
        <w:tc>
          <w:tcPr>
            <w:tcW w:type="dxa" w:w="12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工作 ID</w:t>
            </w:r>
          </w:p>
        </w:tc>
        <w:tc>
          <w:tcPr>
            <w:tcW w:type="dxa" w:w="7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证据</w:t>
            </w:r>
          </w:p>
        </w:tc>
        <w:tc>
          <w:tcPr>
            <w:tcW w:type="dxa" w:w="7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部署</w:t>
            </w:r>
          </w:p>
        </w:tc>
        <w:tc>
          <w:tcPr>
            <w:tcW w:type="dxa" w:w="21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技术族</w:t>
            </w:r>
          </w:p>
        </w:tc>
        <w:tc>
          <w:tcPr>
            <w:tcW w:type="dxa" w:w="456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装置</w:t>
            </w:r>
          </w:p>
        </w:tc>
      </w:tr>
      <w:tr>
        <w:trPr>
          <w:cantSplit/>
        </w:trPr>
        <w:tc>
          <w:tcPr>
            <w:tcW w:type="dxa" w:w="1200"/>
          </w:tcPr>
          <w:p>
            <w:pPr>
              <w:keepLines/>
              <w:spacing w:after="0" w:line="276" w:lineRule="auto"/>
            </w:pPr>
            <w:r>
              <w:rPr>
                <w:rFonts w:ascii="Calibri" w:hAnsi="Calibri" w:eastAsia="Microsoft YaHei"/>
                <w:color w:val="0B2545"/>
                <w:sz w:val="15"/>
              </w:rPr>
              <w:t>DSI-021</w:t>
            </w:r>
          </w:p>
        </w:tc>
        <w:tc>
          <w:tcPr>
            <w:tcW w:type="dxa" w:w="750"/>
          </w:tcPr>
          <w:p>
            <w:pPr>
              <w:keepLines/>
              <w:spacing w:after="0" w:line="276" w:lineRule="auto"/>
            </w:pPr>
            <w:r>
              <w:rPr>
                <w:rFonts w:ascii="Calibri" w:hAnsi="Calibri" w:eastAsia="Microsoft YaHei"/>
                <w:color w:val="0B2545"/>
                <w:sz w:val="15"/>
              </w:rPr>
              <w:t>E3</w:t>
            </w:r>
          </w:p>
        </w:tc>
        <w:tc>
          <w:tcPr>
            <w:tcW w:type="dxa" w:w="750"/>
          </w:tcPr>
          <w:p>
            <w:pPr>
              <w:keepLines/>
              <w:spacing w:after="0" w:line="276" w:lineRule="auto"/>
            </w:pPr>
            <w:r>
              <w:rPr>
                <w:rFonts w:ascii="Calibri" w:hAnsi="Calibri" w:eastAsia="Microsoft YaHei"/>
                <w:color w:val="0B2545"/>
                <w:sz w:val="15"/>
              </w:rPr>
              <w:t>D2</w:t>
            </w:r>
          </w:p>
        </w:tc>
        <w:tc>
          <w:tcPr>
            <w:tcW w:type="dxa" w:w="2100"/>
          </w:tcPr>
          <w:p>
            <w:pPr>
              <w:keepLines/>
              <w:spacing w:after="0" w:line="276" w:lineRule="auto"/>
            </w:pPr>
            <w:r>
              <w:rPr>
                <w:rFonts w:ascii="Calibri" w:hAnsi="Calibri" w:eastAsia="Microsoft YaHei"/>
                <w:color w:val="0B2545"/>
                <w:sz w:val="15"/>
              </w:rPr>
              <w:t>NUCLEAR_PARTICLE</w:t>
            </w:r>
          </w:p>
        </w:tc>
        <w:tc>
          <w:tcPr>
            <w:tcW w:type="dxa" w:w="4560"/>
          </w:tcPr>
          <w:p>
            <w:pPr>
              <w:keepLines/>
              <w:spacing w:after="0" w:line="276" w:lineRule="auto"/>
            </w:pPr>
            <w:r>
              <w:rPr>
                <w:rFonts w:ascii="Calibri" w:hAnsi="Calibri" w:eastAsia="Microsoft YaHei"/>
                <w:color w:val="0B2545"/>
                <w:sz w:val="15"/>
              </w:rPr>
              <w:t>ASDEX Upgrade；W7-X；DIII-D and other FILD-equipped devices</w:t>
            </w:r>
          </w:p>
        </w:tc>
      </w:tr>
    </w:tbl>
    <w:p>
      <w:pPr>
        <w:spacing w:before="0" w:after="60"/>
      </w:pPr>
    </w:p>
    <w:p>
      <w:pPr>
        <w:widowControl/>
      </w:pPr>
      <w:r>
        <w:rPr>
          <w:rFonts w:ascii="Calibri" w:hAnsi="Calibri" w:eastAsia="Microsoft YaHei"/>
          <w:b/>
          <w:color w:val="1F4D78"/>
        </w:rPr>
        <w:t>解决问题：</w:t>
      </w:r>
      <w:r>
        <w:rPr>
          <w:rFonts w:ascii="Calibri" w:hAnsi="Calibri" w:eastAsia="Microsoft YaHei"/>
        </w:rPr>
        <w:t>FILD 闪烁图案由三维磁场、孔口、回旋半径/俯仰选择、闪烁屏响应与相机光学共同形成。</w:t>
      </w:r>
    </w:p>
    <w:p>
      <w:pPr>
        <w:widowControl/>
      </w:pPr>
      <w:r>
        <w:rPr>
          <w:rFonts w:ascii="Calibri" w:hAnsi="Calibri" w:eastAsia="Microsoft YaHei"/>
          <w:b/>
          <w:color w:val="1F4D78"/>
        </w:rPr>
        <w:t>测量原理：</w:t>
      </w:r>
      <w:r>
        <w:rPr>
          <w:rFonts w:ascii="Calibri" w:hAnsi="Calibri" w:eastAsia="Microsoft YaHei"/>
        </w:rPr>
        <w:t>从探针口前粒子分布追踪通过狭缝/针孔的轨道，在闪烁屏计算打击位置与响应并生成合成相机图。</w:t>
      </w:r>
    </w:p>
    <w:p>
      <w:pPr>
        <w:widowControl/>
      </w:pPr>
      <w:r>
        <w:rPr>
          <w:rFonts w:ascii="Calibri" w:hAnsi="Calibri" w:eastAsia="Microsoft YaHei"/>
          <w:b/>
          <w:color w:val="1F4D78"/>
        </w:rPr>
        <w:t>测量产品：</w:t>
      </w:r>
      <w:r>
        <w:rPr>
          <w:rFonts w:ascii="Calibri" w:hAnsi="Calibri" w:eastAsia="Microsoft YaHei"/>
        </w:rPr>
        <w:t>pitch/gyroradius strike map；loss flux；synthetic scintillator image</w:t>
      </w:r>
    </w:p>
    <w:p>
      <w:pPr>
        <w:widowControl/>
      </w:pPr>
      <w:r>
        <w:rPr>
          <w:rFonts w:ascii="Calibri" w:hAnsi="Calibri" w:eastAsia="Microsoft YaHei"/>
          <w:b/>
          <w:color w:val="1F4D78"/>
        </w:rPr>
        <w:t>时空分辨与覆盖：</w:t>
      </w:r>
      <w:r>
        <w:rPr>
          <w:rFonts w:ascii="Calibri" w:hAnsi="Calibri" w:eastAsia="Microsoft YaHei"/>
        </w:rPr>
        <w:t>时间：因装置、采集和分析链而异；原始来源未给出统一数值。；空间：由视线、几何和反演设定；原始来源未给出统一数值。</w:t>
      </w:r>
    </w:p>
    <w:p>
      <w:pPr>
        <w:widowControl/>
      </w:pPr>
      <w:r>
        <w:rPr>
          <w:rFonts w:ascii="Calibri" w:hAnsi="Calibri" w:eastAsia="Microsoft YaHei"/>
          <w:b/>
          <w:color w:val="1F4D78"/>
        </w:rPr>
        <w:t>仪器与传感器：</w:t>
      </w:r>
      <w:r>
        <w:rPr>
          <w:rFonts w:ascii="Calibri" w:hAnsi="Calibri" w:eastAsia="Microsoft YaHei"/>
        </w:rPr>
        <w:t>FILD head；collimator；scintillator；camera</w:t>
      </w:r>
    </w:p>
    <w:p>
      <w:pPr>
        <w:widowControl/>
      </w:pPr>
      <w:r>
        <w:rPr>
          <w:rFonts w:ascii="Calibri" w:hAnsi="Calibri" w:eastAsia="Microsoft YaHei"/>
          <w:b/>
          <w:color w:val="1F4D78"/>
        </w:rPr>
        <w:t>标定与质量：</w:t>
      </w:r>
      <w:r>
        <w:rPr>
          <w:rFonts w:ascii="Calibri" w:hAnsi="Calibri" w:eastAsia="Microsoft YaHei"/>
        </w:rPr>
        <w:t>需探针位姿、狭缝尺寸、磁场、闪烁效率、光学畸变与相机增益标定。</w:t>
      </w:r>
    </w:p>
    <w:p>
      <w:pPr>
        <w:widowControl/>
      </w:pPr>
      <w:r>
        <w:rPr>
          <w:rFonts w:ascii="Calibri" w:hAnsi="Calibri" w:eastAsia="Microsoft YaHei"/>
          <w:b/>
          <w:color w:val="1F4D78"/>
        </w:rPr>
        <w:t>反演与分析：</w:t>
      </w:r>
      <w:r>
        <w:rPr>
          <w:rFonts w:ascii="Calibri" w:hAnsi="Calibri" w:eastAsia="Microsoft YaHei"/>
        </w:rPr>
        <w:t>phase-space mapping；strike-map inversion；fast-ion loss interpretation</w:t>
      </w:r>
    </w:p>
    <w:p>
      <w:pPr>
        <w:widowControl/>
      </w:pPr>
      <w:r>
        <w:rPr>
          <w:rFonts w:ascii="Calibri" w:hAnsi="Calibri" w:eastAsia="Microsoft YaHei"/>
          <w:b/>
          <w:color w:val="1F4D78"/>
        </w:rPr>
        <w:t>验证与应用：</w:t>
      </w:r>
      <w:r>
        <w:rPr>
          <w:rFonts w:ascii="Calibri" w:hAnsi="Calibri" w:eastAsia="Microsoft YaHei"/>
        </w:rPr>
        <w:t>FILDSIM 新模型与数值/几何基准及装置数据比较；W7-X 工作与 ASCOT5 串联构建合成响应。</w:t>
      </w:r>
    </w:p>
    <w:p>
      <w:pPr>
        <w:widowControl/>
      </w:pPr>
      <w:r>
        <w:rPr>
          <w:rFonts w:ascii="Calibri" w:hAnsi="Calibri" w:eastAsia="Microsoft YaHei"/>
          <w:b/>
          <w:color w:val="1F4D78"/>
        </w:rPr>
        <w:t>局限与边界：</w:t>
      </w:r>
      <w:r>
        <w:rPr>
          <w:rFonts w:ascii="Calibri" w:hAnsi="Calibri" w:eastAsia="Microsoft YaHei"/>
        </w:rPr>
        <w:t>探针扰动、材料退化、饱和和真实入射分布不确定；相机强度的绝对通量解释仍困难。</w:t>
      </w:r>
    </w:p>
    <w:tbl>
      <w:tblPr>
        <w:tblStyle w:val="TableGrid"/>
        <w:tblW w:type="dxa" w:w="9360"/>
        <w:jc w:val="left"/>
        <w:tblLayout w:type="fixed"/>
        <w:tblLook w:firstColumn="1" w:firstRow="1" w:lastColumn="0" w:lastRow="0" w:noHBand="0" w:noVBand="1" w:val="04A0"/>
        <w:tblInd w:w="120" w:type="dxa"/>
      </w:tblPr>
      <w:tblGrid>
        <w:gridCol w:w="9360"/>
      </w:tblGrid>
      <w:tr>
        <w:trPr>
          <w:cantSplit/>
        </w:trPr>
        <w:tc>
          <w:tcPr>
            <w:tcW w:type="dxa" w:w="9360"/>
            <w:tcMar>
              <w:top w:w="80" w:type="dxa"/>
              <w:bottom w:w="80" w:type="dxa"/>
              <w:start w:w="120" w:type="dxa"/>
              <w:end w:w="120" w:type="dxa"/>
            </w:tcMar>
            <w:vAlign w:val="center"/>
            <w:shd w:fill="EEF7F7"/>
          </w:tcPr>
          <w:p>
            <w:pPr>
              <w:keepNext/>
              <w:keepLines/>
              <w:spacing w:after="40"/>
            </w:pPr>
            <w:r>
              <w:rPr>
                <w:rFonts w:ascii="Calibri" w:hAnsi="Calibri" w:eastAsia="Microsoft YaHei"/>
                <w:b/>
                <w:color w:val="008C95"/>
                <w:sz w:val="17"/>
              </w:rPr>
              <w:t>DIGITAL-TWIN RELEVANCE</w:t>
            </w:r>
          </w:p>
          <w:p>
            <w:pPr>
              <w:spacing w:after="0"/>
            </w:pPr>
            <w:r>
              <w:rPr>
                <w:rFonts w:ascii="Calibri" w:hAnsi="Calibri" w:eastAsia="Microsoft YaHei"/>
                <w:color w:val="0B2545"/>
                <w:sz w:val="20"/>
              </w:rPr>
              <w:t>将快离子损失和壁部件几何直接连接，适用于数字孪生中的局部风险和传感器响应评估。</w:t>
            </w:r>
          </w:p>
        </w:tc>
      </w:tr>
    </w:tbl>
    <w:p>
      <w:pPr>
        <w:spacing w:after="40"/>
      </w:pPr>
    </w:p>
    <w:tbl>
      <w:tblPr>
        <w:tblStyle w:val="TableGrid"/>
        <w:tblW w:type="dxa" w:w="9360"/>
        <w:jc w:val="left"/>
        <w:tblLayout w:type="fixed"/>
        <w:tblLook w:firstColumn="1" w:firstRow="1" w:lastColumn="0" w:lastRow="0" w:noHBand="0" w:noVBand="1" w:val="04A0"/>
        <w:tblInd w:w="120" w:type="dxa"/>
      </w:tblPr>
      <w:tblGrid>
        <w:gridCol w:w="850"/>
        <w:gridCol w:w="2500"/>
        <w:gridCol w:w="1600"/>
        <w:gridCol w:w="2300"/>
        <w:gridCol w:w="2110"/>
      </w:tblGrid>
      <w:tr>
        <w:trPr>
          <w:tblHeader w:val="true"/>
        </w:trPr>
        <w:tc>
          <w:tcPr>
            <w:tcW w:type="dxa" w:w="8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年份/类型</w:t>
            </w:r>
          </w:p>
        </w:tc>
        <w:tc>
          <w:tcPr>
            <w:tcW w:type="dxa" w:w="25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论文或软件</w:t>
            </w:r>
          </w:p>
        </w:tc>
        <w:tc>
          <w:tcPr>
            <w:tcW w:type="dxa" w:w="16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期刊/开放性</w:t>
            </w:r>
          </w:p>
        </w:tc>
        <w:tc>
          <w:tcPr>
            <w:tcW w:type="dxa" w:w="23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来源类型/关系</w:t>
            </w:r>
          </w:p>
        </w:tc>
        <w:tc>
          <w:tcPr>
            <w:tcW w:type="dxa" w:w="211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链接</w:t>
            </w:r>
          </w:p>
        </w:tc>
      </w:tr>
      <w:tr>
        <w:trPr>
          <w:cantSplit/>
        </w:trPr>
        <w:tc>
          <w:tcPr>
            <w:tcW w:type="dxa" w:w="850"/>
          </w:tcPr>
          <w:p>
            <w:pPr>
              <w:keepLines/>
              <w:spacing w:after="0" w:line="276" w:lineRule="auto"/>
            </w:pPr>
            <w:r>
              <w:rPr>
                <w:rFonts w:ascii="Calibri" w:hAnsi="Calibri" w:eastAsia="Microsoft YaHei"/>
                <w:color w:val="0B2545"/>
                <w:sz w:val="14"/>
              </w:rPr>
              <w:t>2024</w:t>
            </w:r>
          </w:p>
        </w:tc>
        <w:tc>
          <w:tcPr>
            <w:tcW w:type="dxa" w:w="2500"/>
          </w:tcPr>
          <w:p>
            <w:pPr>
              <w:keepLines/>
              <w:spacing w:after="0" w:line="276" w:lineRule="auto"/>
            </w:pPr>
            <w:r>
              <w:rPr>
                <w:rFonts w:ascii="Calibri" w:hAnsi="Calibri" w:eastAsia="Microsoft YaHei"/>
                <w:color w:val="0B2545"/>
                <w:sz w:val="14"/>
              </w:rPr>
              <w:t>A new FILDSIM model for improved velocity-space sensitivity modelling and reconstructions</w:t>
            </w:r>
          </w:p>
        </w:tc>
        <w:tc>
          <w:tcPr>
            <w:tcW w:type="dxa" w:w="1600"/>
          </w:tcPr>
          <w:p>
            <w:pPr>
              <w:keepLines/>
              <w:spacing w:after="0" w:line="276" w:lineRule="auto"/>
            </w:pPr>
            <w:r>
              <w:rPr>
                <w:rFonts w:ascii="Calibri" w:hAnsi="Calibri" w:eastAsia="Microsoft YaHei"/>
                <w:color w:val="0B2545"/>
                <w:sz w:val="14"/>
              </w:rPr>
              <w:t>Plasma Physics and Controlled Fusion</w:t>
            </w:r>
          </w:p>
        </w:tc>
        <w:tc>
          <w:tcPr>
            <w:tcW w:type="dxa" w:w="2300"/>
          </w:tcPr>
          <w:p>
            <w:pPr>
              <w:keepLines/>
              <w:spacing w:after="0" w:line="276" w:lineRule="auto"/>
            </w:pPr>
            <w:r>
              <w:rPr>
                <w:rFonts w:ascii="Calibri" w:hAnsi="Calibri" w:eastAsia="Microsoft YaHei"/>
                <w:color w:val="0B2545"/>
                <w:sz w:val="14"/>
              </w:rPr>
              <w:t>peer-reviewed primary method/validation</w:t>
            </w:r>
          </w:p>
        </w:tc>
        <w:tc>
          <w:tcPr>
            <w:tcW w:type="dxa" w:w="2110"/>
          </w:tcPr>
          <w:p>
            <w:pPr>
              <w:keepLines/>
              <w:spacing w:after="0" w:line="276" w:lineRule="auto"/>
            </w:pPr>
            <w:hyperlink r:id="rId186">
              <w:r>
                <w:rPr>
                  <w:rFonts w:ascii="Calibri" w:hAnsi="Calibri" w:eastAsia="Microsoft YaHei"/>
                  <w:color w:val="008C95"/>
                  <w:u w:val="single"/>
                </w:rPr>
                <w:t>打开原始来源 ↗</w:t>
              </w:r>
            </w:hyperlink>
          </w:p>
        </w:tc>
      </w:tr>
      <w:tr>
        <w:trPr>
          <w:cantSplit/>
        </w:trPr>
        <w:tc>
          <w:tcPr>
            <w:tcW w:type="dxa" w:w="850"/>
          </w:tcPr>
          <w:p>
            <w:pPr>
              <w:keepLines/>
              <w:spacing w:after="0" w:line="276" w:lineRule="auto"/>
            </w:pPr>
            <w:r>
              <w:rPr>
                <w:rFonts w:ascii="Calibri" w:hAnsi="Calibri" w:eastAsia="Microsoft YaHei"/>
                <w:color w:val="0B2545"/>
                <w:sz w:val="14"/>
              </w:rPr>
              <w:t>2024</w:t>
            </w:r>
          </w:p>
        </w:tc>
        <w:tc>
          <w:tcPr>
            <w:tcW w:type="dxa" w:w="2500"/>
          </w:tcPr>
          <w:p>
            <w:pPr>
              <w:keepLines/>
              <w:spacing w:after="0" w:line="276" w:lineRule="auto"/>
            </w:pPr>
            <w:r>
              <w:rPr>
                <w:rFonts w:ascii="Calibri" w:hAnsi="Calibri" w:eastAsia="Microsoft YaHei"/>
                <w:color w:val="0B2545"/>
                <w:sz w:val="14"/>
              </w:rPr>
              <w:t>Development of a scintillator based fast-ion loss detector for the Wendelstein 7-X stellarator</w:t>
            </w:r>
          </w:p>
        </w:tc>
        <w:tc>
          <w:tcPr>
            <w:tcW w:type="dxa" w:w="1600"/>
          </w:tcPr>
          <w:p>
            <w:pPr>
              <w:keepLines/>
              <w:spacing w:after="0" w:line="276" w:lineRule="auto"/>
            </w:pPr>
            <w:r>
              <w:rPr>
                <w:rFonts w:ascii="Calibri" w:hAnsi="Calibri" w:eastAsia="Microsoft YaHei"/>
                <w:color w:val="0B2545"/>
                <w:sz w:val="14"/>
              </w:rPr>
              <w:t>Fusion Engineering and Design</w:t>
            </w:r>
          </w:p>
        </w:tc>
        <w:tc>
          <w:tcPr>
            <w:tcW w:type="dxa" w:w="2300"/>
          </w:tcPr>
          <w:p>
            <w:pPr>
              <w:keepLines/>
              <w:spacing w:after="0" w:line="276" w:lineRule="auto"/>
            </w:pPr>
            <w:r>
              <w:rPr>
                <w:rFonts w:ascii="Calibri" w:hAnsi="Calibri" w:eastAsia="Microsoft YaHei"/>
                <w:color w:val="0B2545"/>
                <w:sz w:val="14"/>
              </w:rPr>
              <w:t>peer-reviewed primary device study</w:t>
            </w:r>
          </w:p>
        </w:tc>
        <w:tc>
          <w:tcPr>
            <w:tcW w:type="dxa" w:w="2110"/>
          </w:tcPr>
          <w:p>
            <w:pPr>
              <w:keepLines/>
              <w:spacing w:after="0" w:line="276" w:lineRule="auto"/>
            </w:pPr>
            <w:hyperlink r:id="rId187">
              <w:r>
                <w:rPr>
                  <w:rFonts w:ascii="Calibri" w:hAnsi="Calibri" w:eastAsia="Microsoft YaHei"/>
                  <w:color w:val="008C95"/>
                  <w:u w:val="single"/>
                </w:rPr>
                <w:t>打开原始来源 ↗</w:t>
              </w:r>
            </w:hyperlink>
          </w:p>
        </w:tc>
      </w:tr>
      <w:tr>
        <w:trPr>
          <w:cantSplit/>
        </w:trPr>
        <w:tc>
          <w:tcPr>
            <w:tcW w:type="dxa" w:w="850"/>
          </w:tcPr>
          <w:p>
            <w:pPr>
              <w:keepLines/>
              <w:spacing w:after="0" w:line="276" w:lineRule="auto"/>
            </w:pPr>
            <w:r>
              <w:rPr>
                <w:rFonts w:ascii="Calibri" w:hAnsi="Calibri" w:eastAsia="Microsoft YaHei"/>
                <w:color w:val="0B2545"/>
                <w:sz w:val="14"/>
              </w:rPr>
              <w:t>2024</w:t>
            </w:r>
          </w:p>
        </w:tc>
        <w:tc>
          <w:tcPr>
            <w:tcW w:type="dxa" w:w="2500"/>
          </w:tcPr>
          <w:p>
            <w:pPr>
              <w:keepLines/>
              <w:spacing w:after="0" w:line="276" w:lineRule="auto"/>
            </w:pPr>
            <w:r>
              <w:rPr>
                <w:rFonts w:ascii="Calibri" w:hAnsi="Calibri" w:eastAsia="Microsoft YaHei"/>
                <w:color w:val="0B2545"/>
                <w:sz w:val="14"/>
              </w:rPr>
              <w:t>Validation of a synthetic fast ion loss detector model for Wendelstein 7-X</w:t>
            </w:r>
          </w:p>
        </w:tc>
        <w:tc>
          <w:tcPr>
            <w:tcW w:type="dxa" w:w="1600"/>
          </w:tcPr>
          <w:p>
            <w:pPr>
              <w:keepLines/>
              <w:spacing w:after="0" w:line="276" w:lineRule="auto"/>
            </w:pPr>
            <w:r>
              <w:rPr>
                <w:rFonts w:ascii="Calibri" w:hAnsi="Calibri" w:eastAsia="Microsoft YaHei"/>
                <w:color w:val="0B2545"/>
                <w:sz w:val="14"/>
              </w:rPr>
              <w:t>Nuclear Fusion</w:t>
            </w:r>
          </w:p>
        </w:tc>
        <w:tc>
          <w:tcPr>
            <w:tcW w:type="dxa" w:w="2300"/>
          </w:tcPr>
          <w:p>
            <w:pPr>
              <w:keepLines/>
              <w:spacing w:after="0" w:line="276" w:lineRule="auto"/>
            </w:pPr>
            <w:r>
              <w:rPr>
                <w:rFonts w:ascii="Calibri" w:hAnsi="Calibri" w:eastAsia="Microsoft YaHei"/>
                <w:color w:val="0B2545"/>
                <w:sz w:val="14"/>
              </w:rPr>
              <w:t>peer-reviewed primary experimental validation</w:t>
            </w:r>
          </w:p>
        </w:tc>
        <w:tc>
          <w:tcPr>
            <w:tcW w:type="dxa" w:w="2110"/>
          </w:tcPr>
          <w:p>
            <w:pPr>
              <w:keepLines/>
              <w:spacing w:after="0" w:line="276" w:lineRule="auto"/>
            </w:pPr>
            <w:hyperlink r:id="rId188">
              <w:r>
                <w:rPr>
                  <w:rFonts w:ascii="Calibri" w:hAnsi="Calibri" w:eastAsia="Microsoft YaHei"/>
                  <w:color w:val="008C95"/>
                  <w:u w:val="single"/>
                </w:rPr>
                <w:t>打开原始来源 ↗</w:t>
              </w:r>
            </w:hyperlink>
          </w:p>
        </w:tc>
      </w:tr>
      <w:tr>
        <w:trPr>
          <w:cantSplit/>
        </w:trPr>
        <w:tc>
          <w:tcPr>
            <w:tcW w:type="dxa" w:w="850"/>
          </w:tcPr>
          <w:p>
            <w:pPr>
              <w:keepLines/>
              <w:spacing w:after="0" w:line="276" w:lineRule="auto"/>
            </w:pPr>
            <w:r>
              <w:rPr>
                <w:rFonts w:ascii="Calibri" w:hAnsi="Calibri" w:eastAsia="Microsoft YaHei"/>
                <w:color w:val="0B2545"/>
                <w:sz w:val="14"/>
              </w:rPr>
              <w:t>软件</w:t>
            </w:r>
          </w:p>
        </w:tc>
        <w:tc>
          <w:tcPr>
            <w:tcW w:type="dxa" w:w="2500"/>
          </w:tcPr>
          <w:p>
            <w:pPr>
              <w:keepLines/>
              <w:spacing w:after="0" w:line="276" w:lineRule="auto"/>
            </w:pPr>
            <w:r>
              <w:rPr>
                <w:rFonts w:ascii="Calibri" w:hAnsi="Calibri" w:eastAsia="Microsoft YaHei"/>
                <w:color w:val="0B2545"/>
                <w:sz w:val="14"/>
              </w:rPr>
              <w:t>ScintSuite</w:t>
            </w:r>
          </w:p>
        </w:tc>
        <w:tc>
          <w:tcPr>
            <w:tcW w:type="dxa" w:w="1600"/>
          </w:tcPr>
          <w:p>
            <w:pPr>
              <w:keepLines/>
              <w:spacing w:after="0" w:line="276" w:lineRule="auto"/>
            </w:pPr>
            <w:r>
              <w:rPr>
                <w:rFonts w:ascii="Calibri" w:hAnsi="Calibri" w:eastAsia="Microsoft YaHei"/>
                <w:color w:val="0B2545"/>
                <w:sz w:val="14"/>
              </w:rPr>
              <w:t>official-direct</w:t>
            </w:r>
          </w:p>
        </w:tc>
        <w:tc>
          <w:tcPr>
            <w:tcW w:type="dxa" w:w="2300"/>
          </w:tcPr>
          <w:p>
            <w:pPr>
              <w:keepLines/>
              <w:spacing w:after="0" w:line="276" w:lineRule="auto"/>
            </w:pPr>
            <w:r>
              <w:rPr>
                <w:rFonts w:ascii="Calibri" w:hAnsi="Calibri" w:eastAsia="Microsoft YaHei"/>
                <w:color w:val="0B2545"/>
                <w:sz w:val="14"/>
              </w:rPr>
              <w:t>主要开发者公开的 FILD/INPA 分析与合成诊断套件。</w:t>
            </w:r>
          </w:p>
        </w:tc>
        <w:tc>
          <w:tcPr>
            <w:tcW w:type="dxa" w:w="2110"/>
          </w:tcPr>
          <w:p>
            <w:pPr>
              <w:keepLines/>
              <w:spacing w:after="0" w:line="276" w:lineRule="auto"/>
            </w:pPr>
            <w:hyperlink r:id="rId189">
              <w:r>
                <w:rPr>
                  <w:rFonts w:ascii="Calibri" w:hAnsi="Calibri" w:eastAsia="Microsoft YaHei"/>
                  <w:color w:val="008C95"/>
                  <w:u w:val="single"/>
                </w:rPr>
                <w:t>打开原始来源 ↗</w:t>
              </w:r>
            </w:hyperlink>
          </w:p>
        </w:tc>
      </w:tr>
      <w:tr>
        <w:trPr>
          <w:cantSplit/>
        </w:trPr>
        <w:tc>
          <w:tcPr>
            <w:tcW w:type="dxa" w:w="850"/>
          </w:tcPr>
          <w:p>
            <w:pPr>
              <w:keepLines/>
              <w:spacing w:after="0" w:line="276" w:lineRule="auto"/>
            </w:pPr>
            <w:r>
              <w:rPr>
                <w:rFonts w:ascii="Calibri" w:hAnsi="Calibri" w:eastAsia="Microsoft YaHei"/>
                <w:color w:val="0B2545"/>
                <w:sz w:val="14"/>
              </w:rPr>
              <w:t>软件</w:t>
            </w:r>
          </w:p>
        </w:tc>
        <w:tc>
          <w:tcPr>
            <w:tcW w:type="dxa" w:w="2500"/>
          </w:tcPr>
          <w:p>
            <w:pPr>
              <w:keepLines/>
              <w:spacing w:after="0" w:line="276" w:lineRule="auto"/>
            </w:pPr>
            <w:r>
              <w:rPr>
                <w:rFonts w:ascii="Calibri" w:hAnsi="Calibri" w:eastAsia="Microsoft YaHei"/>
                <w:color w:val="0B2545"/>
                <w:sz w:val="14"/>
              </w:rPr>
              <w:t>ASCOT5</w:t>
            </w:r>
          </w:p>
        </w:tc>
        <w:tc>
          <w:tcPr>
            <w:tcW w:type="dxa" w:w="1600"/>
          </w:tcPr>
          <w:p>
            <w:pPr>
              <w:keepLines/>
              <w:spacing w:after="0" w:line="276" w:lineRule="auto"/>
            </w:pPr>
            <w:r>
              <w:rPr>
                <w:rFonts w:ascii="Calibri" w:hAnsi="Calibri" w:eastAsia="Microsoft YaHei"/>
                <w:color w:val="0B2545"/>
                <w:sz w:val="14"/>
              </w:rPr>
              <w:t>official-enabling</w:t>
            </w:r>
          </w:p>
        </w:tc>
        <w:tc>
          <w:tcPr>
            <w:tcW w:type="dxa" w:w="2300"/>
          </w:tcPr>
          <w:p>
            <w:pPr>
              <w:keepLines/>
              <w:spacing w:after="0" w:line="276" w:lineRule="auto"/>
            </w:pPr>
            <w:r>
              <w:rPr>
                <w:rFonts w:ascii="Calibri" w:hAnsi="Calibri" w:eastAsia="Microsoft YaHei"/>
                <w:color w:val="0B2545"/>
                <w:sz w:val="14"/>
              </w:rPr>
              <w:t>为 W7-X 合成链提供到探针口的粒子分布，不是探针仪器模型。</w:t>
            </w:r>
          </w:p>
        </w:tc>
        <w:tc>
          <w:tcPr>
            <w:tcW w:type="dxa" w:w="2110"/>
          </w:tcPr>
          <w:p>
            <w:pPr>
              <w:keepLines/>
              <w:spacing w:after="0" w:line="276" w:lineRule="auto"/>
            </w:pPr>
            <w:hyperlink r:id="rId182">
              <w:r>
                <w:rPr>
                  <w:rFonts w:ascii="Calibri" w:hAnsi="Calibri" w:eastAsia="Microsoft YaHei"/>
                  <w:color w:val="008C95"/>
                  <w:u w:val="single"/>
                </w:rPr>
                <w:t>打开原始来源 ↗</w:t>
              </w:r>
            </w:hyperlink>
          </w:p>
        </w:tc>
      </w:tr>
    </w:tbl>
    <w:p>
      <w:pPr>
        <w:spacing w:before="0" w:after="60"/>
      </w:pPr>
    </w:p>
    <w:p>
      <w:pPr>
        <w:pStyle w:val="Heading3"/>
        <w:keepNext/>
      </w:pPr>
      <w:r>
        <w:t>DG9.14  RENATE 三维束发射光谱合成诊断</w:t>
      </w:r>
    </w:p>
    <w:p>
      <w:pPr>
        <w:keepNext/>
        <w:spacing w:after="80"/>
      </w:pPr>
      <w:r>
        <w:rPr>
          <w:rFonts w:ascii="Calibri" w:hAnsi="Calibri" w:eastAsia="Microsoft YaHei"/>
          <w:i/>
          <w:color w:val="566573"/>
          <w:sz w:val="18"/>
        </w:rPr>
        <w:t>RENATE 3D Beam Emission Spectroscopy Synthetic Diagnostic</w:t>
      </w:r>
    </w:p>
    <w:tbl>
      <w:tblPr>
        <w:tblStyle w:val="TableGrid"/>
        <w:tblW w:type="dxa" w:w="9360"/>
        <w:jc w:val="left"/>
        <w:tblLayout w:type="fixed"/>
        <w:tblLook w:firstColumn="1" w:firstRow="1" w:lastColumn="0" w:lastRow="0" w:noHBand="0" w:noVBand="1" w:val="04A0"/>
        <w:tblInd w:w="120" w:type="dxa"/>
      </w:tblPr>
      <w:tblGrid>
        <w:gridCol w:w="1200"/>
        <w:gridCol w:w="750"/>
        <w:gridCol w:w="750"/>
        <w:gridCol w:w="2100"/>
        <w:gridCol w:w="4560"/>
      </w:tblGrid>
      <w:tr>
        <w:trPr>
          <w:tblHeader w:val="true"/>
        </w:trPr>
        <w:tc>
          <w:tcPr>
            <w:tcW w:type="dxa" w:w="12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工作 ID</w:t>
            </w:r>
          </w:p>
        </w:tc>
        <w:tc>
          <w:tcPr>
            <w:tcW w:type="dxa" w:w="7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证据</w:t>
            </w:r>
          </w:p>
        </w:tc>
        <w:tc>
          <w:tcPr>
            <w:tcW w:type="dxa" w:w="7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部署</w:t>
            </w:r>
          </w:p>
        </w:tc>
        <w:tc>
          <w:tcPr>
            <w:tcW w:type="dxa" w:w="21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技术族</w:t>
            </w:r>
          </w:p>
        </w:tc>
        <w:tc>
          <w:tcPr>
            <w:tcW w:type="dxa" w:w="456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装置</w:t>
            </w:r>
          </w:p>
        </w:tc>
      </w:tr>
      <w:tr>
        <w:trPr>
          <w:cantSplit/>
        </w:trPr>
        <w:tc>
          <w:tcPr>
            <w:tcW w:type="dxa" w:w="1200"/>
          </w:tcPr>
          <w:p>
            <w:pPr>
              <w:keepLines/>
              <w:spacing w:after="0" w:line="276" w:lineRule="auto"/>
            </w:pPr>
            <w:r>
              <w:rPr>
                <w:rFonts w:ascii="Calibri" w:hAnsi="Calibri" w:eastAsia="Microsoft YaHei"/>
                <w:color w:val="0B2545"/>
                <w:sz w:val="15"/>
              </w:rPr>
              <w:t>DSI-022</w:t>
            </w:r>
          </w:p>
        </w:tc>
        <w:tc>
          <w:tcPr>
            <w:tcW w:type="dxa" w:w="750"/>
          </w:tcPr>
          <w:p>
            <w:pPr>
              <w:keepLines/>
              <w:spacing w:after="0" w:line="276" w:lineRule="auto"/>
            </w:pPr>
            <w:r>
              <w:rPr>
                <w:rFonts w:ascii="Calibri" w:hAnsi="Calibri" w:eastAsia="Microsoft YaHei"/>
                <w:color w:val="0B2545"/>
                <w:sz w:val="15"/>
              </w:rPr>
              <w:t>E3</w:t>
            </w:r>
          </w:p>
        </w:tc>
        <w:tc>
          <w:tcPr>
            <w:tcW w:type="dxa" w:w="750"/>
          </w:tcPr>
          <w:p>
            <w:pPr>
              <w:keepLines/>
              <w:spacing w:after="0" w:line="276" w:lineRule="auto"/>
            </w:pPr>
            <w:r>
              <w:rPr>
                <w:rFonts w:ascii="Calibri" w:hAnsi="Calibri" w:eastAsia="Microsoft YaHei"/>
                <w:color w:val="0B2545"/>
                <w:sz w:val="15"/>
              </w:rPr>
              <w:t>D2</w:t>
            </w:r>
          </w:p>
        </w:tc>
        <w:tc>
          <w:tcPr>
            <w:tcW w:type="dxa" w:w="2100"/>
          </w:tcPr>
          <w:p>
            <w:pPr>
              <w:keepLines/>
              <w:spacing w:after="0" w:line="276" w:lineRule="auto"/>
            </w:pPr>
            <w:r>
              <w:rPr>
                <w:rFonts w:ascii="Calibri" w:hAnsi="Calibri" w:eastAsia="Microsoft YaHei"/>
                <w:color w:val="0B2545"/>
                <w:sz w:val="15"/>
              </w:rPr>
              <w:t>OPTICAL</w:t>
            </w:r>
          </w:p>
        </w:tc>
        <w:tc>
          <w:tcPr>
            <w:tcW w:type="dxa" w:w="4560"/>
          </w:tcPr>
          <w:p>
            <w:pPr>
              <w:keepLines/>
              <w:spacing w:after="0" w:line="276" w:lineRule="auto"/>
            </w:pPr>
            <w:r>
              <w:rPr>
                <w:rFonts w:ascii="Calibri" w:hAnsi="Calibri" w:eastAsia="Microsoft YaHei"/>
                <w:color w:val="0B2545"/>
                <w:sz w:val="15"/>
              </w:rPr>
              <w:t>KSTAR；EAST；HSX studies；ITER neutral beam test facilities</w:t>
            </w:r>
          </w:p>
        </w:tc>
      </w:tr>
    </w:tbl>
    <w:p>
      <w:pPr>
        <w:spacing w:before="0" w:after="60"/>
      </w:pPr>
    </w:p>
    <w:p>
      <w:pPr>
        <w:widowControl/>
      </w:pPr>
      <w:r>
        <w:rPr>
          <w:rFonts w:ascii="Calibri" w:hAnsi="Calibri" w:eastAsia="Microsoft YaHei"/>
          <w:b/>
          <w:color w:val="1F4D78"/>
        </w:rPr>
        <w:t>解决问题：</w:t>
      </w:r>
      <w:r>
        <w:rPr>
          <w:rFonts w:ascii="Calibri" w:hAnsi="Calibri" w:eastAsia="Microsoft YaHei"/>
        </w:rPr>
        <w:t>BES 信号受束原子布居、衰减、寿命、光学体积和背景共同影响，需端到端模型解释密度与湍流。</w:t>
      </w:r>
    </w:p>
    <w:p>
      <w:pPr>
        <w:widowControl/>
      </w:pPr>
      <w:r>
        <w:rPr>
          <w:rFonts w:ascii="Calibri" w:hAnsi="Calibri" w:eastAsia="Microsoft YaHei"/>
          <w:b/>
          <w:color w:val="1F4D78"/>
        </w:rPr>
        <w:t>测量原理：</w:t>
      </w:r>
      <w:r>
        <w:rPr>
          <w:rFonts w:ascii="Calibri" w:hAnsi="Calibri" w:eastAsia="Microsoft YaHei"/>
        </w:rPr>
        <w:t>沿束解原子态速率方程，计算发射和束衰减，再通过三维观测光学积分到通道。</w:t>
      </w:r>
    </w:p>
    <w:p>
      <w:pPr>
        <w:widowControl/>
      </w:pPr>
      <w:r>
        <w:rPr>
          <w:rFonts w:ascii="Calibri" w:hAnsi="Calibri" w:eastAsia="Microsoft YaHei"/>
          <w:b/>
          <w:color w:val="1F4D78"/>
        </w:rPr>
        <w:t>测量产品：</w:t>
      </w:r>
      <w:r>
        <w:rPr>
          <w:rFonts w:ascii="Calibri" w:hAnsi="Calibri" w:eastAsia="Microsoft YaHei"/>
        </w:rPr>
        <w:t>BES intensity；beam attenuation；density profile；fluctuation transfer</w:t>
      </w:r>
    </w:p>
    <w:p>
      <w:pPr>
        <w:widowControl/>
      </w:pPr>
      <w:r>
        <w:rPr>
          <w:rFonts w:ascii="Calibri" w:hAnsi="Calibri" w:eastAsia="Microsoft YaHei"/>
          <w:b/>
          <w:color w:val="1F4D78"/>
        </w:rPr>
        <w:t>时空分辨与覆盖：</w:t>
      </w:r>
      <w:r>
        <w:rPr>
          <w:rFonts w:ascii="Calibri" w:hAnsi="Calibri" w:eastAsia="Microsoft YaHei"/>
        </w:rPr>
        <w:t>时间：因装置、采集和分析链而异；原始来源未给出统一数值。；空间：由视线、几何和反演设定；原始来源未给出统一数值。</w:t>
      </w:r>
    </w:p>
    <w:p>
      <w:pPr>
        <w:widowControl/>
      </w:pPr>
      <w:r>
        <w:rPr>
          <w:rFonts w:ascii="Calibri" w:hAnsi="Calibri" w:eastAsia="Microsoft YaHei"/>
          <w:b/>
          <w:color w:val="1F4D78"/>
        </w:rPr>
        <w:t>仪器与传感器：</w:t>
      </w:r>
      <w:r>
        <w:rPr>
          <w:rFonts w:ascii="Calibri" w:hAnsi="Calibri" w:eastAsia="Microsoft YaHei"/>
        </w:rPr>
        <w:t>diagnostic/heating neutral beam；collection optics；photodetectors</w:t>
      </w:r>
    </w:p>
    <w:p>
      <w:pPr>
        <w:widowControl/>
      </w:pPr>
      <w:r>
        <w:rPr>
          <w:rFonts w:ascii="Calibri" w:hAnsi="Calibri" w:eastAsia="Microsoft YaHei"/>
          <w:b/>
          <w:color w:val="1F4D78"/>
        </w:rPr>
        <w:t>标定与质量：</w:t>
      </w:r>
      <w:r>
        <w:rPr>
          <w:rFonts w:ascii="Calibri" w:hAnsi="Calibri" w:eastAsia="Microsoft YaHei"/>
        </w:rPr>
        <w:t>需束电流/能量、滤光片、通道增益、光学几何、原子数据和背景校准。</w:t>
      </w:r>
    </w:p>
    <w:p>
      <w:pPr>
        <w:widowControl/>
      </w:pPr>
      <w:r>
        <w:rPr>
          <w:rFonts w:ascii="Calibri" w:hAnsi="Calibri" w:eastAsia="Microsoft YaHei"/>
          <w:b/>
          <w:color w:val="1F4D78"/>
        </w:rPr>
        <w:t>反演与分析：</w:t>
      </w:r>
      <w:r>
        <w:rPr>
          <w:rFonts w:ascii="Calibri" w:hAnsi="Calibri" w:eastAsia="Microsoft YaHei"/>
        </w:rPr>
        <w:t>density retrieval；fluctuation interpretation；diagnostic design</w:t>
      </w:r>
    </w:p>
    <w:p>
      <w:pPr>
        <w:widowControl/>
      </w:pPr>
      <w:r>
        <w:rPr>
          <w:rFonts w:ascii="Calibri" w:hAnsi="Calibri" w:eastAsia="Microsoft YaHei"/>
          <w:b/>
          <w:color w:val="1F4D78"/>
        </w:rPr>
        <w:t>验证与应用：</w:t>
      </w:r>
      <w:r>
        <w:rPr>
          <w:rFonts w:ascii="Calibri" w:hAnsi="Calibri" w:eastAsia="Microsoft YaHei"/>
        </w:rPr>
        <w:t>关键模块与其他代码基准比较；原始论文用 KSTAR 实验数据进行验证。</w:t>
      </w:r>
    </w:p>
    <w:p>
      <w:pPr>
        <w:widowControl/>
      </w:pPr>
      <w:r>
        <w:rPr>
          <w:rFonts w:ascii="Calibri" w:hAnsi="Calibri" w:eastAsia="Microsoft YaHei"/>
          <w:b/>
          <w:color w:val="1F4D78"/>
        </w:rPr>
        <w:t>局限与边界：</w:t>
      </w:r>
      <w:r>
        <w:rPr>
          <w:rFonts w:ascii="Calibri" w:hAnsi="Calibri" w:eastAsia="Microsoft YaHei"/>
        </w:rPr>
        <w:t>原始实现与后续 RENATE-OD 的公开可复现性有限；高阶原子态和复杂束组分带来核数据偏差。</w:t>
      </w:r>
    </w:p>
    <w:tbl>
      <w:tblPr>
        <w:tblStyle w:val="TableGrid"/>
        <w:tblW w:type="dxa" w:w="9360"/>
        <w:jc w:val="left"/>
        <w:tblLayout w:type="fixed"/>
        <w:tblLook w:firstColumn="1" w:firstRow="1" w:lastColumn="0" w:lastRow="0" w:noHBand="0" w:noVBand="1" w:val="04A0"/>
        <w:tblInd w:w="120" w:type="dxa"/>
      </w:tblPr>
      <w:tblGrid>
        <w:gridCol w:w="9360"/>
      </w:tblGrid>
      <w:tr>
        <w:trPr>
          <w:cantSplit/>
        </w:trPr>
        <w:tc>
          <w:tcPr>
            <w:tcW w:type="dxa" w:w="9360"/>
            <w:tcMar>
              <w:top w:w="80" w:type="dxa"/>
              <w:bottom w:w="80" w:type="dxa"/>
              <w:start w:w="120" w:type="dxa"/>
              <w:end w:w="120" w:type="dxa"/>
            </w:tcMar>
            <w:vAlign w:val="center"/>
            <w:shd w:fill="EEF7F7"/>
          </w:tcPr>
          <w:p>
            <w:pPr>
              <w:keepNext/>
              <w:keepLines/>
              <w:spacing w:after="40"/>
            </w:pPr>
            <w:r>
              <w:rPr>
                <w:rFonts w:ascii="Calibri" w:hAnsi="Calibri" w:eastAsia="Microsoft YaHei"/>
                <w:b/>
                <w:color w:val="008C95"/>
                <w:sz w:val="17"/>
              </w:rPr>
              <w:t>DIGITAL-TWIN RELEVANCE</w:t>
            </w:r>
          </w:p>
          <w:p>
            <w:pPr>
              <w:spacing w:after="0"/>
            </w:pPr>
            <w:r>
              <w:rPr>
                <w:rFonts w:ascii="Calibri" w:hAnsi="Calibri" w:eastAsia="Microsoft YaHei"/>
                <w:color w:val="0B2545"/>
                <w:sz w:val="20"/>
              </w:rPr>
              <w:t>为密度/湍流孪生提供包含原子与光学响应的观测算子，能校正“模拟密度到 BES 强度”的差距。</w:t>
            </w:r>
          </w:p>
        </w:tc>
      </w:tr>
    </w:tbl>
    <w:p>
      <w:pPr>
        <w:spacing w:after="40"/>
      </w:pPr>
    </w:p>
    <w:tbl>
      <w:tblPr>
        <w:tblStyle w:val="TableGrid"/>
        <w:tblW w:type="dxa" w:w="9360"/>
        <w:jc w:val="left"/>
        <w:tblLayout w:type="fixed"/>
        <w:tblLook w:firstColumn="1" w:firstRow="1" w:lastColumn="0" w:lastRow="0" w:noHBand="0" w:noVBand="1" w:val="04A0"/>
        <w:tblInd w:w="120" w:type="dxa"/>
      </w:tblPr>
      <w:tblGrid>
        <w:gridCol w:w="850"/>
        <w:gridCol w:w="2500"/>
        <w:gridCol w:w="1600"/>
        <w:gridCol w:w="2300"/>
        <w:gridCol w:w="2110"/>
      </w:tblGrid>
      <w:tr>
        <w:trPr>
          <w:tblHeader w:val="true"/>
        </w:trPr>
        <w:tc>
          <w:tcPr>
            <w:tcW w:type="dxa" w:w="8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年份/类型</w:t>
            </w:r>
          </w:p>
        </w:tc>
        <w:tc>
          <w:tcPr>
            <w:tcW w:type="dxa" w:w="25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论文或软件</w:t>
            </w:r>
          </w:p>
        </w:tc>
        <w:tc>
          <w:tcPr>
            <w:tcW w:type="dxa" w:w="16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期刊/开放性</w:t>
            </w:r>
          </w:p>
        </w:tc>
        <w:tc>
          <w:tcPr>
            <w:tcW w:type="dxa" w:w="23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来源类型/关系</w:t>
            </w:r>
          </w:p>
        </w:tc>
        <w:tc>
          <w:tcPr>
            <w:tcW w:type="dxa" w:w="211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链接</w:t>
            </w:r>
          </w:p>
        </w:tc>
      </w:tr>
      <w:tr>
        <w:trPr>
          <w:cantSplit/>
        </w:trPr>
        <w:tc>
          <w:tcPr>
            <w:tcW w:type="dxa" w:w="850"/>
          </w:tcPr>
          <w:p>
            <w:pPr>
              <w:keepLines/>
              <w:spacing w:after="0" w:line="276" w:lineRule="auto"/>
            </w:pPr>
            <w:r>
              <w:rPr>
                <w:rFonts w:ascii="Calibri" w:hAnsi="Calibri" w:eastAsia="Microsoft YaHei"/>
                <w:color w:val="0B2545"/>
                <w:sz w:val="14"/>
              </w:rPr>
              <w:t>2012</w:t>
            </w:r>
          </w:p>
        </w:tc>
        <w:tc>
          <w:tcPr>
            <w:tcW w:type="dxa" w:w="2500"/>
          </w:tcPr>
          <w:p>
            <w:pPr>
              <w:keepLines/>
              <w:spacing w:after="0" w:line="276" w:lineRule="auto"/>
            </w:pPr>
            <w:r>
              <w:rPr>
                <w:rFonts w:ascii="Calibri" w:hAnsi="Calibri" w:eastAsia="Microsoft YaHei"/>
                <w:color w:val="0B2545"/>
                <w:sz w:val="14"/>
              </w:rPr>
              <w:t>Three-dimensional modeling of beam emission spectroscopy measurements in fusion plasmas</w:t>
            </w:r>
          </w:p>
        </w:tc>
        <w:tc>
          <w:tcPr>
            <w:tcW w:type="dxa" w:w="1600"/>
          </w:tcPr>
          <w:p>
            <w:pPr>
              <w:keepLines/>
              <w:spacing w:after="0" w:line="276" w:lineRule="auto"/>
            </w:pPr>
            <w:r>
              <w:rPr>
                <w:rFonts w:ascii="Calibri" w:hAnsi="Calibri" w:eastAsia="Microsoft YaHei"/>
                <w:color w:val="0B2545"/>
                <w:sz w:val="14"/>
              </w:rPr>
              <w:t>Review of Scientific Instruments</w:t>
            </w:r>
          </w:p>
        </w:tc>
        <w:tc>
          <w:tcPr>
            <w:tcW w:type="dxa" w:w="2300"/>
          </w:tcPr>
          <w:p>
            <w:pPr>
              <w:keepLines/>
              <w:spacing w:after="0" w:line="276" w:lineRule="auto"/>
            </w:pPr>
            <w:r>
              <w:rPr>
                <w:rFonts w:ascii="Calibri" w:hAnsi="Calibri" w:eastAsia="Microsoft YaHei"/>
                <w:color w:val="0B2545"/>
                <w:sz w:val="14"/>
              </w:rPr>
              <w:t>peer-reviewed primary experimental validation</w:t>
            </w:r>
          </w:p>
        </w:tc>
        <w:tc>
          <w:tcPr>
            <w:tcW w:type="dxa" w:w="2110"/>
          </w:tcPr>
          <w:p>
            <w:pPr>
              <w:keepLines/>
              <w:spacing w:after="0" w:line="276" w:lineRule="auto"/>
            </w:pPr>
            <w:hyperlink r:id="rId190">
              <w:r>
                <w:rPr>
                  <w:rFonts w:ascii="Calibri" w:hAnsi="Calibri" w:eastAsia="Microsoft YaHei"/>
                  <w:color w:val="008C95"/>
                  <w:u w:val="single"/>
                </w:rPr>
                <w:t>打开原始来源 ↗</w:t>
              </w:r>
            </w:hyperlink>
          </w:p>
        </w:tc>
      </w:tr>
      <w:tr>
        <w:trPr>
          <w:cantSplit/>
        </w:trPr>
        <w:tc>
          <w:tcPr>
            <w:tcW w:type="dxa" w:w="850"/>
          </w:tcPr>
          <w:p>
            <w:pPr>
              <w:keepLines/>
              <w:spacing w:after="0" w:line="276" w:lineRule="auto"/>
            </w:pPr>
            <w:r>
              <w:rPr>
                <w:rFonts w:ascii="Calibri" w:hAnsi="Calibri" w:eastAsia="Microsoft YaHei"/>
                <w:color w:val="0B2545"/>
                <w:sz w:val="14"/>
              </w:rPr>
              <w:t>软件</w:t>
            </w:r>
          </w:p>
        </w:tc>
        <w:tc>
          <w:tcPr>
            <w:tcW w:type="dxa" w:w="2500"/>
          </w:tcPr>
          <w:p>
            <w:pPr>
              <w:keepLines/>
              <w:spacing w:after="0" w:line="276" w:lineRule="auto"/>
            </w:pPr>
            <w:r>
              <w:rPr>
                <w:rFonts w:ascii="Calibri" w:hAnsi="Calibri" w:eastAsia="Microsoft YaHei"/>
                <w:color w:val="0B2545"/>
                <w:sz w:val="14"/>
              </w:rPr>
              <w:t>RENATE/RENATE-OD</w:t>
            </w:r>
          </w:p>
        </w:tc>
        <w:tc>
          <w:tcPr>
            <w:tcW w:type="dxa" w:w="1600"/>
          </w:tcPr>
          <w:p>
            <w:pPr>
              <w:keepLines/>
              <w:spacing w:after="0" w:line="276" w:lineRule="auto"/>
            </w:pPr>
            <w:r>
              <w:rPr>
                <w:rFonts w:ascii="Calibri" w:hAnsi="Calibri" w:eastAsia="Microsoft YaHei"/>
                <w:color w:val="0B2545"/>
                <w:sz w:val="14"/>
              </w:rPr>
              <w:t>not-public</w:t>
            </w:r>
          </w:p>
        </w:tc>
        <w:tc>
          <w:tcPr>
            <w:tcW w:type="dxa" w:w="2300"/>
          </w:tcPr>
          <w:p>
            <w:pPr>
              <w:keepLines/>
              <w:spacing w:after="0" w:line="276" w:lineRule="auto"/>
            </w:pPr>
            <w:r>
              <w:rPr>
                <w:rFonts w:ascii="Calibri" w:hAnsi="Calibri" w:eastAsia="Microsoft YaHei"/>
                <w:color w:val="0B2545"/>
                <w:sz w:val="14"/>
              </w:rPr>
              <w:t>未核验到作者团队维护的公共生产仓库；论文与后续工作描述实现。</w:t>
            </w:r>
          </w:p>
        </w:tc>
        <w:tc>
          <w:tcPr>
            <w:tcW w:type="dxa" w:w="2110"/>
          </w:tcPr>
          <w:p>
            <w:pPr>
              <w:keepLines/>
              <w:spacing w:after="0" w:line="276" w:lineRule="auto"/>
            </w:pPr>
            <w:r>
              <w:rPr>
                <w:rFonts w:ascii="Calibri" w:hAnsi="Calibri" w:eastAsia="Microsoft YaHei"/>
                <w:color w:val="0B2545"/>
                <w:sz w:val="14"/>
              </w:rPr>
              <w:t>未公开</w:t>
            </w:r>
          </w:p>
        </w:tc>
      </w:tr>
    </w:tbl>
    <w:p>
      <w:pPr>
        <w:spacing w:before="0" w:after="60"/>
      </w:pPr>
    </w:p>
    <w:p>
      <w:pPr>
        <w:pStyle w:val="Heading2"/>
      </w:pPr>
      <w:r>
        <w:t>关联工作速查</w:t>
      </w:r>
    </w:p>
    <w:tbl>
      <w:tblPr>
        <w:tblStyle w:val="TableGrid"/>
        <w:tblW w:type="dxa" w:w="9360"/>
        <w:jc w:val="left"/>
        <w:tblLayout w:type="fixed"/>
        <w:tblLook w:firstColumn="1" w:firstRow="1" w:lastColumn="0" w:lastRow="0" w:noHBand="0" w:noVBand="1" w:val="04A0"/>
        <w:tblInd w:w="120" w:type="dxa"/>
      </w:tblPr>
      <w:tblGrid>
        <w:gridCol w:w="1000"/>
        <w:gridCol w:w="900"/>
        <w:gridCol w:w="3760"/>
        <w:gridCol w:w="800"/>
        <w:gridCol w:w="2900"/>
      </w:tblGrid>
      <w:tr>
        <w:trPr>
          <w:tblHeader w:val="true"/>
        </w:trPr>
        <w:tc>
          <w:tcPr>
            <w:tcW w:type="dxa" w:w="1000"/>
            <w:tcMar>
              <w:top w:w="55" w:type="dxa"/>
              <w:bottom w:w="55" w:type="dxa"/>
              <w:start w:w="100" w:type="dxa"/>
              <w:end w:w="100" w:type="dxa"/>
            </w:tcMar>
            <w:vAlign w:val="center"/>
            <w:shd w:fill="E8EEF5"/>
          </w:tcPr>
          <w:p>
            <w:pPr>
              <w:keepNext/>
              <w:spacing w:after="0"/>
              <w:jc w:val="center"/>
            </w:pPr>
            <w:r>
              <w:rPr>
                <w:rFonts w:ascii="Calibri" w:hAnsi="Calibri" w:eastAsia="Microsoft YaHei"/>
                <w:b/>
                <w:color w:val="0B2545"/>
                <w:sz w:val="14"/>
              </w:rPr>
              <w:t>ID</w:t>
            </w:r>
          </w:p>
        </w:tc>
        <w:tc>
          <w:tcPr>
            <w:tcW w:type="dxa" w:w="900"/>
            <w:tcMar>
              <w:top w:w="55" w:type="dxa"/>
              <w:bottom w:w="55" w:type="dxa"/>
              <w:start w:w="100" w:type="dxa"/>
              <w:end w:w="100" w:type="dxa"/>
            </w:tcMar>
            <w:vAlign w:val="center"/>
            <w:shd w:fill="E8EEF5"/>
          </w:tcPr>
          <w:p>
            <w:pPr>
              <w:keepNext/>
              <w:spacing w:after="0"/>
              <w:jc w:val="center"/>
            </w:pPr>
            <w:r>
              <w:rPr>
                <w:rFonts w:ascii="Calibri" w:hAnsi="Calibri" w:eastAsia="Microsoft YaHei"/>
                <w:b/>
                <w:color w:val="0B2545"/>
                <w:sz w:val="14"/>
              </w:rPr>
              <w:t>主任务</w:t>
            </w:r>
          </w:p>
        </w:tc>
        <w:tc>
          <w:tcPr>
            <w:tcW w:type="dxa" w:w="3760"/>
            <w:tcMar>
              <w:top w:w="55" w:type="dxa"/>
              <w:bottom w:w="55" w:type="dxa"/>
              <w:start w:w="100" w:type="dxa"/>
              <w:end w:w="100" w:type="dxa"/>
            </w:tcMar>
            <w:vAlign w:val="center"/>
            <w:shd w:fill="E8EEF5"/>
          </w:tcPr>
          <w:p>
            <w:pPr>
              <w:keepNext/>
              <w:spacing w:after="0"/>
              <w:jc w:val="center"/>
            </w:pPr>
            <w:r>
              <w:rPr>
                <w:rFonts w:ascii="Calibri" w:hAnsi="Calibri" w:eastAsia="Microsoft YaHei"/>
                <w:b/>
                <w:color w:val="0B2545"/>
                <w:sz w:val="14"/>
              </w:rPr>
              <w:t>标题</w:t>
            </w:r>
          </w:p>
        </w:tc>
        <w:tc>
          <w:tcPr>
            <w:tcW w:type="dxa" w:w="800"/>
            <w:tcMar>
              <w:top w:w="55" w:type="dxa"/>
              <w:bottom w:w="55" w:type="dxa"/>
              <w:start w:w="100" w:type="dxa"/>
              <w:end w:w="100" w:type="dxa"/>
            </w:tcMar>
            <w:vAlign w:val="center"/>
            <w:shd w:fill="E8EEF5"/>
          </w:tcPr>
          <w:p>
            <w:pPr>
              <w:keepNext/>
              <w:spacing w:after="0"/>
              <w:jc w:val="center"/>
            </w:pPr>
            <w:r>
              <w:rPr>
                <w:rFonts w:ascii="Calibri" w:hAnsi="Calibri" w:eastAsia="Microsoft YaHei"/>
                <w:b/>
                <w:color w:val="0B2545"/>
                <w:sz w:val="14"/>
              </w:rPr>
              <w:t>证据</w:t>
            </w:r>
          </w:p>
        </w:tc>
        <w:tc>
          <w:tcPr>
            <w:tcW w:type="dxa" w:w="2900"/>
            <w:tcMar>
              <w:top w:w="55" w:type="dxa"/>
              <w:bottom w:w="55" w:type="dxa"/>
              <w:start w:w="100" w:type="dxa"/>
              <w:end w:w="100" w:type="dxa"/>
            </w:tcMar>
            <w:vAlign w:val="center"/>
            <w:shd w:fill="E8EEF5"/>
          </w:tcPr>
          <w:p>
            <w:pPr>
              <w:keepNext/>
              <w:spacing w:after="0"/>
              <w:jc w:val="center"/>
            </w:pPr>
            <w:r>
              <w:rPr>
                <w:rFonts w:ascii="Calibri" w:hAnsi="Calibri" w:eastAsia="Microsoft YaHei"/>
                <w:b/>
                <w:color w:val="0B2545"/>
                <w:sz w:val="14"/>
              </w:rPr>
              <w:t>装置</w:t>
            </w:r>
          </w:p>
        </w:tc>
      </w:tr>
      <w:tr>
        <w:trPr>
          <w:cantSplit/>
        </w:trPr>
        <w:tc>
          <w:tcPr>
            <w:tcW w:type="dxa" w:w="1000"/>
            <w:tcMar>
              <w:top w:w="45" w:type="dxa"/>
              <w:bottom w:w="45" w:type="dxa"/>
              <w:start w:w="100" w:type="dxa"/>
              <w:end w:w="100" w:type="dxa"/>
            </w:tcMar>
          </w:tcPr>
          <w:p>
            <w:pPr>
              <w:keepLines/>
              <w:spacing w:after="0" w:line="252" w:lineRule="auto"/>
            </w:pPr>
            <w:r>
              <w:rPr>
                <w:rFonts w:ascii="Calibri" w:hAnsi="Calibri" w:eastAsia="Microsoft YaHei"/>
                <w:color w:val="0B2545"/>
                <w:sz w:val="14"/>
              </w:rPr>
              <w:t>DSI-001</w:t>
            </w:r>
          </w:p>
        </w:tc>
        <w:tc>
          <w:tcPr>
            <w:tcW w:type="dxa" w:w="900"/>
            <w:tcMar>
              <w:top w:w="45" w:type="dxa"/>
              <w:bottom w:w="45" w:type="dxa"/>
              <w:start w:w="100" w:type="dxa"/>
              <w:end w:w="100" w:type="dxa"/>
            </w:tcMar>
          </w:tcPr>
          <w:p>
            <w:pPr>
              <w:keepLines/>
              <w:spacing w:after="0" w:line="252" w:lineRule="auto"/>
            </w:pPr>
            <w:r>
              <w:rPr>
                <w:rFonts w:ascii="Calibri" w:hAnsi="Calibri" w:eastAsia="Microsoft YaHei"/>
                <w:color w:val="0B2545"/>
                <w:sz w:val="14"/>
              </w:rPr>
              <w:t>DG0</w:t>
            </w:r>
          </w:p>
        </w:tc>
        <w:tc>
          <w:tcPr>
            <w:tcW w:type="dxa" w:w="3760"/>
            <w:tcMar>
              <w:top w:w="45" w:type="dxa"/>
              <w:bottom w:w="45" w:type="dxa"/>
              <w:start w:w="100" w:type="dxa"/>
              <w:end w:w="100" w:type="dxa"/>
            </w:tcMar>
          </w:tcPr>
          <w:p>
            <w:pPr>
              <w:keepLines/>
              <w:spacing w:after="0" w:line="252" w:lineRule="auto"/>
            </w:pPr>
            <w:r>
              <w:rPr>
                <w:rFonts w:ascii="Calibri" w:hAnsi="Calibri" w:eastAsia="Microsoft YaHei"/>
                <w:color w:val="0B2545"/>
                <w:sz w:val="14"/>
              </w:rPr>
              <w:t>IMAS 接口数据结构与数据字典</w:t>
            </w:r>
          </w:p>
        </w:tc>
        <w:tc>
          <w:tcPr>
            <w:tcW w:type="dxa" w:w="800"/>
            <w:tcMar>
              <w:top w:w="45" w:type="dxa"/>
              <w:bottom w:w="45" w:type="dxa"/>
              <w:start w:w="100" w:type="dxa"/>
              <w:end w:w="100" w:type="dxa"/>
            </w:tcMar>
          </w:tcPr>
          <w:p>
            <w:pPr>
              <w:keepLines/>
              <w:spacing w:after="0" w:line="252" w:lineRule="auto"/>
            </w:pPr>
            <w:r>
              <w:rPr>
                <w:rFonts w:ascii="Calibri" w:hAnsi="Calibri" w:eastAsia="Microsoft YaHei"/>
                <w:color w:val="0B2545"/>
                <w:sz w:val="14"/>
              </w:rPr>
              <w:t>E3</w:t>
            </w:r>
          </w:p>
        </w:tc>
        <w:tc>
          <w:tcPr>
            <w:tcW w:type="dxa" w:w="2900"/>
            <w:tcMar>
              <w:top w:w="45" w:type="dxa"/>
              <w:bottom w:w="45" w:type="dxa"/>
              <w:start w:w="100" w:type="dxa"/>
              <w:end w:w="100" w:type="dxa"/>
            </w:tcMar>
          </w:tcPr>
          <w:p>
            <w:pPr>
              <w:keepLines/>
              <w:spacing w:after="0" w:line="252" w:lineRule="auto"/>
            </w:pPr>
            <w:r>
              <w:rPr>
                <w:rFonts w:ascii="Calibri" w:hAnsi="Calibri" w:eastAsia="Microsoft YaHei"/>
                <w:color w:val="0B2545"/>
                <w:sz w:val="14"/>
              </w:rPr>
              <w:t>ITER；EUROfusion devices；JET；ASDEX Upgrade；WEST；TCV；W7-X</w:t>
            </w:r>
          </w:p>
        </w:tc>
      </w:tr>
      <w:tr>
        <w:trPr>
          <w:cantSplit/>
        </w:trPr>
        <w:tc>
          <w:tcPr>
            <w:tcW w:type="dxa" w:w="1000"/>
            <w:tcMar>
              <w:top w:w="45" w:type="dxa"/>
              <w:bottom w:w="45" w:type="dxa"/>
              <w:start w:w="100" w:type="dxa"/>
              <w:end w:w="100" w:type="dxa"/>
            </w:tcMar>
          </w:tcPr>
          <w:p>
            <w:pPr>
              <w:keepLines/>
              <w:spacing w:after="0" w:line="252" w:lineRule="auto"/>
            </w:pPr>
            <w:r>
              <w:rPr>
                <w:rFonts w:ascii="Calibri" w:hAnsi="Calibri" w:eastAsia="Microsoft YaHei"/>
                <w:color w:val="0B2545"/>
                <w:sz w:val="14"/>
              </w:rPr>
              <w:t>DSI-004</w:t>
            </w:r>
          </w:p>
        </w:tc>
        <w:tc>
          <w:tcPr>
            <w:tcW w:type="dxa" w:w="900"/>
            <w:tcMar>
              <w:top w:w="45" w:type="dxa"/>
              <w:bottom w:w="45" w:type="dxa"/>
              <w:start w:w="100" w:type="dxa"/>
              <w:end w:w="100" w:type="dxa"/>
            </w:tcMar>
          </w:tcPr>
          <w:p>
            <w:pPr>
              <w:keepLines/>
              <w:spacing w:after="0" w:line="252" w:lineRule="auto"/>
            </w:pPr>
            <w:r>
              <w:rPr>
                <w:rFonts w:ascii="Calibri" w:hAnsi="Calibri" w:eastAsia="Microsoft YaHei"/>
                <w:color w:val="0B2545"/>
                <w:sz w:val="14"/>
              </w:rPr>
              <w:t>DG0</w:t>
            </w:r>
          </w:p>
        </w:tc>
        <w:tc>
          <w:tcPr>
            <w:tcW w:type="dxa" w:w="3760"/>
            <w:tcMar>
              <w:top w:w="45" w:type="dxa"/>
              <w:bottom w:w="45" w:type="dxa"/>
              <w:start w:w="100" w:type="dxa"/>
              <w:end w:w="100" w:type="dxa"/>
            </w:tcMar>
          </w:tcPr>
          <w:p>
            <w:pPr>
              <w:keepLines/>
              <w:spacing w:after="0" w:line="252" w:lineRule="auto"/>
            </w:pPr>
            <w:r>
              <w:rPr>
                <w:rFonts w:ascii="Calibri" w:hAnsi="Calibri" w:eastAsia="Microsoft YaHei"/>
                <w:color w:val="0B2545"/>
                <w:sz w:val="14"/>
              </w:rPr>
              <w:t>OMAS：轻量 IMAS 兼容数据对象与装置映射</w:t>
            </w:r>
          </w:p>
        </w:tc>
        <w:tc>
          <w:tcPr>
            <w:tcW w:type="dxa" w:w="800"/>
            <w:tcMar>
              <w:top w:w="45" w:type="dxa"/>
              <w:bottom w:w="45" w:type="dxa"/>
              <w:start w:w="100" w:type="dxa"/>
              <w:end w:w="100" w:type="dxa"/>
            </w:tcMar>
          </w:tcPr>
          <w:p>
            <w:pPr>
              <w:keepLines/>
              <w:spacing w:after="0" w:line="252" w:lineRule="auto"/>
            </w:pPr>
            <w:r>
              <w:rPr>
                <w:rFonts w:ascii="Calibri" w:hAnsi="Calibri" w:eastAsia="Microsoft YaHei"/>
                <w:color w:val="0B2545"/>
                <w:sz w:val="14"/>
              </w:rPr>
              <w:t>E2</w:t>
            </w:r>
          </w:p>
        </w:tc>
        <w:tc>
          <w:tcPr>
            <w:tcW w:type="dxa" w:w="2900"/>
            <w:tcMar>
              <w:top w:w="45" w:type="dxa"/>
              <w:bottom w:w="45" w:type="dxa"/>
              <w:start w:w="100" w:type="dxa"/>
              <w:end w:w="100" w:type="dxa"/>
            </w:tcMar>
          </w:tcPr>
          <w:p>
            <w:pPr>
              <w:keepLines/>
              <w:spacing w:after="0" w:line="252" w:lineRule="auto"/>
            </w:pPr>
            <w:r>
              <w:rPr>
                <w:rFonts w:ascii="Calibri" w:hAnsi="Calibri" w:eastAsia="Microsoft YaHei"/>
                <w:color w:val="0B2545"/>
                <w:sz w:val="14"/>
              </w:rPr>
              <w:t>DIII-D；NSTX-U；ITER scenario studies；GA workflows</w:t>
            </w:r>
          </w:p>
        </w:tc>
      </w:tr>
      <w:tr>
        <w:trPr>
          <w:cantSplit/>
        </w:trPr>
        <w:tc>
          <w:tcPr>
            <w:tcW w:type="dxa" w:w="1000"/>
            <w:tcMar>
              <w:top w:w="45" w:type="dxa"/>
              <w:bottom w:w="45" w:type="dxa"/>
              <w:start w:w="100" w:type="dxa"/>
              <w:end w:w="100" w:type="dxa"/>
            </w:tcMar>
          </w:tcPr>
          <w:p>
            <w:pPr>
              <w:keepLines/>
              <w:spacing w:after="0" w:line="252" w:lineRule="auto"/>
            </w:pPr>
            <w:r>
              <w:rPr>
                <w:rFonts w:ascii="Calibri" w:hAnsi="Calibri" w:eastAsia="Microsoft YaHei"/>
                <w:color w:val="0B2545"/>
                <w:sz w:val="14"/>
              </w:rPr>
              <w:t>DSI-006</w:t>
            </w:r>
          </w:p>
        </w:tc>
        <w:tc>
          <w:tcPr>
            <w:tcW w:type="dxa" w:w="900"/>
            <w:tcMar>
              <w:top w:w="45" w:type="dxa"/>
              <w:bottom w:w="45" w:type="dxa"/>
              <w:start w:w="100" w:type="dxa"/>
              <w:end w:w="100" w:type="dxa"/>
            </w:tcMar>
          </w:tcPr>
          <w:p>
            <w:pPr>
              <w:keepLines/>
              <w:spacing w:after="0" w:line="252" w:lineRule="auto"/>
            </w:pPr>
            <w:r>
              <w:rPr>
                <w:rFonts w:ascii="Calibri" w:hAnsi="Calibri" w:eastAsia="Microsoft YaHei"/>
                <w:color w:val="0B2545"/>
                <w:sz w:val="14"/>
              </w:rPr>
              <w:t>DG0</w:t>
            </w:r>
          </w:p>
        </w:tc>
        <w:tc>
          <w:tcPr>
            <w:tcW w:type="dxa" w:w="3760"/>
            <w:tcMar>
              <w:top w:w="45" w:type="dxa"/>
              <w:bottom w:w="45" w:type="dxa"/>
              <w:start w:w="100" w:type="dxa"/>
              <w:end w:w="100" w:type="dxa"/>
            </w:tcMar>
          </w:tcPr>
          <w:p>
            <w:pPr>
              <w:keepLines/>
              <w:spacing w:after="0" w:line="252" w:lineRule="auto"/>
            </w:pPr>
            <w:r>
              <w:rPr>
                <w:rFonts w:ascii="Calibri" w:hAnsi="Calibri" w:eastAsia="Microsoft YaHei"/>
                <w:color w:val="0B2545"/>
                <w:sz w:val="14"/>
              </w:rPr>
              <w:t>Calcam 相机几何标定与像素—三维映射</w:t>
            </w:r>
          </w:p>
        </w:tc>
        <w:tc>
          <w:tcPr>
            <w:tcW w:type="dxa" w:w="800"/>
            <w:tcMar>
              <w:top w:w="45" w:type="dxa"/>
              <w:bottom w:w="45" w:type="dxa"/>
              <w:start w:w="100" w:type="dxa"/>
              <w:end w:w="100" w:type="dxa"/>
            </w:tcMar>
          </w:tcPr>
          <w:p>
            <w:pPr>
              <w:keepLines/>
              <w:spacing w:after="0" w:line="252" w:lineRule="auto"/>
            </w:pPr>
            <w:r>
              <w:rPr>
                <w:rFonts w:ascii="Calibri" w:hAnsi="Calibri" w:eastAsia="Microsoft YaHei"/>
                <w:color w:val="0B2545"/>
                <w:sz w:val="14"/>
              </w:rPr>
              <w:t>E3</w:t>
            </w:r>
          </w:p>
        </w:tc>
        <w:tc>
          <w:tcPr>
            <w:tcW w:type="dxa" w:w="2900"/>
            <w:tcMar>
              <w:top w:w="45" w:type="dxa"/>
              <w:bottom w:w="45" w:type="dxa"/>
              <w:start w:w="100" w:type="dxa"/>
              <w:end w:w="100" w:type="dxa"/>
            </w:tcMar>
          </w:tcPr>
          <w:p>
            <w:pPr>
              <w:keepLines/>
              <w:spacing w:after="0" w:line="252" w:lineRule="auto"/>
            </w:pPr>
            <w:r>
              <w:rPr>
                <w:rFonts w:ascii="Calibri" w:hAnsi="Calibri" w:eastAsia="Microsoft YaHei"/>
                <w:color w:val="0B2545"/>
                <w:sz w:val="14"/>
              </w:rPr>
              <w:t>JET；MAST Upgrade；fusion camera systems</w:t>
            </w:r>
          </w:p>
        </w:tc>
      </w:tr>
      <w:tr>
        <w:trPr>
          <w:cantSplit/>
        </w:trPr>
        <w:tc>
          <w:tcPr>
            <w:tcW w:type="dxa" w:w="1000"/>
            <w:tcMar>
              <w:top w:w="45" w:type="dxa"/>
              <w:bottom w:w="45" w:type="dxa"/>
              <w:start w:w="100" w:type="dxa"/>
              <w:end w:w="100" w:type="dxa"/>
            </w:tcMar>
          </w:tcPr>
          <w:p>
            <w:pPr>
              <w:keepLines/>
              <w:spacing w:after="0" w:line="252" w:lineRule="auto"/>
            </w:pPr>
            <w:r>
              <w:rPr>
                <w:rFonts w:ascii="Calibri" w:hAnsi="Calibri" w:eastAsia="Microsoft YaHei"/>
                <w:color w:val="0B2545"/>
                <w:sz w:val="14"/>
              </w:rPr>
              <w:t>DG2-006</w:t>
            </w:r>
          </w:p>
        </w:tc>
        <w:tc>
          <w:tcPr>
            <w:tcW w:type="dxa" w:w="900"/>
            <w:tcMar>
              <w:top w:w="45" w:type="dxa"/>
              <w:bottom w:w="45" w:type="dxa"/>
              <w:start w:w="100" w:type="dxa"/>
              <w:end w:w="100" w:type="dxa"/>
            </w:tcMar>
          </w:tcPr>
          <w:p>
            <w:pPr>
              <w:keepLines/>
              <w:spacing w:after="0" w:line="252" w:lineRule="auto"/>
            </w:pPr>
            <w:r>
              <w:rPr>
                <w:rFonts w:ascii="Calibri" w:hAnsi="Calibri" w:eastAsia="Microsoft YaHei"/>
                <w:color w:val="0B2545"/>
                <w:sz w:val="14"/>
              </w:rPr>
              <w:t>DG2</w:t>
            </w:r>
          </w:p>
        </w:tc>
        <w:tc>
          <w:tcPr>
            <w:tcW w:type="dxa" w:w="3760"/>
            <w:tcMar>
              <w:top w:w="45" w:type="dxa"/>
              <w:bottom w:w="45" w:type="dxa"/>
              <w:start w:w="100" w:type="dxa"/>
              <w:end w:w="100" w:type="dxa"/>
            </w:tcMar>
          </w:tcPr>
          <w:p>
            <w:pPr>
              <w:keepLines/>
              <w:spacing w:after="0" w:line="252" w:lineRule="auto"/>
            </w:pPr>
            <w:r>
              <w:rPr>
                <w:rFonts w:ascii="Calibri" w:hAnsi="Calibri" w:eastAsia="Microsoft YaHei"/>
                <w:color w:val="0B2545"/>
                <w:sz w:val="14"/>
              </w:rPr>
              <w:t>多点汤姆逊散射：核心与边缘电子剖面</w:t>
            </w:r>
          </w:p>
        </w:tc>
        <w:tc>
          <w:tcPr>
            <w:tcW w:type="dxa" w:w="800"/>
            <w:tcMar>
              <w:top w:w="45" w:type="dxa"/>
              <w:bottom w:w="45" w:type="dxa"/>
              <w:start w:w="100" w:type="dxa"/>
              <w:end w:w="100" w:type="dxa"/>
            </w:tcMar>
          </w:tcPr>
          <w:p>
            <w:pPr>
              <w:keepLines/>
              <w:spacing w:after="0" w:line="252" w:lineRule="auto"/>
            </w:pPr>
            <w:r>
              <w:rPr>
                <w:rFonts w:ascii="Calibri" w:hAnsi="Calibri" w:eastAsia="Microsoft YaHei"/>
                <w:color w:val="0B2545"/>
                <w:sz w:val="14"/>
              </w:rPr>
              <w:t>E3</w:t>
            </w:r>
          </w:p>
        </w:tc>
        <w:tc>
          <w:tcPr>
            <w:tcW w:type="dxa" w:w="2900"/>
            <w:tcMar>
              <w:top w:w="45" w:type="dxa"/>
              <w:bottom w:w="45" w:type="dxa"/>
              <w:start w:w="100" w:type="dxa"/>
              <w:end w:w="100" w:type="dxa"/>
            </w:tcMar>
          </w:tcPr>
          <w:p>
            <w:pPr>
              <w:keepLines/>
              <w:spacing w:after="0" w:line="252" w:lineRule="auto"/>
            </w:pPr>
            <w:r>
              <w:rPr>
                <w:rFonts w:ascii="Calibri" w:hAnsi="Calibri" w:eastAsia="Microsoft YaHei"/>
                <w:color w:val="0B2545"/>
                <w:sz w:val="14"/>
              </w:rPr>
              <w:t>DIII-D；EAST；Globus-M2；ITER</w:t>
            </w:r>
          </w:p>
        </w:tc>
      </w:tr>
      <w:tr>
        <w:trPr>
          <w:cantSplit/>
        </w:trPr>
        <w:tc>
          <w:tcPr>
            <w:tcW w:type="dxa" w:w="1000"/>
            <w:tcMar>
              <w:top w:w="45" w:type="dxa"/>
              <w:bottom w:w="45" w:type="dxa"/>
              <w:start w:w="100" w:type="dxa"/>
              <w:end w:w="100" w:type="dxa"/>
            </w:tcMar>
          </w:tcPr>
          <w:p>
            <w:pPr>
              <w:keepLines/>
              <w:spacing w:after="0" w:line="252" w:lineRule="auto"/>
            </w:pPr>
            <w:r>
              <w:rPr>
                <w:rFonts w:ascii="Calibri" w:hAnsi="Calibri" w:eastAsia="Microsoft YaHei"/>
                <w:color w:val="0B2545"/>
                <w:sz w:val="14"/>
              </w:rPr>
              <w:t>DG2-010</w:t>
            </w:r>
          </w:p>
        </w:tc>
        <w:tc>
          <w:tcPr>
            <w:tcW w:type="dxa" w:w="900"/>
            <w:tcMar>
              <w:top w:w="45" w:type="dxa"/>
              <w:bottom w:w="45" w:type="dxa"/>
              <w:start w:w="100" w:type="dxa"/>
              <w:end w:w="100" w:type="dxa"/>
            </w:tcMar>
          </w:tcPr>
          <w:p>
            <w:pPr>
              <w:keepLines/>
              <w:spacing w:after="0" w:line="252" w:lineRule="auto"/>
            </w:pPr>
            <w:r>
              <w:rPr>
                <w:rFonts w:ascii="Calibri" w:hAnsi="Calibri" w:eastAsia="Microsoft YaHei"/>
                <w:color w:val="0B2545"/>
                <w:sz w:val="14"/>
              </w:rPr>
              <w:t>DG2</w:t>
            </w:r>
          </w:p>
        </w:tc>
        <w:tc>
          <w:tcPr>
            <w:tcW w:type="dxa" w:w="3760"/>
            <w:tcMar>
              <w:top w:w="45" w:type="dxa"/>
              <w:bottom w:w="45" w:type="dxa"/>
              <w:start w:w="100" w:type="dxa"/>
              <w:end w:w="100" w:type="dxa"/>
            </w:tcMar>
          </w:tcPr>
          <w:p>
            <w:pPr>
              <w:keepLines/>
              <w:spacing w:after="0" w:line="252" w:lineRule="auto"/>
            </w:pPr>
            <w:r>
              <w:rPr>
                <w:rFonts w:ascii="Calibri" w:hAnsi="Calibri" w:eastAsia="Microsoft YaHei"/>
                <w:color w:val="0B2545"/>
                <w:sz w:val="14"/>
              </w:rPr>
              <w:t>扫频/脉冲反射计：密度剖面和实时映射</w:t>
            </w:r>
          </w:p>
        </w:tc>
        <w:tc>
          <w:tcPr>
            <w:tcW w:type="dxa" w:w="800"/>
            <w:tcMar>
              <w:top w:w="45" w:type="dxa"/>
              <w:bottom w:w="45" w:type="dxa"/>
              <w:start w:w="100" w:type="dxa"/>
              <w:end w:w="100" w:type="dxa"/>
            </w:tcMar>
          </w:tcPr>
          <w:p>
            <w:pPr>
              <w:keepLines/>
              <w:spacing w:after="0" w:line="252" w:lineRule="auto"/>
            </w:pPr>
            <w:r>
              <w:rPr>
                <w:rFonts w:ascii="Calibri" w:hAnsi="Calibri" w:eastAsia="Microsoft YaHei"/>
                <w:color w:val="0B2545"/>
                <w:sz w:val="14"/>
              </w:rPr>
              <w:t>E3</w:t>
            </w:r>
          </w:p>
        </w:tc>
        <w:tc>
          <w:tcPr>
            <w:tcW w:type="dxa" w:w="2900"/>
            <w:tcMar>
              <w:top w:w="45" w:type="dxa"/>
              <w:bottom w:w="45" w:type="dxa"/>
              <w:start w:w="100" w:type="dxa"/>
              <w:end w:w="100" w:type="dxa"/>
            </w:tcMar>
          </w:tcPr>
          <w:p>
            <w:pPr>
              <w:keepLines/>
              <w:spacing w:after="0" w:line="252" w:lineRule="auto"/>
            </w:pPr>
            <w:r>
              <w:rPr>
                <w:rFonts w:ascii="Calibri" w:hAnsi="Calibri" w:eastAsia="Microsoft YaHei"/>
                <w:color w:val="0B2545"/>
                <w:sz w:val="14"/>
              </w:rPr>
              <w:t>SPARC；MAST Upgrade；WEST；EAST</w:t>
            </w:r>
          </w:p>
        </w:tc>
      </w:tr>
      <w:tr>
        <w:trPr>
          <w:cantSplit/>
        </w:trPr>
        <w:tc>
          <w:tcPr>
            <w:tcW w:type="dxa" w:w="1000"/>
            <w:tcMar>
              <w:top w:w="45" w:type="dxa"/>
              <w:bottom w:w="45" w:type="dxa"/>
              <w:start w:w="100" w:type="dxa"/>
              <w:end w:w="100" w:type="dxa"/>
            </w:tcMar>
          </w:tcPr>
          <w:p>
            <w:pPr>
              <w:keepLines/>
              <w:spacing w:after="0" w:line="252" w:lineRule="auto"/>
            </w:pPr>
            <w:r>
              <w:rPr>
                <w:rFonts w:ascii="Calibri" w:hAnsi="Calibri" w:eastAsia="Microsoft YaHei"/>
                <w:color w:val="0B2545"/>
                <w:sz w:val="14"/>
              </w:rPr>
              <w:t>DG3-013</w:t>
            </w:r>
          </w:p>
        </w:tc>
        <w:tc>
          <w:tcPr>
            <w:tcW w:type="dxa" w:w="900"/>
            <w:tcMar>
              <w:top w:w="45" w:type="dxa"/>
              <w:bottom w:w="45" w:type="dxa"/>
              <w:start w:w="100" w:type="dxa"/>
              <w:end w:w="100" w:type="dxa"/>
            </w:tcMar>
          </w:tcPr>
          <w:p>
            <w:pPr>
              <w:keepLines/>
              <w:spacing w:after="0" w:line="252" w:lineRule="auto"/>
            </w:pPr>
            <w:r>
              <w:rPr>
                <w:rFonts w:ascii="Calibri" w:hAnsi="Calibri" w:eastAsia="Microsoft YaHei"/>
                <w:color w:val="0B2545"/>
                <w:sz w:val="14"/>
              </w:rPr>
              <w:t>DG3</w:t>
            </w:r>
          </w:p>
        </w:tc>
        <w:tc>
          <w:tcPr>
            <w:tcW w:type="dxa" w:w="3760"/>
            <w:tcMar>
              <w:top w:w="45" w:type="dxa"/>
              <w:bottom w:w="45" w:type="dxa"/>
              <w:start w:w="100" w:type="dxa"/>
              <w:end w:w="100" w:type="dxa"/>
            </w:tcMar>
          </w:tcPr>
          <w:p>
            <w:pPr>
              <w:keepLines/>
              <w:spacing w:after="0" w:line="252" w:lineRule="auto"/>
            </w:pPr>
            <w:r>
              <w:rPr>
                <w:rFonts w:ascii="Calibri" w:hAnsi="Calibri" w:eastAsia="Microsoft YaHei"/>
                <w:color w:val="0B2545"/>
                <w:sz w:val="14"/>
              </w:rPr>
              <w:t>中性粒子分析器：逃逸中性谱与离子分布</w:t>
            </w:r>
          </w:p>
        </w:tc>
        <w:tc>
          <w:tcPr>
            <w:tcW w:type="dxa" w:w="800"/>
            <w:tcMar>
              <w:top w:w="45" w:type="dxa"/>
              <w:bottom w:w="45" w:type="dxa"/>
              <w:start w:w="100" w:type="dxa"/>
              <w:end w:w="100" w:type="dxa"/>
            </w:tcMar>
          </w:tcPr>
          <w:p>
            <w:pPr>
              <w:keepLines/>
              <w:spacing w:after="0" w:line="252" w:lineRule="auto"/>
            </w:pPr>
            <w:r>
              <w:rPr>
                <w:rFonts w:ascii="Calibri" w:hAnsi="Calibri" w:eastAsia="Microsoft YaHei"/>
                <w:color w:val="0B2545"/>
                <w:sz w:val="14"/>
              </w:rPr>
              <w:t>E3</w:t>
            </w:r>
          </w:p>
        </w:tc>
        <w:tc>
          <w:tcPr>
            <w:tcW w:type="dxa" w:w="2900"/>
            <w:tcMar>
              <w:top w:w="45" w:type="dxa"/>
              <w:bottom w:w="45" w:type="dxa"/>
              <w:start w:w="100" w:type="dxa"/>
              <w:end w:w="100" w:type="dxa"/>
            </w:tcMar>
          </w:tcPr>
          <w:p>
            <w:pPr>
              <w:keepLines/>
              <w:spacing w:after="0" w:line="252" w:lineRule="auto"/>
            </w:pPr>
            <w:r>
              <w:rPr>
                <w:rFonts w:ascii="Calibri" w:hAnsi="Calibri" w:eastAsia="Microsoft YaHei"/>
                <w:color w:val="0B2545"/>
                <w:sz w:val="14"/>
              </w:rPr>
              <w:t>ST40；ITER；EAST；LHD</w:t>
            </w:r>
          </w:p>
        </w:tc>
      </w:tr>
      <w:tr>
        <w:trPr>
          <w:cantSplit/>
        </w:trPr>
        <w:tc>
          <w:tcPr>
            <w:tcW w:type="dxa" w:w="1000"/>
            <w:tcMar>
              <w:top w:w="45" w:type="dxa"/>
              <w:bottom w:w="45" w:type="dxa"/>
              <w:start w:w="100" w:type="dxa"/>
              <w:end w:w="100" w:type="dxa"/>
            </w:tcMar>
          </w:tcPr>
          <w:p>
            <w:pPr>
              <w:keepLines/>
              <w:spacing w:after="0" w:line="252" w:lineRule="auto"/>
            </w:pPr>
            <w:r>
              <w:rPr>
                <w:rFonts w:ascii="Calibri" w:hAnsi="Calibri" w:eastAsia="Microsoft YaHei"/>
                <w:color w:val="0B2545"/>
                <w:sz w:val="14"/>
              </w:rPr>
              <w:t>DG3-015</w:t>
            </w:r>
          </w:p>
        </w:tc>
        <w:tc>
          <w:tcPr>
            <w:tcW w:type="dxa" w:w="900"/>
            <w:tcMar>
              <w:top w:w="45" w:type="dxa"/>
              <w:bottom w:w="45" w:type="dxa"/>
              <w:start w:w="100" w:type="dxa"/>
              <w:end w:w="100" w:type="dxa"/>
            </w:tcMar>
          </w:tcPr>
          <w:p>
            <w:pPr>
              <w:keepLines/>
              <w:spacing w:after="0" w:line="252" w:lineRule="auto"/>
            </w:pPr>
            <w:r>
              <w:rPr>
                <w:rFonts w:ascii="Calibri" w:hAnsi="Calibri" w:eastAsia="Microsoft YaHei"/>
                <w:color w:val="0B2545"/>
                <w:sz w:val="14"/>
              </w:rPr>
              <w:t>DG3</w:t>
            </w:r>
          </w:p>
        </w:tc>
        <w:tc>
          <w:tcPr>
            <w:tcW w:type="dxa" w:w="3760"/>
            <w:tcMar>
              <w:top w:w="45" w:type="dxa"/>
              <w:bottom w:w="45" w:type="dxa"/>
              <w:start w:w="100" w:type="dxa"/>
              <w:end w:w="100" w:type="dxa"/>
            </w:tcMar>
          </w:tcPr>
          <w:p>
            <w:pPr>
              <w:keepLines/>
              <w:spacing w:after="0" w:line="252" w:lineRule="auto"/>
            </w:pPr>
            <w:r>
              <w:rPr>
                <w:rFonts w:ascii="Calibri" w:hAnsi="Calibri" w:eastAsia="Microsoft YaHei"/>
                <w:color w:val="0B2545"/>
                <w:sz w:val="14"/>
              </w:rPr>
              <w:t>ITER诊断中性束与氦灰CXRS</w:t>
            </w:r>
          </w:p>
        </w:tc>
        <w:tc>
          <w:tcPr>
            <w:tcW w:type="dxa" w:w="800"/>
            <w:tcMar>
              <w:top w:w="45" w:type="dxa"/>
              <w:bottom w:w="45" w:type="dxa"/>
              <w:start w:w="100" w:type="dxa"/>
              <w:end w:w="100" w:type="dxa"/>
            </w:tcMar>
          </w:tcPr>
          <w:p>
            <w:pPr>
              <w:keepLines/>
              <w:spacing w:after="0" w:line="252" w:lineRule="auto"/>
            </w:pPr>
            <w:r>
              <w:rPr>
                <w:rFonts w:ascii="Calibri" w:hAnsi="Calibri" w:eastAsia="Microsoft YaHei"/>
                <w:color w:val="0B2545"/>
                <w:sz w:val="14"/>
              </w:rPr>
              <w:t>E2</w:t>
            </w:r>
          </w:p>
        </w:tc>
        <w:tc>
          <w:tcPr>
            <w:tcW w:type="dxa" w:w="2900"/>
            <w:tcMar>
              <w:top w:w="45" w:type="dxa"/>
              <w:bottom w:w="45" w:type="dxa"/>
              <w:start w:w="100" w:type="dxa"/>
              <w:end w:w="100" w:type="dxa"/>
            </w:tcMar>
          </w:tcPr>
          <w:p>
            <w:pPr>
              <w:keepLines/>
              <w:spacing w:after="0" w:line="252" w:lineRule="auto"/>
            </w:pPr>
            <w:r>
              <w:rPr>
                <w:rFonts w:ascii="Calibri" w:hAnsi="Calibri" w:eastAsia="Microsoft YaHei"/>
                <w:color w:val="0B2545"/>
                <w:sz w:val="14"/>
              </w:rPr>
              <w:t>ITER；DIII-D/JET method heritage</w:t>
            </w:r>
          </w:p>
        </w:tc>
      </w:tr>
      <w:tr>
        <w:trPr>
          <w:cantSplit/>
        </w:trPr>
        <w:tc>
          <w:tcPr>
            <w:tcW w:type="dxa" w:w="1000"/>
            <w:tcMar>
              <w:top w:w="45" w:type="dxa"/>
              <w:bottom w:w="45" w:type="dxa"/>
              <w:start w:w="100" w:type="dxa"/>
              <w:end w:w="100" w:type="dxa"/>
            </w:tcMar>
          </w:tcPr>
          <w:p>
            <w:pPr>
              <w:keepLines/>
              <w:spacing w:after="0" w:line="252" w:lineRule="auto"/>
            </w:pPr>
            <w:r>
              <w:rPr>
                <w:rFonts w:ascii="Calibri" w:hAnsi="Calibri" w:eastAsia="Microsoft YaHei"/>
                <w:color w:val="0B2545"/>
                <w:sz w:val="14"/>
              </w:rPr>
              <w:t>DG4-016</w:t>
            </w:r>
          </w:p>
        </w:tc>
        <w:tc>
          <w:tcPr>
            <w:tcW w:type="dxa" w:w="900"/>
            <w:tcMar>
              <w:top w:w="45" w:type="dxa"/>
              <w:bottom w:w="45" w:type="dxa"/>
              <w:start w:w="100" w:type="dxa"/>
              <w:end w:w="100" w:type="dxa"/>
            </w:tcMar>
          </w:tcPr>
          <w:p>
            <w:pPr>
              <w:keepLines/>
              <w:spacing w:after="0" w:line="252" w:lineRule="auto"/>
            </w:pPr>
            <w:r>
              <w:rPr>
                <w:rFonts w:ascii="Calibri" w:hAnsi="Calibri" w:eastAsia="Microsoft YaHei"/>
                <w:color w:val="0B2545"/>
                <w:sz w:val="14"/>
              </w:rPr>
              <w:t>DG4</w:t>
            </w:r>
          </w:p>
        </w:tc>
        <w:tc>
          <w:tcPr>
            <w:tcW w:type="dxa" w:w="3760"/>
            <w:tcMar>
              <w:top w:w="45" w:type="dxa"/>
              <w:bottom w:w="45" w:type="dxa"/>
              <w:start w:w="100" w:type="dxa"/>
              <w:end w:w="100" w:type="dxa"/>
            </w:tcMar>
          </w:tcPr>
          <w:p>
            <w:pPr>
              <w:keepLines/>
              <w:spacing w:after="0" w:line="252" w:lineRule="auto"/>
            </w:pPr>
            <w:r>
              <w:rPr>
                <w:rFonts w:ascii="Calibri" w:hAnsi="Calibri" w:eastAsia="Microsoft YaHei"/>
                <w:color w:val="0B2545"/>
                <w:sz w:val="14"/>
              </w:rPr>
              <w:t>测辐射热计：总辐射功率与功率平衡</w:t>
            </w:r>
          </w:p>
        </w:tc>
        <w:tc>
          <w:tcPr>
            <w:tcW w:type="dxa" w:w="800"/>
            <w:tcMar>
              <w:top w:w="45" w:type="dxa"/>
              <w:bottom w:w="45" w:type="dxa"/>
              <w:start w:w="100" w:type="dxa"/>
              <w:end w:w="100" w:type="dxa"/>
            </w:tcMar>
          </w:tcPr>
          <w:p>
            <w:pPr>
              <w:keepLines/>
              <w:spacing w:after="0" w:line="252" w:lineRule="auto"/>
            </w:pPr>
            <w:r>
              <w:rPr>
                <w:rFonts w:ascii="Calibri" w:hAnsi="Calibri" w:eastAsia="Microsoft YaHei"/>
                <w:color w:val="0B2545"/>
                <w:sz w:val="14"/>
              </w:rPr>
              <w:t>E2</w:t>
            </w:r>
          </w:p>
        </w:tc>
        <w:tc>
          <w:tcPr>
            <w:tcW w:type="dxa" w:w="2900"/>
            <w:tcMar>
              <w:top w:w="45" w:type="dxa"/>
              <w:bottom w:w="45" w:type="dxa"/>
              <w:start w:w="100" w:type="dxa"/>
              <w:end w:w="100" w:type="dxa"/>
            </w:tcMar>
          </w:tcPr>
          <w:p>
            <w:pPr>
              <w:keepLines/>
              <w:spacing w:after="0" w:line="252" w:lineRule="auto"/>
            </w:pPr>
            <w:r>
              <w:rPr>
                <w:rFonts w:ascii="Calibri" w:hAnsi="Calibri" w:eastAsia="Microsoft YaHei"/>
                <w:color w:val="0B2545"/>
                <w:sz w:val="14"/>
              </w:rPr>
              <w:t>ITER；JET；ASDEX Upgrade；EAST</w:t>
            </w:r>
          </w:p>
        </w:tc>
      </w:tr>
      <w:tr>
        <w:trPr>
          <w:cantSplit/>
        </w:trPr>
        <w:tc>
          <w:tcPr>
            <w:tcW w:type="dxa" w:w="1000"/>
            <w:tcMar>
              <w:top w:w="45" w:type="dxa"/>
              <w:bottom w:w="45" w:type="dxa"/>
              <w:start w:w="100" w:type="dxa"/>
              <w:end w:w="100" w:type="dxa"/>
            </w:tcMar>
          </w:tcPr>
          <w:p>
            <w:pPr>
              <w:keepLines/>
              <w:spacing w:after="0" w:line="252" w:lineRule="auto"/>
            </w:pPr>
            <w:r>
              <w:rPr>
                <w:rFonts w:ascii="Calibri" w:hAnsi="Calibri" w:eastAsia="Microsoft YaHei"/>
                <w:color w:val="0B2545"/>
                <w:sz w:val="14"/>
              </w:rPr>
              <w:t>DG5-022</w:t>
            </w:r>
          </w:p>
        </w:tc>
        <w:tc>
          <w:tcPr>
            <w:tcW w:type="dxa" w:w="900"/>
            <w:tcMar>
              <w:top w:w="45" w:type="dxa"/>
              <w:bottom w:w="45" w:type="dxa"/>
              <w:start w:w="100" w:type="dxa"/>
              <w:end w:w="100" w:type="dxa"/>
            </w:tcMar>
          </w:tcPr>
          <w:p>
            <w:pPr>
              <w:keepLines/>
              <w:spacing w:after="0" w:line="252" w:lineRule="auto"/>
            </w:pPr>
            <w:r>
              <w:rPr>
                <w:rFonts w:ascii="Calibri" w:hAnsi="Calibri" w:eastAsia="Microsoft YaHei"/>
                <w:color w:val="0B2545"/>
                <w:sz w:val="14"/>
              </w:rPr>
              <w:t>DG5</w:t>
            </w:r>
          </w:p>
        </w:tc>
        <w:tc>
          <w:tcPr>
            <w:tcW w:type="dxa" w:w="3760"/>
            <w:tcMar>
              <w:top w:w="45" w:type="dxa"/>
              <w:bottom w:w="45" w:type="dxa"/>
              <w:start w:w="100" w:type="dxa"/>
              <w:end w:w="100" w:type="dxa"/>
            </w:tcMar>
          </w:tcPr>
          <w:p>
            <w:pPr>
              <w:keepLines/>
              <w:spacing w:after="0" w:line="252" w:lineRule="auto"/>
            </w:pPr>
            <w:r>
              <w:rPr>
                <w:rFonts w:ascii="Calibri" w:hAnsi="Calibri" w:eastAsia="Microsoft YaHei"/>
                <w:color w:val="0B2545"/>
                <w:sz w:val="14"/>
              </w:rPr>
              <w:t>径向中子相机：聚变反应率剖面</w:t>
            </w:r>
          </w:p>
        </w:tc>
        <w:tc>
          <w:tcPr>
            <w:tcW w:type="dxa" w:w="800"/>
            <w:tcMar>
              <w:top w:w="45" w:type="dxa"/>
              <w:bottom w:w="45" w:type="dxa"/>
              <w:start w:w="100" w:type="dxa"/>
              <w:end w:w="100" w:type="dxa"/>
            </w:tcMar>
          </w:tcPr>
          <w:p>
            <w:pPr>
              <w:keepLines/>
              <w:spacing w:after="0" w:line="252" w:lineRule="auto"/>
            </w:pPr>
            <w:r>
              <w:rPr>
                <w:rFonts w:ascii="Calibri" w:hAnsi="Calibri" w:eastAsia="Microsoft YaHei"/>
                <w:color w:val="0B2545"/>
                <w:sz w:val="14"/>
              </w:rPr>
              <w:t>E3</w:t>
            </w:r>
          </w:p>
        </w:tc>
        <w:tc>
          <w:tcPr>
            <w:tcW w:type="dxa" w:w="2900"/>
            <w:tcMar>
              <w:top w:w="45" w:type="dxa"/>
              <w:bottom w:w="45" w:type="dxa"/>
              <w:start w:w="100" w:type="dxa"/>
              <w:end w:w="100" w:type="dxa"/>
            </w:tcMar>
          </w:tcPr>
          <w:p>
            <w:pPr>
              <w:keepLines/>
              <w:spacing w:after="0" w:line="252" w:lineRule="auto"/>
            </w:pPr>
            <w:r>
              <w:rPr>
                <w:rFonts w:ascii="Calibri" w:hAnsi="Calibri" w:eastAsia="Microsoft YaHei"/>
                <w:color w:val="0B2545"/>
                <w:sz w:val="14"/>
              </w:rPr>
              <w:t>ITER；JET；DIII-D</w:t>
            </w:r>
          </w:p>
        </w:tc>
      </w:tr>
      <w:tr>
        <w:trPr>
          <w:cantSplit/>
        </w:trPr>
        <w:tc>
          <w:tcPr>
            <w:tcW w:type="dxa" w:w="1000"/>
            <w:tcMar>
              <w:top w:w="45" w:type="dxa"/>
              <w:bottom w:w="45" w:type="dxa"/>
              <w:start w:w="100" w:type="dxa"/>
              <w:end w:w="100" w:type="dxa"/>
            </w:tcMar>
          </w:tcPr>
          <w:p>
            <w:pPr>
              <w:keepLines/>
              <w:spacing w:after="0" w:line="252" w:lineRule="auto"/>
            </w:pPr>
            <w:r>
              <w:rPr>
                <w:rFonts w:ascii="Calibri" w:hAnsi="Calibri" w:eastAsia="Microsoft YaHei"/>
                <w:color w:val="0B2545"/>
                <w:sz w:val="14"/>
              </w:rPr>
              <w:t>DG5-023</w:t>
            </w:r>
          </w:p>
        </w:tc>
        <w:tc>
          <w:tcPr>
            <w:tcW w:type="dxa" w:w="900"/>
            <w:tcMar>
              <w:top w:w="45" w:type="dxa"/>
              <w:bottom w:w="45" w:type="dxa"/>
              <w:start w:w="100" w:type="dxa"/>
              <w:end w:w="100" w:type="dxa"/>
            </w:tcMar>
          </w:tcPr>
          <w:p>
            <w:pPr>
              <w:keepLines/>
              <w:spacing w:after="0" w:line="252" w:lineRule="auto"/>
            </w:pPr>
            <w:r>
              <w:rPr>
                <w:rFonts w:ascii="Calibri" w:hAnsi="Calibri" w:eastAsia="Microsoft YaHei"/>
                <w:color w:val="0B2545"/>
                <w:sz w:val="14"/>
              </w:rPr>
              <w:t>DG5</w:t>
            </w:r>
          </w:p>
        </w:tc>
        <w:tc>
          <w:tcPr>
            <w:tcW w:type="dxa" w:w="3760"/>
            <w:tcMar>
              <w:top w:w="45" w:type="dxa"/>
              <w:bottom w:w="45" w:type="dxa"/>
              <w:start w:w="100" w:type="dxa"/>
              <w:end w:w="100" w:type="dxa"/>
            </w:tcMar>
          </w:tcPr>
          <w:p>
            <w:pPr>
              <w:keepLines/>
              <w:spacing w:after="0" w:line="252" w:lineRule="auto"/>
            </w:pPr>
            <w:r>
              <w:rPr>
                <w:rFonts w:ascii="Calibri" w:hAnsi="Calibri" w:eastAsia="Microsoft YaHei"/>
                <w:color w:val="0B2545"/>
                <w:sz w:val="14"/>
              </w:rPr>
              <w:t>高分辨中子能谱：燃料离子与快离子</w:t>
            </w:r>
          </w:p>
        </w:tc>
        <w:tc>
          <w:tcPr>
            <w:tcW w:type="dxa" w:w="800"/>
            <w:tcMar>
              <w:top w:w="45" w:type="dxa"/>
              <w:bottom w:w="45" w:type="dxa"/>
              <w:start w:w="100" w:type="dxa"/>
              <w:end w:w="100" w:type="dxa"/>
            </w:tcMar>
          </w:tcPr>
          <w:p>
            <w:pPr>
              <w:keepLines/>
              <w:spacing w:after="0" w:line="252" w:lineRule="auto"/>
            </w:pPr>
            <w:r>
              <w:rPr>
                <w:rFonts w:ascii="Calibri" w:hAnsi="Calibri" w:eastAsia="Microsoft YaHei"/>
                <w:color w:val="0B2545"/>
                <w:sz w:val="14"/>
              </w:rPr>
              <w:t>E4</w:t>
            </w:r>
          </w:p>
        </w:tc>
        <w:tc>
          <w:tcPr>
            <w:tcW w:type="dxa" w:w="2900"/>
            <w:tcMar>
              <w:top w:w="45" w:type="dxa"/>
              <w:bottom w:w="45" w:type="dxa"/>
              <w:start w:w="100" w:type="dxa"/>
              <w:end w:w="100" w:type="dxa"/>
            </w:tcMar>
          </w:tcPr>
          <w:p>
            <w:pPr>
              <w:keepLines/>
              <w:spacing w:after="0" w:line="252" w:lineRule="auto"/>
            </w:pPr>
            <w:r>
              <w:rPr>
                <w:rFonts w:ascii="Calibri" w:hAnsi="Calibri" w:eastAsia="Microsoft YaHei"/>
                <w:color w:val="0B2545"/>
                <w:sz w:val="14"/>
              </w:rPr>
              <w:t>JET TOFOR/MPR；ITER HRNS</w:t>
            </w:r>
          </w:p>
        </w:tc>
      </w:tr>
      <w:tr>
        <w:trPr>
          <w:cantSplit/>
        </w:trPr>
        <w:tc>
          <w:tcPr>
            <w:tcW w:type="dxa" w:w="1000"/>
            <w:tcMar>
              <w:top w:w="45" w:type="dxa"/>
              <w:bottom w:w="45" w:type="dxa"/>
              <w:start w:w="100" w:type="dxa"/>
              <w:end w:w="100" w:type="dxa"/>
            </w:tcMar>
          </w:tcPr>
          <w:p>
            <w:pPr>
              <w:keepLines/>
              <w:spacing w:after="0" w:line="252" w:lineRule="auto"/>
            </w:pPr>
            <w:r>
              <w:rPr>
                <w:rFonts w:ascii="Calibri" w:hAnsi="Calibri" w:eastAsia="Microsoft YaHei"/>
                <w:color w:val="0B2545"/>
                <w:sz w:val="14"/>
              </w:rPr>
              <w:t>DG5-025</w:t>
            </w:r>
          </w:p>
        </w:tc>
        <w:tc>
          <w:tcPr>
            <w:tcW w:type="dxa" w:w="900"/>
            <w:tcMar>
              <w:top w:w="45" w:type="dxa"/>
              <w:bottom w:w="45" w:type="dxa"/>
              <w:start w:w="100" w:type="dxa"/>
              <w:end w:w="100" w:type="dxa"/>
            </w:tcMar>
          </w:tcPr>
          <w:p>
            <w:pPr>
              <w:keepLines/>
              <w:spacing w:after="0" w:line="252" w:lineRule="auto"/>
            </w:pPr>
            <w:r>
              <w:rPr>
                <w:rFonts w:ascii="Calibri" w:hAnsi="Calibri" w:eastAsia="Microsoft YaHei"/>
                <w:color w:val="0B2545"/>
                <w:sz w:val="14"/>
              </w:rPr>
              <w:t>DG5</w:t>
            </w:r>
          </w:p>
        </w:tc>
        <w:tc>
          <w:tcPr>
            <w:tcW w:type="dxa" w:w="3760"/>
            <w:tcMar>
              <w:top w:w="45" w:type="dxa"/>
              <w:bottom w:w="45" w:type="dxa"/>
              <w:start w:w="100" w:type="dxa"/>
              <w:end w:w="100" w:type="dxa"/>
            </w:tcMar>
          </w:tcPr>
          <w:p>
            <w:pPr>
              <w:keepLines/>
              <w:spacing w:after="0" w:line="252" w:lineRule="auto"/>
            </w:pPr>
            <w:r>
              <w:rPr>
                <w:rFonts w:ascii="Calibri" w:hAnsi="Calibri" w:eastAsia="Microsoft YaHei"/>
                <w:color w:val="0B2545"/>
                <w:sz w:val="14"/>
              </w:rPr>
              <w:t>伽马射线能谱：快离子核反应与逃逸电子</w:t>
            </w:r>
          </w:p>
        </w:tc>
        <w:tc>
          <w:tcPr>
            <w:tcW w:type="dxa" w:w="800"/>
            <w:tcMar>
              <w:top w:w="45" w:type="dxa"/>
              <w:bottom w:w="45" w:type="dxa"/>
              <w:start w:w="100" w:type="dxa"/>
              <w:end w:w="100" w:type="dxa"/>
            </w:tcMar>
          </w:tcPr>
          <w:p>
            <w:pPr>
              <w:keepLines/>
              <w:spacing w:after="0" w:line="252" w:lineRule="auto"/>
            </w:pPr>
            <w:r>
              <w:rPr>
                <w:rFonts w:ascii="Calibri" w:hAnsi="Calibri" w:eastAsia="Microsoft YaHei"/>
                <w:color w:val="0B2545"/>
                <w:sz w:val="14"/>
              </w:rPr>
              <w:t>E4</w:t>
            </w:r>
          </w:p>
        </w:tc>
        <w:tc>
          <w:tcPr>
            <w:tcW w:type="dxa" w:w="2900"/>
            <w:tcMar>
              <w:top w:w="45" w:type="dxa"/>
              <w:bottom w:w="45" w:type="dxa"/>
              <w:start w:w="100" w:type="dxa"/>
              <w:end w:w="100" w:type="dxa"/>
            </w:tcMar>
          </w:tcPr>
          <w:p>
            <w:pPr>
              <w:keepLines/>
              <w:spacing w:after="0" w:line="252" w:lineRule="auto"/>
            </w:pPr>
            <w:r>
              <w:rPr>
                <w:rFonts w:ascii="Calibri" w:hAnsi="Calibri" w:eastAsia="Microsoft YaHei"/>
                <w:color w:val="0B2545"/>
                <w:sz w:val="14"/>
              </w:rPr>
              <w:t>JET；ITER relevance</w:t>
            </w:r>
          </w:p>
        </w:tc>
      </w:tr>
      <w:tr>
        <w:trPr>
          <w:cantSplit/>
        </w:trPr>
        <w:tc>
          <w:tcPr>
            <w:tcW w:type="dxa" w:w="1000"/>
            <w:tcMar>
              <w:top w:w="45" w:type="dxa"/>
              <w:bottom w:w="45" w:type="dxa"/>
              <w:start w:w="100" w:type="dxa"/>
              <w:end w:w="100" w:type="dxa"/>
            </w:tcMar>
          </w:tcPr>
          <w:p>
            <w:pPr>
              <w:keepLines/>
              <w:spacing w:after="0" w:line="252" w:lineRule="auto"/>
            </w:pPr>
            <w:r>
              <w:rPr>
                <w:rFonts w:ascii="Calibri" w:hAnsi="Calibri" w:eastAsia="Microsoft YaHei"/>
                <w:color w:val="0B2545"/>
                <w:sz w:val="14"/>
              </w:rPr>
              <w:t>DG5-026</w:t>
            </w:r>
          </w:p>
        </w:tc>
        <w:tc>
          <w:tcPr>
            <w:tcW w:type="dxa" w:w="900"/>
            <w:tcMar>
              <w:top w:w="45" w:type="dxa"/>
              <w:bottom w:w="45" w:type="dxa"/>
              <w:start w:w="100" w:type="dxa"/>
              <w:end w:w="100" w:type="dxa"/>
            </w:tcMar>
          </w:tcPr>
          <w:p>
            <w:pPr>
              <w:keepLines/>
              <w:spacing w:after="0" w:line="252" w:lineRule="auto"/>
            </w:pPr>
            <w:r>
              <w:rPr>
                <w:rFonts w:ascii="Calibri" w:hAnsi="Calibri" w:eastAsia="Microsoft YaHei"/>
                <w:color w:val="0B2545"/>
                <w:sz w:val="14"/>
              </w:rPr>
              <w:t>DG5</w:t>
            </w:r>
          </w:p>
        </w:tc>
        <w:tc>
          <w:tcPr>
            <w:tcW w:type="dxa" w:w="3760"/>
            <w:tcMar>
              <w:top w:w="45" w:type="dxa"/>
              <w:bottom w:w="45" w:type="dxa"/>
              <w:start w:w="100" w:type="dxa"/>
              <w:end w:w="100" w:type="dxa"/>
            </w:tcMar>
          </w:tcPr>
          <w:p>
            <w:pPr>
              <w:keepLines/>
              <w:spacing w:after="0" w:line="252" w:lineRule="auto"/>
            </w:pPr>
            <w:r>
              <w:rPr>
                <w:rFonts w:ascii="Calibri" w:hAnsi="Calibri" w:eastAsia="Microsoft YaHei"/>
                <w:color w:val="0B2545"/>
                <w:sz w:val="14"/>
              </w:rPr>
              <w:t>FIDA与成像FIDA：快离子相空间</w:t>
            </w:r>
          </w:p>
        </w:tc>
        <w:tc>
          <w:tcPr>
            <w:tcW w:type="dxa" w:w="800"/>
            <w:tcMar>
              <w:top w:w="45" w:type="dxa"/>
              <w:bottom w:w="45" w:type="dxa"/>
              <w:start w:w="100" w:type="dxa"/>
              <w:end w:w="100" w:type="dxa"/>
            </w:tcMar>
          </w:tcPr>
          <w:p>
            <w:pPr>
              <w:keepLines/>
              <w:spacing w:after="0" w:line="252" w:lineRule="auto"/>
            </w:pPr>
            <w:r>
              <w:rPr>
                <w:rFonts w:ascii="Calibri" w:hAnsi="Calibri" w:eastAsia="Microsoft YaHei"/>
                <w:color w:val="0B2545"/>
                <w:sz w:val="14"/>
              </w:rPr>
              <w:t>E4</w:t>
            </w:r>
          </w:p>
        </w:tc>
        <w:tc>
          <w:tcPr>
            <w:tcW w:type="dxa" w:w="2900"/>
            <w:tcMar>
              <w:top w:w="45" w:type="dxa"/>
              <w:bottom w:w="45" w:type="dxa"/>
              <w:start w:w="100" w:type="dxa"/>
              <w:end w:w="100" w:type="dxa"/>
            </w:tcMar>
          </w:tcPr>
          <w:p>
            <w:pPr>
              <w:keepLines/>
              <w:spacing w:after="0" w:line="252" w:lineRule="auto"/>
            </w:pPr>
            <w:r>
              <w:rPr>
                <w:rFonts w:ascii="Calibri" w:hAnsi="Calibri" w:eastAsia="Microsoft YaHei"/>
                <w:color w:val="0B2545"/>
                <w:sz w:val="14"/>
              </w:rPr>
              <w:t>DIII-D；MAST；ASDEX Upgrade；LHD</w:t>
            </w:r>
          </w:p>
        </w:tc>
      </w:tr>
      <w:tr>
        <w:trPr>
          <w:cantSplit/>
        </w:trPr>
        <w:tc>
          <w:tcPr>
            <w:tcW w:type="dxa" w:w="1000"/>
            <w:tcMar>
              <w:top w:w="45" w:type="dxa"/>
              <w:bottom w:w="45" w:type="dxa"/>
              <w:start w:w="100" w:type="dxa"/>
              <w:end w:w="100" w:type="dxa"/>
            </w:tcMar>
          </w:tcPr>
          <w:p>
            <w:pPr>
              <w:keepLines/>
              <w:spacing w:after="0" w:line="252" w:lineRule="auto"/>
            </w:pPr>
            <w:r>
              <w:rPr>
                <w:rFonts w:ascii="Calibri" w:hAnsi="Calibri" w:eastAsia="Microsoft YaHei"/>
                <w:color w:val="0B2545"/>
                <w:sz w:val="14"/>
              </w:rPr>
              <w:t>DG5-027</w:t>
            </w:r>
          </w:p>
        </w:tc>
        <w:tc>
          <w:tcPr>
            <w:tcW w:type="dxa" w:w="900"/>
            <w:tcMar>
              <w:top w:w="45" w:type="dxa"/>
              <w:bottom w:w="45" w:type="dxa"/>
              <w:start w:w="100" w:type="dxa"/>
              <w:end w:w="100" w:type="dxa"/>
            </w:tcMar>
          </w:tcPr>
          <w:p>
            <w:pPr>
              <w:keepLines/>
              <w:spacing w:after="0" w:line="252" w:lineRule="auto"/>
            </w:pPr>
            <w:r>
              <w:rPr>
                <w:rFonts w:ascii="Calibri" w:hAnsi="Calibri" w:eastAsia="Microsoft YaHei"/>
                <w:color w:val="0B2545"/>
                <w:sz w:val="14"/>
              </w:rPr>
              <w:t>DG5</w:t>
            </w:r>
          </w:p>
        </w:tc>
        <w:tc>
          <w:tcPr>
            <w:tcW w:type="dxa" w:w="3760"/>
            <w:tcMar>
              <w:top w:w="45" w:type="dxa"/>
              <w:bottom w:w="45" w:type="dxa"/>
              <w:start w:w="100" w:type="dxa"/>
              <w:end w:w="100" w:type="dxa"/>
            </w:tcMar>
          </w:tcPr>
          <w:p>
            <w:pPr>
              <w:keepLines/>
              <w:spacing w:after="0" w:line="252" w:lineRule="auto"/>
            </w:pPr>
            <w:r>
              <w:rPr>
                <w:rFonts w:ascii="Calibri" w:hAnsi="Calibri" w:eastAsia="Microsoft YaHei"/>
                <w:color w:val="0B2545"/>
                <w:sz w:val="14"/>
              </w:rPr>
              <w:t>集体汤姆逊散射：快离子与离子回旋特征</w:t>
            </w:r>
          </w:p>
        </w:tc>
        <w:tc>
          <w:tcPr>
            <w:tcW w:type="dxa" w:w="800"/>
            <w:tcMar>
              <w:top w:w="45" w:type="dxa"/>
              <w:bottom w:w="45" w:type="dxa"/>
              <w:start w:w="100" w:type="dxa"/>
              <w:end w:w="100" w:type="dxa"/>
            </w:tcMar>
          </w:tcPr>
          <w:p>
            <w:pPr>
              <w:keepLines/>
              <w:spacing w:after="0" w:line="252" w:lineRule="auto"/>
            </w:pPr>
            <w:r>
              <w:rPr>
                <w:rFonts w:ascii="Calibri" w:hAnsi="Calibri" w:eastAsia="Microsoft YaHei"/>
                <w:color w:val="0B2545"/>
                <w:sz w:val="14"/>
              </w:rPr>
              <w:t>E3</w:t>
            </w:r>
          </w:p>
        </w:tc>
        <w:tc>
          <w:tcPr>
            <w:tcW w:type="dxa" w:w="2900"/>
            <w:tcMar>
              <w:top w:w="45" w:type="dxa"/>
              <w:bottom w:w="45" w:type="dxa"/>
              <w:start w:w="100" w:type="dxa"/>
              <w:end w:w="100" w:type="dxa"/>
            </w:tcMar>
          </w:tcPr>
          <w:p>
            <w:pPr>
              <w:keepLines/>
              <w:spacing w:after="0" w:line="252" w:lineRule="auto"/>
            </w:pPr>
            <w:r>
              <w:rPr>
                <w:rFonts w:ascii="Calibri" w:hAnsi="Calibri" w:eastAsia="Microsoft YaHei"/>
                <w:color w:val="0B2545"/>
                <w:sz w:val="14"/>
              </w:rPr>
              <w:t>ASDEX Upgrade；ITER design；W7-X</w:t>
            </w:r>
          </w:p>
        </w:tc>
      </w:tr>
      <w:tr>
        <w:trPr>
          <w:cantSplit/>
        </w:trPr>
        <w:tc>
          <w:tcPr>
            <w:tcW w:type="dxa" w:w="1000"/>
            <w:tcMar>
              <w:top w:w="45" w:type="dxa"/>
              <w:bottom w:w="45" w:type="dxa"/>
              <w:start w:w="100" w:type="dxa"/>
              <w:end w:w="100" w:type="dxa"/>
            </w:tcMar>
          </w:tcPr>
          <w:p>
            <w:pPr>
              <w:keepLines/>
              <w:spacing w:after="0" w:line="252" w:lineRule="auto"/>
            </w:pPr>
            <w:r>
              <w:rPr>
                <w:rFonts w:ascii="Calibri" w:hAnsi="Calibri" w:eastAsia="Microsoft YaHei"/>
                <w:color w:val="0B2545"/>
                <w:sz w:val="14"/>
              </w:rPr>
              <w:t>DG6-032</w:t>
            </w:r>
          </w:p>
        </w:tc>
        <w:tc>
          <w:tcPr>
            <w:tcW w:type="dxa" w:w="900"/>
            <w:tcMar>
              <w:top w:w="45" w:type="dxa"/>
              <w:bottom w:w="45" w:type="dxa"/>
              <w:start w:w="100" w:type="dxa"/>
              <w:end w:w="100" w:type="dxa"/>
            </w:tcMar>
          </w:tcPr>
          <w:p>
            <w:pPr>
              <w:keepLines/>
              <w:spacing w:after="0" w:line="252" w:lineRule="auto"/>
            </w:pPr>
            <w:r>
              <w:rPr>
                <w:rFonts w:ascii="Calibri" w:hAnsi="Calibri" w:eastAsia="Microsoft YaHei"/>
                <w:color w:val="0B2545"/>
                <w:sz w:val="14"/>
              </w:rPr>
              <w:t>DG6</w:t>
            </w:r>
          </w:p>
        </w:tc>
        <w:tc>
          <w:tcPr>
            <w:tcW w:type="dxa" w:w="3760"/>
            <w:tcMar>
              <w:top w:w="45" w:type="dxa"/>
              <w:bottom w:w="45" w:type="dxa"/>
              <w:start w:w="100" w:type="dxa"/>
              <w:end w:w="100" w:type="dxa"/>
            </w:tcMar>
          </w:tcPr>
          <w:p>
            <w:pPr>
              <w:keepLines/>
              <w:spacing w:after="0" w:line="252" w:lineRule="auto"/>
            </w:pPr>
            <w:r>
              <w:rPr>
                <w:rFonts w:ascii="Calibri" w:hAnsi="Calibri" w:eastAsia="Microsoft YaHei"/>
                <w:color w:val="0B2545"/>
                <w:sz w:val="14"/>
              </w:rPr>
              <w:t>多普勒反射与相关反射：湍流和E×B速度</w:t>
            </w:r>
          </w:p>
        </w:tc>
        <w:tc>
          <w:tcPr>
            <w:tcW w:type="dxa" w:w="800"/>
            <w:tcMar>
              <w:top w:w="45" w:type="dxa"/>
              <w:bottom w:w="45" w:type="dxa"/>
              <w:start w:w="100" w:type="dxa"/>
              <w:end w:w="100" w:type="dxa"/>
            </w:tcMar>
          </w:tcPr>
          <w:p>
            <w:pPr>
              <w:keepLines/>
              <w:spacing w:after="0" w:line="252" w:lineRule="auto"/>
            </w:pPr>
            <w:r>
              <w:rPr>
                <w:rFonts w:ascii="Calibri" w:hAnsi="Calibri" w:eastAsia="Microsoft YaHei"/>
                <w:color w:val="0B2545"/>
                <w:sz w:val="14"/>
              </w:rPr>
              <w:t>E4</w:t>
            </w:r>
          </w:p>
        </w:tc>
        <w:tc>
          <w:tcPr>
            <w:tcW w:type="dxa" w:w="2900"/>
            <w:tcMar>
              <w:top w:w="45" w:type="dxa"/>
              <w:bottom w:w="45" w:type="dxa"/>
              <w:start w:w="100" w:type="dxa"/>
              <w:end w:w="100" w:type="dxa"/>
            </w:tcMar>
          </w:tcPr>
          <w:p>
            <w:pPr>
              <w:keepLines/>
              <w:spacing w:after="0" w:line="252" w:lineRule="auto"/>
            </w:pPr>
            <w:r>
              <w:rPr>
                <w:rFonts w:ascii="Calibri" w:hAnsi="Calibri" w:eastAsia="Microsoft YaHei"/>
                <w:color w:val="0B2545"/>
                <w:sz w:val="14"/>
              </w:rPr>
              <w:t>ASDEX Upgrade；EAST；DIII-D；W7-X</w:t>
            </w:r>
          </w:p>
        </w:tc>
      </w:tr>
      <w:tr>
        <w:trPr>
          <w:cantSplit/>
        </w:trPr>
        <w:tc>
          <w:tcPr>
            <w:tcW w:type="dxa" w:w="1000"/>
            <w:tcMar>
              <w:top w:w="45" w:type="dxa"/>
              <w:bottom w:w="45" w:type="dxa"/>
              <w:start w:w="100" w:type="dxa"/>
              <w:end w:w="100" w:type="dxa"/>
            </w:tcMar>
          </w:tcPr>
          <w:p>
            <w:pPr>
              <w:keepLines/>
              <w:spacing w:after="0" w:line="252" w:lineRule="auto"/>
            </w:pPr>
            <w:r>
              <w:rPr>
                <w:rFonts w:ascii="Calibri" w:hAnsi="Calibri" w:eastAsia="Microsoft YaHei"/>
                <w:color w:val="0B2545"/>
                <w:sz w:val="14"/>
              </w:rPr>
              <w:t>DG7-041</w:t>
            </w:r>
          </w:p>
        </w:tc>
        <w:tc>
          <w:tcPr>
            <w:tcW w:type="dxa" w:w="900"/>
            <w:tcMar>
              <w:top w:w="45" w:type="dxa"/>
              <w:bottom w:w="45" w:type="dxa"/>
              <w:start w:w="100" w:type="dxa"/>
              <w:end w:w="100" w:type="dxa"/>
            </w:tcMar>
          </w:tcPr>
          <w:p>
            <w:pPr>
              <w:keepLines/>
              <w:spacing w:after="0" w:line="252" w:lineRule="auto"/>
            </w:pPr>
            <w:r>
              <w:rPr>
                <w:rFonts w:ascii="Calibri" w:hAnsi="Calibri" w:eastAsia="Microsoft YaHei"/>
                <w:color w:val="0B2545"/>
                <w:sz w:val="14"/>
              </w:rPr>
              <w:t>DG7</w:t>
            </w:r>
          </w:p>
        </w:tc>
        <w:tc>
          <w:tcPr>
            <w:tcW w:type="dxa" w:w="3760"/>
            <w:tcMar>
              <w:top w:w="45" w:type="dxa"/>
              <w:bottom w:w="45" w:type="dxa"/>
              <w:start w:w="100" w:type="dxa"/>
              <w:end w:w="100" w:type="dxa"/>
            </w:tcMar>
          </w:tcPr>
          <w:p>
            <w:pPr>
              <w:keepLines/>
              <w:spacing w:after="0" w:line="252" w:lineRule="auto"/>
            </w:pPr>
            <w:r>
              <w:rPr>
                <w:rFonts w:ascii="Calibri" w:hAnsi="Calibri" w:eastAsia="Microsoft YaHei"/>
                <w:color w:val="0B2545"/>
                <w:sz w:val="14"/>
              </w:rPr>
              <w:t>LIBS/LIDS：壁材料与氚/氘库存原位诊断</w:t>
            </w:r>
          </w:p>
        </w:tc>
        <w:tc>
          <w:tcPr>
            <w:tcW w:type="dxa" w:w="800"/>
            <w:tcMar>
              <w:top w:w="45" w:type="dxa"/>
              <w:bottom w:w="45" w:type="dxa"/>
              <w:start w:w="100" w:type="dxa"/>
              <w:end w:w="100" w:type="dxa"/>
            </w:tcMar>
          </w:tcPr>
          <w:p>
            <w:pPr>
              <w:keepLines/>
              <w:spacing w:after="0" w:line="252" w:lineRule="auto"/>
            </w:pPr>
            <w:r>
              <w:rPr>
                <w:rFonts w:ascii="Calibri" w:hAnsi="Calibri" w:eastAsia="Microsoft YaHei"/>
                <w:color w:val="0B2545"/>
                <w:sz w:val="14"/>
              </w:rPr>
              <w:t>E2</w:t>
            </w:r>
          </w:p>
        </w:tc>
        <w:tc>
          <w:tcPr>
            <w:tcW w:type="dxa" w:w="2900"/>
            <w:tcMar>
              <w:top w:w="45" w:type="dxa"/>
              <w:bottom w:w="45" w:type="dxa"/>
              <w:start w:w="100" w:type="dxa"/>
              <w:end w:w="100" w:type="dxa"/>
            </w:tcMar>
          </w:tcPr>
          <w:p>
            <w:pPr>
              <w:keepLines/>
              <w:spacing w:after="0" w:line="252" w:lineRule="auto"/>
            </w:pPr>
            <w:r>
              <w:rPr>
                <w:rFonts w:ascii="Calibri" w:hAnsi="Calibri" w:eastAsia="Microsoft YaHei"/>
                <w:color w:val="0B2545"/>
                <w:sz w:val="14"/>
              </w:rPr>
              <w:t>DIII-D/LIDS studies；ITER R&amp;D；linear plasma facilities</w:t>
            </w:r>
          </w:p>
        </w:tc>
      </w:tr>
      <w:tr>
        <w:trPr>
          <w:cantSplit/>
        </w:trPr>
        <w:tc>
          <w:tcPr>
            <w:tcW w:type="dxa" w:w="1000"/>
            <w:tcMar>
              <w:top w:w="45" w:type="dxa"/>
              <w:bottom w:w="45" w:type="dxa"/>
              <w:start w:w="100" w:type="dxa"/>
              <w:end w:w="100" w:type="dxa"/>
            </w:tcMar>
          </w:tcPr>
          <w:p>
            <w:pPr>
              <w:keepLines/>
              <w:spacing w:after="0" w:line="252" w:lineRule="auto"/>
            </w:pPr>
            <w:r>
              <w:rPr>
                <w:rFonts w:ascii="Calibri" w:hAnsi="Calibri" w:eastAsia="Microsoft YaHei"/>
                <w:color w:val="0B2545"/>
                <w:sz w:val="14"/>
              </w:rPr>
              <w:t>PDT-004</w:t>
            </w:r>
          </w:p>
        </w:tc>
        <w:tc>
          <w:tcPr>
            <w:tcW w:type="dxa" w:w="900"/>
            <w:tcMar>
              <w:top w:w="45" w:type="dxa"/>
              <w:bottom w:w="45" w:type="dxa"/>
              <w:start w:w="100" w:type="dxa"/>
              <w:end w:w="100" w:type="dxa"/>
            </w:tcMar>
          </w:tcPr>
          <w:p>
            <w:pPr>
              <w:keepLines/>
              <w:spacing w:after="0" w:line="252" w:lineRule="auto"/>
            </w:pPr>
            <w:r>
              <w:rPr>
                <w:rFonts w:ascii="Calibri" w:hAnsi="Calibri" w:eastAsia="Microsoft YaHei"/>
                <w:color w:val="0B2545"/>
                <w:sz w:val="14"/>
              </w:rPr>
              <w:t>DG8</w:t>
            </w:r>
          </w:p>
        </w:tc>
        <w:tc>
          <w:tcPr>
            <w:tcW w:type="dxa" w:w="3760"/>
            <w:tcMar>
              <w:top w:w="45" w:type="dxa"/>
              <w:bottom w:w="45" w:type="dxa"/>
              <w:start w:w="100" w:type="dxa"/>
              <w:end w:w="100" w:type="dxa"/>
            </w:tcMar>
          </w:tcPr>
          <w:p>
            <w:pPr>
              <w:keepLines/>
              <w:spacing w:after="0" w:line="252" w:lineRule="auto"/>
            </w:pPr>
            <w:r>
              <w:rPr>
                <w:rFonts w:ascii="Calibri" w:hAnsi="Calibri" w:eastAsia="Microsoft YaHei"/>
                <w:color w:val="0B2545"/>
                <w:sz w:val="14"/>
              </w:rPr>
              <w:t>WEST 红外壁监视到射频功率退让的实时闭环</w:t>
            </w:r>
          </w:p>
        </w:tc>
        <w:tc>
          <w:tcPr>
            <w:tcW w:type="dxa" w:w="800"/>
            <w:tcMar>
              <w:top w:w="45" w:type="dxa"/>
              <w:bottom w:w="45" w:type="dxa"/>
              <w:start w:w="100" w:type="dxa"/>
              <w:end w:w="100" w:type="dxa"/>
            </w:tcMar>
          </w:tcPr>
          <w:p>
            <w:pPr>
              <w:keepLines/>
              <w:spacing w:after="0" w:line="252" w:lineRule="auto"/>
            </w:pPr>
            <w:r>
              <w:rPr>
                <w:rFonts w:ascii="Calibri" w:hAnsi="Calibri" w:eastAsia="Microsoft YaHei"/>
                <w:color w:val="0B2545"/>
                <w:sz w:val="14"/>
              </w:rPr>
              <w:t>E4</w:t>
            </w:r>
          </w:p>
        </w:tc>
        <w:tc>
          <w:tcPr>
            <w:tcW w:type="dxa" w:w="2900"/>
            <w:tcMar>
              <w:top w:w="45" w:type="dxa"/>
              <w:bottom w:w="45" w:type="dxa"/>
              <w:start w:w="100" w:type="dxa"/>
              <w:end w:w="100" w:type="dxa"/>
            </w:tcMar>
          </w:tcPr>
          <w:p>
            <w:pPr>
              <w:keepLines/>
              <w:spacing w:after="0" w:line="252" w:lineRule="auto"/>
            </w:pPr>
            <w:r>
              <w:rPr>
                <w:rFonts w:ascii="Calibri" w:hAnsi="Calibri" w:eastAsia="Microsoft YaHei"/>
                <w:color w:val="0B2545"/>
                <w:sz w:val="14"/>
              </w:rPr>
              <w:t>WEST</w:t>
            </w:r>
          </w:p>
        </w:tc>
      </w:tr>
      <w:tr>
        <w:trPr>
          <w:cantSplit/>
        </w:trPr>
        <w:tc>
          <w:tcPr>
            <w:tcW w:type="dxa" w:w="1000"/>
            <w:tcMar>
              <w:top w:w="45" w:type="dxa"/>
              <w:bottom w:w="45" w:type="dxa"/>
              <w:start w:w="100" w:type="dxa"/>
              <w:end w:w="100" w:type="dxa"/>
            </w:tcMar>
          </w:tcPr>
          <w:p>
            <w:pPr>
              <w:keepLines/>
              <w:spacing w:after="0" w:line="252" w:lineRule="auto"/>
            </w:pPr>
            <w:r>
              <w:rPr>
                <w:rFonts w:ascii="Calibri" w:hAnsi="Calibri" w:eastAsia="Microsoft YaHei"/>
                <w:color w:val="0B2545"/>
                <w:sz w:val="14"/>
              </w:rPr>
              <w:t>PDT-008</w:t>
            </w:r>
          </w:p>
        </w:tc>
        <w:tc>
          <w:tcPr>
            <w:tcW w:type="dxa" w:w="900"/>
            <w:tcMar>
              <w:top w:w="45" w:type="dxa"/>
              <w:bottom w:w="45" w:type="dxa"/>
              <w:start w:w="100" w:type="dxa"/>
              <w:end w:w="100" w:type="dxa"/>
            </w:tcMar>
          </w:tcPr>
          <w:p>
            <w:pPr>
              <w:keepLines/>
              <w:spacing w:after="0" w:line="252" w:lineRule="auto"/>
            </w:pPr>
            <w:r>
              <w:rPr>
                <w:rFonts w:ascii="Calibri" w:hAnsi="Calibri" w:eastAsia="Microsoft YaHei"/>
                <w:color w:val="0B2545"/>
                <w:sz w:val="14"/>
              </w:rPr>
              <w:t>DG8</w:t>
            </w:r>
          </w:p>
        </w:tc>
        <w:tc>
          <w:tcPr>
            <w:tcW w:type="dxa" w:w="3760"/>
            <w:tcMar>
              <w:top w:w="45" w:type="dxa"/>
              <w:bottom w:w="45" w:type="dxa"/>
              <w:start w:w="100" w:type="dxa"/>
              <w:end w:w="100" w:type="dxa"/>
            </w:tcMar>
          </w:tcPr>
          <w:p>
            <w:pPr>
              <w:keepLines/>
              <w:spacing w:after="0" w:line="252" w:lineRule="auto"/>
            </w:pPr>
            <w:r>
              <w:rPr>
                <w:rFonts w:ascii="Calibri" w:hAnsi="Calibri" w:eastAsia="Microsoft YaHei"/>
                <w:color w:val="0B2545"/>
                <w:sz w:val="14"/>
              </w:rPr>
              <w:t>大型托卡马克真空室电磁载荷—结构位移实时降阶监测</w:t>
            </w:r>
          </w:p>
        </w:tc>
        <w:tc>
          <w:tcPr>
            <w:tcW w:type="dxa" w:w="800"/>
            <w:tcMar>
              <w:top w:w="45" w:type="dxa"/>
              <w:bottom w:w="45" w:type="dxa"/>
              <w:start w:w="100" w:type="dxa"/>
              <w:end w:w="100" w:type="dxa"/>
            </w:tcMar>
          </w:tcPr>
          <w:p>
            <w:pPr>
              <w:keepLines/>
              <w:spacing w:after="0" w:line="252" w:lineRule="auto"/>
            </w:pPr>
            <w:r>
              <w:rPr>
                <w:rFonts w:ascii="Calibri" w:hAnsi="Calibri" w:eastAsia="Microsoft YaHei"/>
                <w:color w:val="0B2545"/>
                <w:sz w:val="14"/>
              </w:rPr>
              <w:t>E1</w:t>
            </w:r>
          </w:p>
        </w:tc>
        <w:tc>
          <w:tcPr>
            <w:tcW w:type="dxa" w:w="2900"/>
            <w:tcMar>
              <w:top w:w="45" w:type="dxa"/>
              <w:bottom w:w="45" w:type="dxa"/>
              <w:start w:w="100" w:type="dxa"/>
              <w:end w:w="100" w:type="dxa"/>
            </w:tcMar>
          </w:tcPr>
          <w:p>
            <w:pPr>
              <w:keepLines/>
              <w:spacing w:after="0" w:line="252" w:lineRule="auto"/>
            </w:pPr>
            <w:r>
              <w:rPr>
                <w:rFonts w:ascii="Calibri" w:hAnsi="Calibri" w:eastAsia="Microsoft YaHei"/>
                <w:color w:val="0B2545"/>
                <w:sz w:val="14"/>
              </w:rPr>
              <w:t>large-scale tokamak models; device-specific validation pending</w:t>
            </w:r>
          </w:p>
        </w:tc>
      </w:tr>
      <w:tr>
        <w:trPr>
          <w:cantSplit/>
        </w:trPr>
        <w:tc>
          <w:tcPr>
            <w:tcW w:type="dxa" w:w="1000"/>
            <w:tcMar>
              <w:top w:w="45" w:type="dxa"/>
              <w:bottom w:w="45" w:type="dxa"/>
              <w:start w:w="100" w:type="dxa"/>
              <w:end w:w="100" w:type="dxa"/>
            </w:tcMar>
          </w:tcPr>
          <w:p>
            <w:pPr>
              <w:keepLines/>
              <w:spacing w:after="0" w:line="252" w:lineRule="auto"/>
            </w:pPr>
            <w:r>
              <w:rPr>
                <w:rFonts w:ascii="Calibri" w:hAnsi="Calibri" w:eastAsia="Microsoft YaHei"/>
                <w:color w:val="0B2545"/>
                <w:sz w:val="14"/>
              </w:rPr>
              <w:t>DSI-014</w:t>
            </w:r>
          </w:p>
        </w:tc>
        <w:tc>
          <w:tcPr>
            <w:tcW w:type="dxa" w:w="900"/>
            <w:tcMar>
              <w:top w:w="45" w:type="dxa"/>
              <w:bottom w:w="45" w:type="dxa"/>
              <w:start w:w="100" w:type="dxa"/>
              <w:end w:w="100" w:type="dxa"/>
            </w:tcMar>
          </w:tcPr>
          <w:p>
            <w:pPr>
              <w:keepLines/>
              <w:spacing w:after="0" w:line="252" w:lineRule="auto"/>
            </w:pPr>
            <w:r>
              <w:rPr>
                <w:rFonts w:ascii="Calibri" w:hAnsi="Calibri" w:eastAsia="Microsoft YaHei"/>
                <w:color w:val="0B2545"/>
                <w:sz w:val="14"/>
              </w:rPr>
              <w:t>DG10</w:t>
            </w:r>
          </w:p>
        </w:tc>
        <w:tc>
          <w:tcPr>
            <w:tcW w:type="dxa" w:w="3760"/>
            <w:tcMar>
              <w:top w:w="45" w:type="dxa"/>
              <w:bottom w:w="45" w:type="dxa"/>
              <w:start w:w="100" w:type="dxa"/>
              <w:end w:w="100" w:type="dxa"/>
            </w:tcMar>
          </w:tcPr>
          <w:p>
            <w:pPr>
              <w:keepLines/>
              <w:spacing w:after="0" w:line="252" w:lineRule="auto"/>
            </w:pPr>
            <w:r>
              <w:rPr>
                <w:rFonts w:ascii="Calibri" w:hAnsi="Calibri" w:eastAsia="Microsoft YaHei"/>
                <w:color w:val="0B2545"/>
                <w:sz w:val="14"/>
              </w:rPr>
              <w:t>TRIPPy 环形辐射视线与反演协议</w:t>
            </w:r>
          </w:p>
        </w:tc>
        <w:tc>
          <w:tcPr>
            <w:tcW w:type="dxa" w:w="800"/>
            <w:tcMar>
              <w:top w:w="45" w:type="dxa"/>
              <w:bottom w:w="45" w:type="dxa"/>
              <w:start w:w="100" w:type="dxa"/>
              <w:end w:w="100" w:type="dxa"/>
            </w:tcMar>
          </w:tcPr>
          <w:p>
            <w:pPr>
              <w:keepLines/>
              <w:spacing w:after="0" w:line="252" w:lineRule="auto"/>
            </w:pPr>
            <w:r>
              <w:rPr>
                <w:rFonts w:ascii="Calibri" w:hAnsi="Calibri" w:eastAsia="Microsoft YaHei"/>
                <w:color w:val="0B2545"/>
                <w:sz w:val="14"/>
              </w:rPr>
              <w:t>E3</w:t>
            </w:r>
          </w:p>
        </w:tc>
        <w:tc>
          <w:tcPr>
            <w:tcW w:type="dxa" w:w="2900"/>
            <w:tcMar>
              <w:top w:w="45" w:type="dxa"/>
              <w:bottom w:w="45" w:type="dxa"/>
              <w:start w:w="100" w:type="dxa"/>
              <w:end w:w="100" w:type="dxa"/>
            </w:tcMar>
          </w:tcPr>
          <w:p>
            <w:pPr>
              <w:keepLines/>
              <w:spacing w:after="0" w:line="252" w:lineRule="auto"/>
            </w:pPr>
            <w:r>
              <w:rPr>
                <w:rFonts w:ascii="Calibri" w:hAnsi="Calibri" w:eastAsia="Microsoft YaHei"/>
                <w:color w:val="0B2545"/>
                <w:sz w:val="14"/>
              </w:rPr>
              <w:t>Alcator C-Mod；NSTX-U</w:t>
            </w:r>
          </w:p>
        </w:tc>
      </w:tr>
    </w:tbl>
    <w:p>
      <w:pPr>
        <w:keepNext/>
        <w:pageBreakBefore/>
        <w:spacing w:before="0" w:after="100"/>
      </w:pPr>
      <w:r>
        <w:rPr>
          <w:rFonts w:ascii="Calibri" w:hAnsi="Calibri" w:eastAsia="Microsoft YaHei"/>
          <w:b/>
          <w:caps/>
          <w:color w:val="008C95"/>
          <w:sz w:val="17"/>
        </w:rPr>
        <w:t>15 / DG10 / INTEGRATED INVERSION, TOMOGRAPHY &amp; DATA ASSIMILATION</w:t>
      </w:r>
    </w:p>
    <w:p>
      <w:pPr>
        <w:pStyle w:val="Heading1"/>
      </w:pPr>
      <w:r>
        <w:t>集成反演、层析与数据同化</w:t>
      </w:r>
    </w:p>
    <w:tbl>
      <w:tblPr>
        <w:tblStyle w:val="TableGrid"/>
        <w:tblW w:type="dxa" w:w="9360"/>
        <w:jc w:val="left"/>
        <w:tblLayout w:type="fixed"/>
        <w:tblLook w:firstColumn="1" w:firstRow="1" w:lastColumn="0" w:lastRow="0" w:noHBand="0" w:noVBand="1" w:val="04A0"/>
        <w:tblInd w:w="120" w:type="dxa"/>
      </w:tblPr>
      <w:tblGrid>
        <w:gridCol w:w="9360"/>
      </w:tblGrid>
      <w:tr>
        <w:trPr>
          <w:cantSplit/>
        </w:trPr>
        <w:tc>
          <w:tcPr>
            <w:tcW w:type="dxa" w:w="9360"/>
            <w:tcMar>
              <w:top w:w="80" w:type="dxa"/>
              <w:bottom w:w="80" w:type="dxa"/>
              <w:start w:w="120" w:type="dxa"/>
              <w:end w:w="120" w:type="dxa"/>
            </w:tcMar>
            <w:vAlign w:val="center"/>
            <w:shd w:fill="F2F4F7"/>
          </w:tcPr>
          <w:p>
            <w:pPr>
              <w:keepNext/>
              <w:keepLines/>
              <w:spacing w:after="40"/>
            </w:pPr>
            <w:r>
              <w:rPr>
                <w:rFonts w:ascii="Calibri" w:hAnsi="Calibri" w:eastAsia="Microsoft YaHei"/>
                <w:b/>
                <w:color w:val="008C95"/>
                <w:sz w:val="17"/>
              </w:rPr>
              <w:t>CHAPTER SCOPE</w:t>
            </w:r>
          </w:p>
          <w:p>
            <w:pPr>
              <w:spacing w:after="0"/>
            </w:pPr>
            <w:r>
              <w:rPr>
                <w:rFonts w:ascii="Calibri" w:hAnsi="Calibri" w:eastAsia="Microsoft YaHei"/>
                <w:color w:val="0B2545"/>
                <w:sz w:val="20"/>
              </w:rPr>
              <w:t>本章全文展开 10 项主工作，并列出 28 项跨域关联工作。关联工作只在其主任务章节全文展开，避免重复计数。</w:t>
            </w:r>
          </w:p>
        </w:tc>
      </w:tr>
    </w:tbl>
    <w:p>
      <w:pPr>
        <w:spacing w:after="40"/>
      </w:pPr>
    </w:p>
    <w:p>
      <w:pPr>
        <w:keepNext/>
        <w:jc w:val="center"/>
      </w:pPr>
      <w:r>
        <w:drawing>
          <wp:inline xmlns:a="http://schemas.openxmlformats.org/drawingml/2006/main" xmlns:pic="http://schemas.openxmlformats.org/drawingml/2006/picture">
            <wp:extent cx="5486400" cy="3154680"/>
            <wp:docPr id="7" name="Picture 7" descr="图 15-1  集成反演、层析与数据同化的关键链路。"/>
            <wp:cNvGraphicFramePr>
              <a:graphicFrameLocks noChangeAspect="1"/>
            </wp:cNvGraphicFramePr>
            <a:graphic>
              <a:graphicData uri="http://schemas.openxmlformats.org/drawingml/2006/picture">
                <pic:pic>
                  <pic:nvPicPr>
                    <pic:cNvPr id="0" name="diagnostics-inference-graph-nature.png"/>
                    <pic:cNvPicPr/>
                  </pic:nvPicPr>
                  <pic:blipFill>
                    <a:blip r:embed="rId191"/>
                    <a:stretch>
                      <a:fillRect/>
                    </a:stretch>
                  </pic:blipFill>
                  <pic:spPr>
                    <a:xfrm>
                      <a:off x="0" y="0"/>
                      <a:ext cx="5486400" cy="3154680"/>
                    </a:xfrm>
                    <a:prstGeom prst="rect"/>
                  </pic:spPr>
                </pic:pic>
              </a:graphicData>
            </a:graphic>
          </wp:inline>
        </w:drawing>
      </w:r>
    </w:p>
    <w:p>
      <w:pPr>
        <w:pStyle w:val="Caption"/>
        <w:jc w:val="center"/>
      </w:pPr>
      <w:r>
        <w:t>图 15-1  集成反演、层析与数据同化的关键链路。</w:t>
      </w:r>
    </w:p>
    <w:p>
      <w:pPr>
        <w:pStyle w:val="Heading3"/>
        <w:keepNext/>
      </w:pPr>
      <w:r>
        <w:t>DG10.01  TRIPPy 环形辐射视线与反演协议</w:t>
      </w:r>
    </w:p>
    <w:p>
      <w:pPr>
        <w:keepNext/>
        <w:spacing w:after="80"/>
      </w:pPr>
      <w:r>
        <w:rPr>
          <w:rFonts w:ascii="Calibri" w:hAnsi="Calibri" w:eastAsia="Microsoft YaHei"/>
          <w:i/>
          <w:color w:val="566573"/>
          <w:sz w:val="18"/>
        </w:rPr>
        <w:t>TRIPPy Toroidal Radiation Inversion Protocol in Python</w:t>
      </w:r>
    </w:p>
    <w:tbl>
      <w:tblPr>
        <w:tblStyle w:val="TableGrid"/>
        <w:tblW w:type="dxa" w:w="9360"/>
        <w:jc w:val="left"/>
        <w:tblLayout w:type="fixed"/>
        <w:tblLook w:firstColumn="1" w:firstRow="1" w:lastColumn="0" w:lastRow="0" w:noHBand="0" w:noVBand="1" w:val="04A0"/>
        <w:tblInd w:w="120" w:type="dxa"/>
      </w:tblPr>
      <w:tblGrid>
        <w:gridCol w:w="1200"/>
        <w:gridCol w:w="750"/>
        <w:gridCol w:w="750"/>
        <w:gridCol w:w="2100"/>
        <w:gridCol w:w="4560"/>
      </w:tblGrid>
      <w:tr>
        <w:trPr>
          <w:tblHeader w:val="true"/>
        </w:trPr>
        <w:tc>
          <w:tcPr>
            <w:tcW w:type="dxa" w:w="12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工作 ID</w:t>
            </w:r>
          </w:p>
        </w:tc>
        <w:tc>
          <w:tcPr>
            <w:tcW w:type="dxa" w:w="7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证据</w:t>
            </w:r>
          </w:p>
        </w:tc>
        <w:tc>
          <w:tcPr>
            <w:tcW w:type="dxa" w:w="7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部署</w:t>
            </w:r>
          </w:p>
        </w:tc>
        <w:tc>
          <w:tcPr>
            <w:tcW w:type="dxa" w:w="21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技术族</w:t>
            </w:r>
          </w:p>
        </w:tc>
        <w:tc>
          <w:tcPr>
            <w:tcW w:type="dxa" w:w="456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装置</w:t>
            </w:r>
          </w:p>
        </w:tc>
      </w:tr>
      <w:tr>
        <w:trPr>
          <w:cantSplit/>
        </w:trPr>
        <w:tc>
          <w:tcPr>
            <w:tcW w:type="dxa" w:w="1200"/>
          </w:tcPr>
          <w:p>
            <w:pPr>
              <w:keepLines/>
              <w:spacing w:after="0" w:line="276" w:lineRule="auto"/>
            </w:pPr>
            <w:r>
              <w:rPr>
                <w:rFonts w:ascii="Calibri" w:hAnsi="Calibri" w:eastAsia="Microsoft YaHei"/>
                <w:color w:val="0B2545"/>
                <w:sz w:val="15"/>
              </w:rPr>
              <w:t>DSI-014</w:t>
            </w:r>
          </w:p>
        </w:tc>
        <w:tc>
          <w:tcPr>
            <w:tcW w:type="dxa" w:w="750"/>
          </w:tcPr>
          <w:p>
            <w:pPr>
              <w:keepLines/>
              <w:spacing w:after="0" w:line="276" w:lineRule="auto"/>
            </w:pPr>
            <w:r>
              <w:rPr>
                <w:rFonts w:ascii="Calibri" w:hAnsi="Calibri" w:eastAsia="Microsoft YaHei"/>
                <w:color w:val="0B2545"/>
                <w:sz w:val="15"/>
              </w:rPr>
              <w:t>E3</w:t>
            </w:r>
          </w:p>
        </w:tc>
        <w:tc>
          <w:tcPr>
            <w:tcW w:type="dxa" w:w="750"/>
          </w:tcPr>
          <w:p>
            <w:pPr>
              <w:keepLines/>
              <w:spacing w:after="0" w:line="276" w:lineRule="auto"/>
            </w:pPr>
            <w:r>
              <w:rPr>
                <w:rFonts w:ascii="Calibri" w:hAnsi="Calibri" w:eastAsia="Microsoft YaHei"/>
                <w:color w:val="0B2545"/>
                <w:sz w:val="15"/>
              </w:rPr>
              <w:t>D2</w:t>
            </w:r>
          </w:p>
        </w:tc>
        <w:tc>
          <w:tcPr>
            <w:tcW w:type="dxa" w:w="2100"/>
          </w:tcPr>
          <w:p>
            <w:pPr>
              <w:keepLines/>
              <w:spacing w:after="0" w:line="276" w:lineRule="auto"/>
            </w:pPr>
            <w:r>
              <w:rPr>
                <w:rFonts w:ascii="Calibri" w:hAnsi="Calibri" w:eastAsia="Microsoft YaHei"/>
                <w:color w:val="0B2545"/>
                <w:sz w:val="15"/>
              </w:rPr>
              <w:t>OPTICAL</w:t>
            </w:r>
          </w:p>
        </w:tc>
        <w:tc>
          <w:tcPr>
            <w:tcW w:type="dxa" w:w="4560"/>
          </w:tcPr>
          <w:p>
            <w:pPr>
              <w:keepLines/>
              <w:spacing w:after="0" w:line="276" w:lineRule="auto"/>
            </w:pPr>
            <w:r>
              <w:rPr>
                <w:rFonts w:ascii="Calibri" w:hAnsi="Calibri" w:eastAsia="Microsoft YaHei"/>
                <w:color w:val="0B2545"/>
                <w:sz w:val="15"/>
              </w:rPr>
              <w:t>Alcator C-Mod；NSTX-U</w:t>
            </w:r>
          </w:p>
        </w:tc>
      </w:tr>
    </w:tbl>
    <w:p>
      <w:pPr>
        <w:spacing w:before="0" w:after="60"/>
      </w:pPr>
    </w:p>
    <w:p>
      <w:pPr>
        <w:widowControl/>
      </w:pPr>
      <w:r>
        <w:rPr>
          <w:rFonts w:ascii="Calibri" w:hAnsi="Calibri" w:eastAsia="Microsoft YaHei"/>
          <w:b/>
          <w:color w:val="1F4D78"/>
        </w:rPr>
        <w:t>解决问题：</w:t>
      </w:r>
      <w:r>
        <w:rPr>
          <w:rFonts w:ascii="Calibri" w:hAnsi="Calibri" w:eastAsia="Microsoft YaHei"/>
        </w:rPr>
        <w:t>球形托卡马克和常规托卡马克的辐射通道需与磁平衡及三维容器几何一致映射。</w:t>
      </w:r>
    </w:p>
    <w:p>
      <w:pPr>
        <w:widowControl/>
      </w:pPr>
      <w:r>
        <w:rPr>
          <w:rFonts w:ascii="Calibri" w:hAnsi="Calibri" w:eastAsia="Microsoft YaHei"/>
          <w:b/>
          <w:color w:val="1F4D78"/>
        </w:rPr>
        <w:t>测量原理：</w:t>
      </w:r>
      <w:r>
        <w:rPr>
          <w:rFonts w:ascii="Calibri" w:hAnsi="Calibri" w:eastAsia="Microsoft YaHei"/>
        </w:rPr>
        <w:t>利用装置几何和 eqtools 平衡对象追踪视线，构造辐射前向矩阵并支持反演。</w:t>
      </w:r>
    </w:p>
    <w:p>
      <w:pPr>
        <w:widowControl/>
      </w:pPr>
      <w:r>
        <w:rPr>
          <w:rFonts w:ascii="Calibri" w:hAnsi="Calibri" w:eastAsia="Microsoft YaHei"/>
          <w:b/>
          <w:color w:val="1F4D78"/>
        </w:rPr>
        <w:t>测量产品：</w:t>
      </w:r>
      <w:r>
        <w:rPr>
          <w:rFonts w:ascii="Calibri" w:hAnsi="Calibri" w:eastAsia="Microsoft YaHei"/>
        </w:rPr>
        <w:t>line-integrated emission；emissivity geometry matrix；flux-coordinate mapping</w:t>
      </w:r>
    </w:p>
    <w:p>
      <w:pPr>
        <w:widowControl/>
      </w:pPr>
      <w:r>
        <w:rPr>
          <w:rFonts w:ascii="Calibri" w:hAnsi="Calibri" w:eastAsia="Microsoft YaHei"/>
          <w:b/>
          <w:color w:val="1F4D78"/>
        </w:rPr>
        <w:t>时空分辨与覆盖：</w:t>
      </w:r>
      <w:r>
        <w:rPr>
          <w:rFonts w:ascii="Calibri" w:hAnsi="Calibri" w:eastAsia="Microsoft YaHei"/>
        </w:rPr>
        <w:t>时间：因装置、采集和分析链而异；原始来源未给出统一数值。；空间：由视线、几何和反演设定；原始来源未给出统一数值。</w:t>
      </w:r>
    </w:p>
    <w:p>
      <w:pPr>
        <w:widowControl/>
      </w:pPr>
      <w:r>
        <w:rPr>
          <w:rFonts w:ascii="Calibri" w:hAnsi="Calibri" w:eastAsia="Microsoft YaHei"/>
          <w:b/>
          <w:color w:val="1F4D78"/>
        </w:rPr>
        <w:t>仪器与传感器：</w:t>
      </w:r>
      <w:r>
        <w:rPr>
          <w:rFonts w:ascii="Calibri" w:hAnsi="Calibri" w:eastAsia="Microsoft YaHei"/>
        </w:rPr>
        <w:t>soft-x-ray arrays；bolometers；spectroscopic chords</w:t>
      </w:r>
    </w:p>
    <w:p>
      <w:pPr>
        <w:widowControl/>
      </w:pPr>
      <w:r>
        <w:rPr>
          <w:rFonts w:ascii="Calibri" w:hAnsi="Calibri" w:eastAsia="Microsoft YaHei"/>
          <w:b/>
          <w:color w:val="1F4D78"/>
        </w:rPr>
        <w:t>标定与质量：</w:t>
      </w:r>
      <w:r>
        <w:rPr>
          <w:rFonts w:ascii="Calibri" w:hAnsi="Calibri" w:eastAsia="Microsoft YaHei"/>
        </w:rPr>
        <w:t>通道响应和几何来自装置配置；时间匹配的平衡、坏道和绝对灵敏度需外部提供。</w:t>
      </w:r>
    </w:p>
    <w:p>
      <w:pPr>
        <w:widowControl/>
      </w:pPr>
      <w:r>
        <w:rPr>
          <w:rFonts w:ascii="Calibri" w:hAnsi="Calibri" w:eastAsia="Microsoft YaHei"/>
          <w:b/>
          <w:color w:val="1F4D78"/>
        </w:rPr>
        <w:t>反演与分析：</w:t>
      </w:r>
      <w:r>
        <w:rPr>
          <w:rFonts w:ascii="Calibri" w:hAnsi="Calibri" w:eastAsia="Microsoft YaHei"/>
        </w:rPr>
        <w:t>geometry matrix；flux-surface projection；tomographic inversion</w:t>
      </w:r>
    </w:p>
    <w:p>
      <w:pPr>
        <w:widowControl/>
      </w:pPr>
      <w:r>
        <w:rPr>
          <w:rFonts w:ascii="Calibri" w:hAnsi="Calibri" w:eastAsia="Microsoft YaHei"/>
          <w:b/>
          <w:color w:val="1F4D78"/>
        </w:rPr>
        <w:t>验证与应用：</w:t>
      </w:r>
      <w:r>
        <w:rPr>
          <w:rFonts w:ascii="Calibri" w:hAnsi="Calibri" w:eastAsia="Microsoft YaHei"/>
        </w:rPr>
        <w:t>由 MIT PSFC 工具链用于 C-Mod/NSTX-U 数据分析，并与 eqtools 的装置独立平衡接口结合。</w:t>
      </w:r>
    </w:p>
    <w:p>
      <w:pPr>
        <w:widowControl/>
      </w:pPr>
      <w:r>
        <w:rPr>
          <w:rFonts w:ascii="Calibri" w:hAnsi="Calibri" w:eastAsia="Microsoft YaHei"/>
          <w:b/>
          <w:color w:val="1F4D78"/>
        </w:rPr>
        <w:t>局限与边界：</w:t>
      </w:r>
      <w:r>
        <w:rPr>
          <w:rFonts w:ascii="Calibri" w:hAnsi="Calibri" w:eastAsia="Microsoft YaHei"/>
        </w:rPr>
        <w:t>维护活跃度、文档和现代测试覆盖有限；本质是几何/反演工具，不含完整原子辐射物理。</w:t>
      </w:r>
    </w:p>
    <w:tbl>
      <w:tblPr>
        <w:tblStyle w:val="TableGrid"/>
        <w:tblW w:type="dxa" w:w="9360"/>
        <w:jc w:val="left"/>
        <w:tblLayout w:type="fixed"/>
        <w:tblLook w:firstColumn="1" w:firstRow="1" w:lastColumn="0" w:lastRow="0" w:noHBand="0" w:noVBand="1" w:val="04A0"/>
        <w:tblInd w:w="120" w:type="dxa"/>
      </w:tblPr>
      <w:tblGrid>
        <w:gridCol w:w="9360"/>
      </w:tblGrid>
      <w:tr>
        <w:trPr>
          <w:cantSplit/>
        </w:trPr>
        <w:tc>
          <w:tcPr>
            <w:tcW w:type="dxa" w:w="9360"/>
            <w:tcMar>
              <w:top w:w="80" w:type="dxa"/>
              <w:bottom w:w="80" w:type="dxa"/>
              <w:start w:w="120" w:type="dxa"/>
              <w:end w:w="120" w:type="dxa"/>
            </w:tcMar>
            <w:vAlign w:val="center"/>
            <w:shd w:fill="EEF7F7"/>
          </w:tcPr>
          <w:p>
            <w:pPr>
              <w:keepNext/>
              <w:keepLines/>
              <w:spacing w:after="40"/>
            </w:pPr>
            <w:r>
              <w:rPr>
                <w:rFonts w:ascii="Calibri" w:hAnsi="Calibri" w:eastAsia="Microsoft YaHei"/>
                <w:b/>
                <w:color w:val="008C95"/>
                <w:sz w:val="17"/>
              </w:rPr>
              <w:t>DIGITAL-TWIN RELEVANCE</w:t>
            </w:r>
          </w:p>
          <w:p>
            <w:pPr>
              <w:spacing w:after="0"/>
            </w:pPr>
            <w:r>
              <w:rPr>
                <w:rFonts w:ascii="Calibri" w:hAnsi="Calibri" w:eastAsia="Microsoft YaHei"/>
                <w:color w:val="0B2545"/>
                <w:sz w:val="20"/>
              </w:rPr>
              <w:t>提供轻量的装置几何到诊断矩阵映射，但生产孪生需补版本、CI 与误差传播。</w:t>
            </w:r>
          </w:p>
        </w:tc>
      </w:tr>
    </w:tbl>
    <w:p>
      <w:pPr>
        <w:spacing w:after="40"/>
      </w:pPr>
    </w:p>
    <w:tbl>
      <w:tblPr>
        <w:tblStyle w:val="TableGrid"/>
        <w:tblW w:type="dxa" w:w="9360"/>
        <w:jc w:val="left"/>
        <w:tblLayout w:type="fixed"/>
        <w:tblLook w:firstColumn="1" w:firstRow="1" w:lastColumn="0" w:lastRow="0" w:noHBand="0" w:noVBand="1" w:val="04A0"/>
        <w:tblInd w:w="120" w:type="dxa"/>
      </w:tblPr>
      <w:tblGrid>
        <w:gridCol w:w="850"/>
        <w:gridCol w:w="2500"/>
        <w:gridCol w:w="1600"/>
        <w:gridCol w:w="2300"/>
        <w:gridCol w:w="2110"/>
      </w:tblGrid>
      <w:tr>
        <w:trPr>
          <w:tblHeader w:val="true"/>
        </w:trPr>
        <w:tc>
          <w:tcPr>
            <w:tcW w:type="dxa" w:w="8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年份/类型</w:t>
            </w:r>
          </w:p>
        </w:tc>
        <w:tc>
          <w:tcPr>
            <w:tcW w:type="dxa" w:w="25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论文或软件</w:t>
            </w:r>
          </w:p>
        </w:tc>
        <w:tc>
          <w:tcPr>
            <w:tcW w:type="dxa" w:w="16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期刊/开放性</w:t>
            </w:r>
          </w:p>
        </w:tc>
        <w:tc>
          <w:tcPr>
            <w:tcW w:type="dxa" w:w="23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来源类型/关系</w:t>
            </w:r>
          </w:p>
        </w:tc>
        <w:tc>
          <w:tcPr>
            <w:tcW w:type="dxa" w:w="211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链接</w:t>
            </w:r>
          </w:p>
        </w:tc>
      </w:tr>
      <w:tr>
        <w:trPr>
          <w:cantSplit/>
        </w:trPr>
        <w:tc>
          <w:tcPr>
            <w:tcW w:type="dxa" w:w="850"/>
          </w:tcPr>
          <w:p>
            <w:pPr>
              <w:keepLines/>
              <w:spacing w:after="0" w:line="276" w:lineRule="auto"/>
            </w:pPr>
            <w:r>
              <w:rPr>
                <w:rFonts w:ascii="Calibri" w:hAnsi="Calibri" w:eastAsia="Microsoft YaHei"/>
                <w:color w:val="0B2545"/>
                <w:sz w:val="14"/>
              </w:rPr>
              <w:t>2017</w:t>
            </w:r>
          </w:p>
        </w:tc>
        <w:tc>
          <w:tcPr>
            <w:tcW w:type="dxa" w:w="2500"/>
          </w:tcPr>
          <w:p>
            <w:pPr>
              <w:keepLines/>
              <w:spacing w:after="0" w:line="276" w:lineRule="auto"/>
            </w:pPr>
            <w:r>
              <w:rPr>
                <w:rFonts w:ascii="Calibri" w:hAnsi="Calibri" w:eastAsia="Microsoft YaHei"/>
                <w:color w:val="0B2545"/>
                <w:sz w:val="14"/>
              </w:rPr>
              <w:t>eqtools: Modular, extensible, open-source, cross-machine Python tools for working with magnetic equilibria</w:t>
            </w:r>
          </w:p>
        </w:tc>
        <w:tc>
          <w:tcPr>
            <w:tcW w:type="dxa" w:w="1600"/>
          </w:tcPr>
          <w:p>
            <w:pPr>
              <w:keepLines/>
              <w:spacing w:after="0" w:line="276" w:lineRule="auto"/>
            </w:pPr>
            <w:r>
              <w:rPr>
                <w:rFonts w:ascii="Calibri" w:hAnsi="Calibri" w:eastAsia="Microsoft YaHei"/>
                <w:color w:val="0B2545"/>
                <w:sz w:val="14"/>
              </w:rPr>
              <w:t>Computer Physics Communications</w:t>
            </w:r>
          </w:p>
        </w:tc>
        <w:tc>
          <w:tcPr>
            <w:tcW w:type="dxa" w:w="2300"/>
          </w:tcPr>
          <w:p>
            <w:pPr>
              <w:keepLines/>
              <w:spacing w:after="0" w:line="276" w:lineRule="auto"/>
            </w:pPr>
            <w:r>
              <w:rPr>
                <w:rFonts w:ascii="Calibri" w:hAnsi="Calibri" w:eastAsia="Microsoft YaHei"/>
                <w:color w:val="0B2545"/>
                <w:sz w:val="14"/>
              </w:rPr>
              <w:t>peer-reviewed primary toolchain report</w:t>
            </w:r>
          </w:p>
        </w:tc>
        <w:tc>
          <w:tcPr>
            <w:tcW w:type="dxa" w:w="2110"/>
          </w:tcPr>
          <w:p>
            <w:pPr>
              <w:keepLines/>
              <w:spacing w:after="0" w:line="276" w:lineRule="auto"/>
            </w:pPr>
            <w:hyperlink r:id="rId192">
              <w:r>
                <w:rPr>
                  <w:rFonts w:ascii="Calibri" w:hAnsi="Calibri" w:eastAsia="Microsoft YaHei"/>
                  <w:color w:val="008C95"/>
                  <w:u w:val="single"/>
                </w:rPr>
                <w:t>打开原始来源 ↗</w:t>
              </w:r>
            </w:hyperlink>
          </w:p>
        </w:tc>
      </w:tr>
      <w:tr>
        <w:trPr>
          <w:cantSplit/>
        </w:trPr>
        <w:tc>
          <w:tcPr>
            <w:tcW w:type="dxa" w:w="850"/>
          </w:tcPr>
          <w:p>
            <w:pPr>
              <w:keepLines/>
              <w:spacing w:after="0" w:line="276" w:lineRule="auto"/>
            </w:pPr>
            <w:r>
              <w:rPr>
                <w:rFonts w:ascii="Calibri" w:hAnsi="Calibri" w:eastAsia="Microsoft YaHei"/>
                <w:color w:val="0B2545"/>
                <w:sz w:val="14"/>
              </w:rPr>
              <w:t>软件</w:t>
            </w:r>
          </w:p>
        </w:tc>
        <w:tc>
          <w:tcPr>
            <w:tcW w:type="dxa" w:w="2500"/>
          </w:tcPr>
          <w:p>
            <w:pPr>
              <w:keepLines/>
              <w:spacing w:after="0" w:line="276" w:lineRule="auto"/>
            </w:pPr>
            <w:r>
              <w:rPr>
                <w:rFonts w:ascii="Calibri" w:hAnsi="Calibri" w:eastAsia="Microsoft YaHei"/>
                <w:color w:val="0B2545"/>
                <w:sz w:val="14"/>
              </w:rPr>
              <w:t>TRIPPy</w:t>
            </w:r>
          </w:p>
        </w:tc>
        <w:tc>
          <w:tcPr>
            <w:tcW w:type="dxa" w:w="1600"/>
          </w:tcPr>
          <w:p>
            <w:pPr>
              <w:keepLines/>
              <w:spacing w:after="0" w:line="276" w:lineRule="auto"/>
            </w:pPr>
            <w:r>
              <w:rPr>
                <w:rFonts w:ascii="Calibri" w:hAnsi="Calibri" w:eastAsia="Microsoft YaHei"/>
                <w:color w:val="0B2545"/>
                <w:sz w:val="14"/>
              </w:rPr>
              <w:t>official-direct</w:t>
            </w:r>
          </w:p>
        </w:tc>
        <w:tc>
          <w:tcPr>
            <w:tcW w:type="dxa" w:w="2300"/>
          </w:tcPr>
          <w:p>
            <w:pPr>
              <w:keepLines/>
              <w:spacing w:after="0" w:line="276" w:lineRule="auto"/>
            </w:pPr>
            <w:r>
              <w:rPr>
                <w:rFonts w:ascii="Calibri" w:hAnsi="Calibri" w:eastAsia="Microsoft YaHei"/>
                <w:color w:val="0B2545"/>
                <w:sz w:val="14"/>
              </w:rPr>
              <w:t>作者发布的 TRIPPy 实现。</w:t>
            </w:r>
          </w:p>
        </w:tc>
        <w:tc>
          <w:tcPr>
            <w:tcW w:type="dxa" w:w="2110"/>
          </w:tcPr>
          <w:p>
            <w:pPr>
              <w:keepLines/>
              <w:spacing w:after="0" w:line="276" w:lineRule="auto"/>
            </w:pPr>
            <w:hyperlink r:id="rId193">
              <w:r>
                <w:rPr>
                  <w:rFonts w:ascii="Calibri" w:hAnsi="Calibri" w:eastAsia="Microsoft YaHei"/>
                  <w:color w:val="008C95"/>
                  <w:u w:val="single"/>
                </w:rPr>
                <w:t>打开原始来源 ↗</w:t>
              </w:r>
            </w:hyperlink>
          </w:p>
        </w:tc>
      </w:tr>
      <w:tr>
        <w:trPr>
          <w:cantSplit/>
        </w:trPr>
        <w:tc>
          <w:tcPr>
            <w:tcW w:type="dxa" w:w="850"/>
          </w:tcPr>
          <w:p>
            <w:pPr>
              <w:keepLines/>
              <w:spacing w:after="0" w:line="276" w:lineRule="auto"/>
            </w:pPr>
            <w:r>
              <w:rPr>
                <w:rFonts w:ascii="Calibri" w:hAnsi="Calibri" w:eastAsia="Microsoft YaHei"/>
                <w:color w:val="0B2545"/>
                <w:sz w:val="14"/>
              </w:rPr>
              <w:t>软件</w:t>
            </w:r>
          </w:p>
        </w:tc>
        <w:tc>
          <w:tcPr>
            <w:tcW w:type="dxa" w:w="2500"/>
          </w:tcPr>
          <w:p>
            <w:pPr>
              <w:keepLines/>
              <w:spacing w:after="0" w:line="276" w:lineRule="auto"/>
            </w:pPr>
            <w:r>
              <w:rPr>
                <w:rFonts w:ascii="Calibri" w:hAnsi="Calibri" w:eastAsia="Microsoft YaHei"/>
                <w:color w:val="0B2545"/>
                <w:sz w:val="14"/>
              </w:rPr>
              <w:t>eqtools</w:t>
            </w:r>
          </w:p>
        </w:tc>
        <w:tc>
          <w:tcPr>
            <w:tcW w:type="dxa" w:w="1600"/>
          </w:tcPr>
          <w:p>
            <w:pPr>
              <w:keepLines/>
              <w:spacing w:after="0" w:line="276" w:lineRule="auto"/>
            </w:pPr>
            <w:r>
              <w:rPr>
                <w:rFonts w:ascii="Calibri" w:hAnsi="Calibri" w:eastAsia="Microsoft YaHei"/>
                <w:color w:val="0B2545"/>
                <w:sz w:val="14"/>
              </w:rPr>
              <w:t>official-enabling</w:t>
            </w:r>
          </w:p>
        </w:tc>
        <w:tc>
          <w:tcPr>
            <w:tcW w:type="dxa" w:w="2300"/>
          </w:tcPr>
          <w:p>
            <w:pPr>
              <w:keepLines/>
              <w:spacing w:after="0" w:line="276" w:lineRule="auto"/>
            </w:pPr>
            <w:r>
              <w:rPr>
                <w:rFonts w:ascii="Calibri" w:hAnsi="Calibri" w:eastAsia="Microsoft YaHei"/>
                <w:color w:val="0B2545"/>
                <w:sz w:val="14"/>
              </w:rPr>
              <w:t>提供平衡和坐标映射，不是辐射前向模型本身。</w:t>
            </w:r>
          </w:p>
        </w:tc>
        <w:tc>
          <w:tcPr>
            <w:tcW w:type="dxa" w:w="2110"/>
          </w:tcPr>
          <w:p>
            <w:pPr>
              <w:keepLines/>
              <w:spacing w:after="0" w:line="276" w:lineRule="auto"/>
            </w:pPr>
            <w:hyperlink r:id="rId194">
              <w:r>
                <w:rPr>
                  <w:rFonts w:ascii="Calibri" w:hAnsi="Calibri" w:eastAsia="Microsoft YaHei"/>
                  <w:color w:val="008C95"/>
                  <w:u w:val="single"/>
                </w:rPr>
                <w:t>打开原始来源 ↗</w:t>
              </w:r>
            </w:hyperlink>
          </w:p>
        </w:tc>
      </w:tr>
    </w:tbl>
    <w:p>
      <w:pPr>
        <w:spacing w:before="0" w:after="60"/>
      </w:pPr>
    </w:p>
    <w:p>
      <w:pPr>
        <w:pStyle w:val="Heading3"/>
        <w:keepNext/>
      </w:pPr>
      <w:r>
        <w:t>DG10.02  Minerva 贝叶斯诊断建模与模型数据融合框架</w:t>
      </w:r>
    </w:p>
    <w:p>
      <w:pPr>
        <w:keepNext/>
        <w:spacing w:after="80"/>
      </w:pPr>
      <w:r>
        <w:rPr>
          <w:rFonts w:ascii="Calibri" w:hAnsi="Calibri" w:eastAsia="Microsoft YaHei"/>
          <w:i/>
          <w:color w:val="566573"/>
          <w:sz w:val="18"/>
        </w:rPr>
        <w:t>Minerva Bayesian Diagnostic Modelling and Model Data Fusion</w:t>
      </w:r>
    </w:p>
    <w:tbl>
      <w:tblPr>
        <w:tblStyle w:val="TableGrid"/>
        <w:tblW w:type="dxa" w:w="9360"/>
        <w:jc w:val="left"/>
        <w:tblLayout w:type="fixed"/>
        <w:tblLook w:firstColumn="1" w:firstRow="1" w:lastColumn="0" w:lastRow="0" w:noHBand="0" w:noVBand="1" w:val="04A0"/>
        <w:tblInd w:w="120" w:type="dxa"/>
      </w:tblPr>
      <w:tblGrid>
        <w:gridCol w:w="1200"/>
        <w:gridCol w:w="750"/>
        <w:gridCol w:w="750"/>
        <w:gridCol w:w="2100"/>
        <w:gridCol w:w="4560"/>
      </w:tblGrid>
      <w:tr>
        <w:trPr>
          <w:tblHeader w:val="true"/>
        </w:trPr>
        <w:tc>
          <w:tcPr>
            <w:tcW w:type="dxa" w:w="12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工作 ID</w:t>
            </w:r>
          </w:p>
        </w:tc>
        <w:tc>
          <w:tcPr>
            <w:tcW w:type="dxa" w:w="7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证据</w:t>
            </w:r>
          </w:p>
        </w:tc>
        <w:tc>
          <w:tcPr>
            <w:tcW w:type="dxa" w:w="7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部署</w:t>
            </w:r>
          </w:p>
        </w:tc>
        <w:tc>
          <w:tcPr>
            <w:tcW w:type="dxa" w:w="21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技术族</w:t>
            </w:r>
          </w:p>
        </w:tc>
        <w:tc>
          <w:tcPr>
            <w:tcW w:type="dxa" w:w="456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装置</w:t>
            </w:r>
          </w:p>
        </w:tc>
      </w:tr>
      <w:tr>
        <w:trPr>
          <w:cantSplit/>
        </w:trPr>
        <w:tc>
          <w:tcPr>
            <w:tcW w:type="dxa" w:w="1200"/>
          </w:tcPr>
          <w:p>
            <w:pPr>
              <w:keepLines/>
              <w:spacing w:after="0" w:line="276" w:lineRule="auto"/>
            </w:pPr>
            <w:r>
              <w:rPr>
                <w:rFonts w:ascii="Calibri" w:hAnsi="Calibri" w:eastAsia="Microsoft YaHei"/>
                <w:color w:val="0B2545"/>
                <w:sz w:val="15"/>
              </w:rPr>
              <w:t>DSI-023</w:t>
            </w:r>
          </w:p>
        </w:tc>
        <w:tc>
          <w:tcPr>
            <w:tcW w:type="dxa" w:w="750"/>
          </w:tcPr>
          <w:p>
            <w:pPr>
              <w:keepLines/>
              <w:spacing w:after="0" w:line="276" w:lineRule="auto"/>
            </w:pPr>
            <w:r>
              <w:rPr>
                <w:rFonts w:ascii="Calibri" w:hAnsi="Calibri" w:eastAsia="Microsoft YaHei"/>
                <w:color w:val="0B2545"/>
                <w:sz w:val="15"/>
              </w:rPr>
              <w:t>E3</w:t>
            </w:r>
          </w:p>
        </w:tc>
        <w:tc>
          <w:tcPr>
            <w:tcW w:type="dxa" w:w="750"/>
          </w:tcPr>
          <w:p>
            <w:pPr>
              <w:keepLines/>
              <w:spacing w:after="0" w:line="276" w:lineRule="auto"/>
            </w:pPr>
            <w:r>
              <w:rPr>
                <w:rFonts w:ascii="Calibri" w:hAnsi="Calibri" w:eastAsia="Microsoft YaHei"/>
                <w:color w:val="0B2545"/>
                <w:sz w:val="15"/>
              </w:rPr>
              <w:t>D2</w:t>
            </w:r>
          </w:p>
        </w:tc>
        <w:tc>
          <w:tcPr>
            <w:tcW w:type="dxa" w:w="2100"/>
          </w:tcPr>
          <w:p>
            <w:pPr>
              <w:keepLines/>
              <w:spacing w:after="0" w:line="276" w:lineRule="auto"/>
            </w:pPr>
            <w:r>
              <w:rPr>
                <w:rFonts w:ascii="Calibri" w:hAnsi="Calibri" w:eastAsia="Microsoft YaHei"/>
                <w:color w:val="0B2545"/>
                <w:sz w:val="15"/>
              </w:rPr>
              <w:t>COMPUTATIONAL</w:t>
            </w:r>
          </w:p>
        </w:tc>
        <w:tc>
          <w:tcPr>
            <w:tcW w:type="dxa" w:w="4560"/>
          </w:tcPr>
          <w:p>
            <w:pPr>
              <w:keepLines/>
              <w:spacing w:after="0" w:line="276" w:lineRule="auto"/>
            </w:pPr>
            <w:r>
              <w:rPr>
                <w:rFonts w:ascii="Calibri" w:hAnsi="Calibri" w:eastAsia="Microsoft YaHei"/>
                <w:color w:val="0B2545"/>
                <w:sz w:val="15"/>
              </w:rPr>
              <w:t>JET；W7-X；MAST and framework applications</w:t>
            </w:r>
          </w:p>
        </w:tc>
      </w:tr>
    </w:tbl>
    <w:p>
      <w:pPr>
        <w:spacing w:before="0" w:after="60"/>
      </w:pPr>
    </w:p>
    <w:p>
      <w:pPr>
        <w:widowControl/>
      </w:pPr>
      <w:r>
        <w:rPr>
          <w:rFonts w:ascii="Calibri" w:hAnsi="Calibri" w:eastAsia="Microsoft YaHei"/>
          <w:b/>
          <w:color w:val="1F4D78"/>
        </w:rPr>
        <w:t>解决问题：</w:t>
      </w:r>
      <w:r>
        <w:rPr>
          <w:rFonts w:ascii="Calibri" w:hAnsi="Calibri" w:eastAsia="Microsoft YaHei"/>
        </w:rPr>
        <w:t>单诊断顺序处理无法一致处理共享校准参数、相关误差、互相依赖的物理量和模型选择。</w:t>
      </w:r>
    </w:p>
    <w:p>
      <w:pPr>
        <w:widowControl/>
      </w:pPr>
      <w:r>
        <w:rPr>
          <w:rFonts w:ascii="Calibri" w:hAnsi="Calibri" w:eastAsia="Microsoft YaHei"/>
          <w:b/>
          <w:color w:val="1F4D78"/>
        </w:rPr>
        <w:t>测量原理：</w:t>
      </w:r>
      <w:r>
        <w:rPr>
          <w:rFonts w:ascii="Calibri" w:hAnsi="Calibri" w:eastAsia="Microsoft YaHei"/>
        </w:rPr>
        <w:t>把每个诊断写成条件概率与前向模型，在共同图模型中联合推断状态、校准、几何和模型参数。</w:t>
      </w:r>
    </w:p>
    <w:p>
      <w:pPr>
        <w:widowControl/>
      </w:pPr>
      <w:r>
        <w:rPr>
          <w:rFonts w:ascii="Calibri" w:hAnsi="Calibri" w:eastAsia="Microsoft YaHei"/>
          <w:b/>
          <w:color w:val="1F4D78"/>
        </w:rPr>
        <w:t>测量产品：</w:t>
      </w:r>
      <w:r>
        <w:rPr>
          <w:rFonts w:ascii="Calibri" w:hAnsi="Calibri" w:eastAsia="Microsoft YaHei"/>
        </w:rPr>
        <w:t>posterior plasma state；calibration parameters；uncertainties；model evidence</w:t>
      </w:r>
    </w:p>
    <w:p>
      <w:pPr>
        <w:widowControl/>
      </w:pPr>
      <w:r>
        <w:rPr>
          <w:rFonts w:ascii="Calibri" w:hAnsi="Calibri" w:eastAsia="Microsoft YaHei"/>
          <w:b/>
          <w:color w:val="1F4D78"/>
        </w:rPr>
        <w:t>时空分辨与覆盖：</w:t>
      </w:r>
      <w:r>
        <w:rPr>
          <w:rFonts w:ascii="Calibri" w:hAnsi="Calibri" w:eastAsia="Microsoft YaHei"/>
        </w:rPr>
        <w:t>时间：因装置、采集和分析链而异；原始来源未给出统一数值。；空间：由视线、几何和反演设定；原始来源未给出统一数值。</w:t>
      </w:r>
    </w:p>
    <w:p>
      <w:pPr>
        <w:widowControl/>
      </w:pPr>
      <w:r>
        <w:rPr>
          <w:rFonts w:ascii="Calibri" w:hAnsi="Calibri" w:eastAsia="Microsoft YaHei"/>
          <w:b/>
          <w:color w:val="1F4D78"/>
        </w:rPr>
        <w:t>仪器与传感器：</w:t>
      </w:r>
      <w:r>
        <w:rPr>
          <w:rFonts w:ascii="Calibri" w:hAnsi="Calibri" w:eastAsia="Microsoft YaHei"/>
        </w:rPr>
        <w:t>analysis/HPC servers</w:t>
      </w:r>
    </w:p>
    <w:p>
      <w:pPr>
        <w:widowControl/>
      </w:pPr>
      <w:r>
        <w:rPr>
          <w:rFonts w:ascii="Calibri" w:hAnsi="Calibri" w:eastAsia="Microsoft YaHei"/>
          <w:b/>
          <w:color w:val="1F4D78"/>
        </w:rPr>
        <w:t>标定与质量：</w:t>
      </w:r>
      <w:r>
        <w:rPr>
          <w:rFonts w:ascii="Calibri" w:hAnsi="Calibri" w:eastAsia="Microsoft YaHei"/>
        </w:rPr>
        <w:t>校准量可作为随机变量与状态联合估计；前提是先验、相关结构和可辨识性明确。</w:t>
      </w:r>
    </w:p>
    <w:p>
      <w:pPr>
        <w:widowControl/>
      </w:pPr>
      <w:r>
        <w:rPr>
          <w:rFonts w:ascii="Calibri" w:hAnsi="Calibri" w:eastAsia="Microsoft YaHei"/>
          <w:b/>
          <w:color w:val="1F4D78"/>
        </w:rPr>
        <w:t>反演与分析：</w:t>
      </w:r>
      <w:r>
        <w:rPr>
          <w:rFonts w:ascii="Calibri" w:hAnsi="Calibri" w:eastAsia="Microsoft YaHei"/>
        </w:rPr>
        <w:t>Bayesian inversion；joint likelihood；model comparison；marginalisation</w:t>
      </w:r>
    </w:p>
    <w:p>
      <w:pPr>
        <w:widowControl/>
      </w:pPr>
      <w:r>
        <w:rPr>
          <w:rFonts w:ascii="Calibri" w:hAnsi="Calibri" w:eastAsia="Microsoft YaHei"/>
          <w:b/>
          <w:color w:val="1F4D78"/>
        </w:rPr>
        <w:t>验证与应用：</w:t>
      </w:r>
      <w:r>
        <w:rPr>
          <w:rFonts w:ascii="Calibri" w:hAnsi="Calibri" w:eastAsia="Microsoft YaHei"/>
        </w:rPr>
        <w:t>JET 电流层析奠定概率框架；W7-X 团队将 Minerva 用于 XICS、CXRS、XMCTS、TS、ECE、Zeff 等联合分析。</w:t>
      </w:r>
    </w:p>
    <w:p>
      <w:pPr>
        <w:widowControl/>
      </w:pPr>
      <w:r>
        <w:rPr>
          <w:rFonts w:ascii="Calibri" w:hAnsi="Calibri" w:eastAsia="Microsoft YaHei"/>
          <w:b/>
          <w:color w:val="1F4D78"/>
        </w:rPr>
        <w:t>局限与边界：</w:t>
      </w:r>
      <w:r>
        <w:rPr>
          <w:rFonts w:ascii="Calibri" w:hAnsi="Calibri" w:eastAsia="Microsoft YaHei"/>
        </w:rPr>
        <w:t>专有/合作代码未公开；复杂前向模型导致采样昂贵，模型误差常被简化为高斯噪声，难以实时化。</w:t>
      </w:r>
    </w:p>
    <w:tbl>
      <w:tblPr>
        <w:tblStyle w:val="TableGrid"/>
        <w:tblW w:type="dxa" w:w="9360"/>
        <w:jc w:val="left"/>
        <w:tblLayout w:type="fixed"/>
        <w:tblLook w:firstColumn="1" w:firstRow="1" w:lastColumn="0" w:lastRow="0" w:noHBand="0" w:noVBand="1" w:val="04A0"/>
        <w:tblInd w:w="120" w:type="dxa"/>
      </w:tblPr>
      <w:tblGrid>
        <w:gridCol w:w="9360"/>
      </w:tblGrid>
      <w:tr>
        <w:trPr>
          <w:cantSplit/>
        </w:trPr>
        <w:tc>
          <w:tcPr>
            <w:tcW w:type="dxa" w:w="9360"/>
            <w:tcMar>
              <w:top w:w="80" w:type="dxa"/>
              <w:bottom w:w="80" w:type="dxa"/>
              <w:start w:w="120" w:type="dxa"/>
              <w:end w:w="120" w:type="dxa"/>
            </w:tcMar>
            <w:vAlign w:val="center"/>
            <w:shd w:fill="EEF7F7"/>
          </w:tcPr>
          <w:p>
            <w:pPr>
              <w:keepNext/>
              <w:keepLines/>
              <w:spacing w:after="40"/>
            </w:pPr>
            <w:r>
              <w:rPr>
                <w:rFonts w:ascii="Calibri" w:hAnsi="Calibri" w:eastAsia="Microsoft YaHei"/>
                <w:b/>
                <w:color w:val="008C95"/>
                <w:sz w:val="17"/>
              </w:rPr>
              <w:t>DIGITAL-TWIN RELEVANCE</w:t>
            </w:r>
          </w:p>
          <w:p>
            <w:pPr>
              <w:spacing w:after="0"/>
            </w:pPr>
            <w:r>
              <w:rPr>
                <w:rFonts w:ascii="Calibri" w:hAnsi="Calibri" w:eastAsia="Microsoft YaHei"/>
                <w:color w:val="0B2545"/>
                <w:sz w:val="20"/>
              </w:rPr>
              <w:t>体现数字孪生应输出状态分布和证据而非单一最佳值，并可把校准漂移纳入在线状态。</w:t>
            </w:r>
          </w:p>
        </w:tc>
      </w:tr>
    </w:tbl>
    <w:p>
      <w:pPr>
        <w:spacing w:after="40"/>
      </w:pPr>
    </w:p>
    <w:tbl>
      <w:tblPr>
        <w:tblStyle w:val="TableGrid"/>
        <w:tblW w:type="dxa" w:w="9360"/>
        <w:jc w:val="left"/>
        <w:tblLayout w:type="fixed"/>
        <w:tblLook w:firstColumn="1" w:firstRow="1" w:lastColumn="0" w:lastRow="0" w:noHBand="0" w:noVBand="1" w:val="04A0"/>
        <w:tblInd w:w="120" w:type="dxa"/>
      </w:tblPr>
      <w:tblGrid>
        <w:gridCol w:w="850"/>
        <w:gridCol w:w="2500"/>
        <w:gridCol w:w="1600"/>
        <w:gridCol w:w="2300"/>
        <w:gridCol w:w="2110"/>
      </w:tblGrid>
      <w:tr>
        <w:trPr>
          <w:tblHeader w:val="true"/>
        </w:trPr>
        <w:tc>
          <w:tcPr>
            <w:tcW w:type="dxa" w:w="8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年份/类型</w:t>
            </w:r>
          </w:p>
        </w:tc>
        <w:tc>
          <w:tcPr>
            <w:tcW w:type="dxa" w:w="25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论文或软件</w:t>
            </w:r>
          </w:p>
        </w:tc>
        <w:tc>
          <w:tcPr>
            <w:tcW w:type="dxa" w:w="16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期刊/开放性</w:t>
            </w:r>
          </w:p>
        </w:tc>
        <w:tc>
          <w:tcPr>
            <w:tcW w:type="dxa" w:w="23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来源类型/关系</w:t>
            </w:r>
          </w:p>
        </w:tc>
        <w:tc>
          <w:tcPr>
            <w:tcW w:type="dxa" w:w="211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链接</w:t>
            </w:r>
          </w:p>
        </w:tc>
      </w:tr>
      <w:tr>
        <w:trPr>
          <w:cantSplit/>
        </w:trPr>
        <w:tc>
          <w:tcPr>
            <w:tcW w:type="dxa" w:w="850"/>
          </w:tcPr>
          <w:p>
            <w:pPr>
              <w:keepLines/>
              <w:spacing w:after="0" w:line="276" w:lineRule="auto"/>
            </w:pPr>
            <w:r>
              <w:rPr>
                <w:rFonts w:ascii="Calibri" w:hAnsi="Calibri" w:eastAsia="Microsoft YaHei"/>
                <w:color w:val="0B2545"/>
                <w:sz w:val="14"/>
              </w:rPr>
              <w:t>2008</w:t>
            </w:r>
          </w:p>
        </w:tc>
        <w:tc>
          <w:tcPr>
            <w:tcW w:type="dxa" w:w="2500"/>
          </w:tcPr>
          <w:p>
            <w:pPr>
              <w:keepLines/>
              <w:spacing w:after="0" w:line="276" w:lineRule="auto"/>
            </w:pPr>
            <w:r>
              <w:rPr>
                <w:rFonts w:ascii="Calibri" w:hAnsi="Calibri" w:eastAsia="Microsoft YaHei"/>
                <w:color w:val="0B2545"/>
                <w:sz w:val="14"/>
              </w:rPr>
              <w:t>Current tomography for axisymmetric plasmas</w:t>
            </w:r>
          </w:p>
        </w:tc>
        <w:tc>
          <w:tcPr>
            <w:tcW w:type="dxa" w:w="1600"/>
          </w:tcPr>
          <w:p>
            <w:pPr>
              <w:keepLines/>
              <w:spacing w:after="0" w:line="276" w:lineRule="auto"/>
            </w:pPr>
            <w:r>
              <w:rPr>
                <w:rFonts w:ascii="Calibri" w:hAnsi="Calibri" w:eastAsia="Microsoft YaHei"/>
                <w:color w:val="0B2545"/>
                <w:sz w:val="14"/>
              </w:rPr>
              <w:t>Plasma Physics and Controlled Fusion</w:t>
            </w:r>
          </w:p>
        </w:tc>
        <w:tc>
          <w:tcPr>
            <w:tcW w:type="dxa" w:w="2300"/>
          </w:tcPr>
          <w:p>
            <w:pPr>
              <w:keepLines/>
              <w:spacing w:after="0" w:line="276" w:lineRule="auto"/>
            </w:pPr>
            <w:r>
              <w:rPr>
                <w:rFonts w:ascii="Calibri" w:hAnsi="Calibri" w:eastAsia="Microsoft YaHei"/>
                <w:color w:val="0B2545"/>
                <w:sz w:val="14"/>
              </w:rPr>
              <w:t>peer-reviewed primary Bayesian framework</w:t>
            </w:r>
          </w:p>
        </w:tc>
        <w:tc>
          <w:tcPr>
            <w:tcW w:type="dxa" w:w="2110"/>
          </w:tcPr>
          <w:p>
            <w:pPr>
              <w:keepLines/>
              <w:spacing w:after="0" w:line="276" w:lineRule="auto"/>
            </w:pPr>
            <w:hyperlink r:id="rId195">
              <w:r>
                <w:rPr>
                  <w:rFonts w:ascii="Calibri" w:hAnsi="Calibri" w:eastAsia="Microsoft YaHei"/>
                  <w:color w:val="008C95"/>
                  <w:u w:val="single"/>
                </w:rPr>
                <w:t>打开原始来源 ↗</w:t>
              </w:r>
            </w:hyperlink>
          </w:p>
        </w:tc>
      </w:tr>
      <w:tr>
        <w:trPr>
          <w:cantSplit/>
        </w:trPr>
        <w:tc>
          <w:tcPr>
            <w:tcW w:type="dxa" w:w="850"/>
          </w:tcPr>
          <w:p>
            <w:pPr>
              <w:keepLines/>
              <w:spacing w:after="0" w:line="276" w:lineRule="auto"/>
            </w:pPr>
            <w:r>
              <w:rPr>
                <w:rFonts w:ascii="Calibri" w:hAnsi="Calibri" w:eastAsia="Microsoft YaHei"/>
                <w:color w:val="0B2545"/>
                <w:sz w:val="14"/>
              </w:rPr>
              <w:t>2010</w:t>
            </w:r>
          </w:p>
        </w:tc>
        <w:tc>
          <w:tcPr>
            <w:tcW w:type="dxa" w:w="2500"/>
          </w:tcPr>
          <w:p>
            <w:pPr>
              <w:keepLines/>
              <w:spacing w:after="0" w:line="276" w:lineRule="auto"/>
            </w:pPr>
            <w:r>
              <w:rPr>
                <w:rFonts w:ascii="Calibri" w:hAnsi="Calibri" w:eastAsia="Microsoft YaHei"/>
                <w:color w:val="0B2545"/>
                <w:sz w:val="14"/>
              </w:rPr>
              <w:t>Model data fusion</w:t>
            </w:r>
          </w:p>
        </w:tc>
        <w:tc>
          <w:tcPr>
            <w:tcW w:type="dxa" w:w="1600"/>
          </w:tcPr>
          <w:p>
            <w:pPr>
              <w:keepLines/>
              <w:spacing w:after="0" w:line="276" w:lineRule="auto"/>
            </w:pPr>
            <w:r>
              <w:rPr>
                <w:rFonts w:ascii="Calibri" w:hAnsi="Calibri" w:eastAsia="Microsoft YaHei"/>
                <w:color w:val="0B2545"/>
                <w:sz w:val="14"/>
              </w:rPr>
              <w:t>原始论文 / 官方来源</w:t>
            </w:r>
          </w:p>
        </w:tc>
        <w:tc>
          <w:tcPr>
            <w:tcW w:type="dxa" w:w="2300"/>
          </w:tcPr>
          <w:p>
            <w:pPr>
              <w:keepLines/>
              <w:spacing w:after="0" w:line="276" w:lineRule="auto"/>
            </w:pPr>
            <w:r>
              <w:rPr>
                <w:rFonts w:ascii="Calibri" w:hAnsi="Calibri" w:eastAsia="Microsoft YaHei"/>
                <w:color w:val="0B2545"/>
                <w:sz w:val="14"/>
              </w:rPr>
              <w:t>author primary preprint</w:t>
            </w:r>
          </w:p>
        </w:tc>
        <w:tc>
          <w:tcPr>
            <w:tcW w:type="dxa" w:w="2110"/>
          </w:tcPr>
          <w:p>
            <w:pPr>
              <w:keepLines/>
              <w:spacing w:after="0" w:line="276" w:lineRule="auto"/>
            </w:pPr>
            <w:hyperlink r:id="rId196">
              <w:r>
                <w:rPr>
                  <w:rFonts w:ascii="Calibri" w:hAnsi="Calibri" w:eastAsia="Microsoft YaHei"/>
                  <w:color w:val="008C95"/>
                  <w:u w:val="single"/>
                </w:rPr>
                <w:t>打开原始来源 ↗</w:t>
              </w:r>
            </w:hyperlink>
          </w:p>
        </w:tc>
      </w:tr>
      <w:tr>
        <w:trPr>
          <w:cantSplit/>
        </w:trPr>
        <w:tc>
          <w:tcPr>
            <w:tcW w:type="dxa" w:w="850"/>
          </w:tcPr>
          <w:p>
            <w:pPr>
              <w:keepLines/>
              <w:spacing w:after="0" w:line="276" w:lineRule="auto"/>
            </w:pPr>
            <w:r>
              <w:rPr>
                <w:rFonts w:ascii="Calibri" w:hAnsi="Calibri" w:eastAsia="Microsoft YaHei"/>
                <w:color w:val="0B2545"/>
                <w:sz w:val="14"/>
              </w:rPr>
              <w:t>2021</w:t>
            </w:r>
          </w:p>
        </w:tc>
        <w:tc>
          <w:tcPr>
            <w:tcW w:type="dxa" w:w="2500"/>
          </w:tcPr>
          <w:p>
            <w:pPr>
              <w:keepLines/>
              <w:spacing w:after="0" w:line="276" w:lineRule="auto"/>
            </w:pPr>
            <w:r>
              <w:rPr>
                <w:rFonts w:ascii="Calibri" w:hAnsi="Calibri" w:eastAsia="Microsoft YaHei"/>
                <w:color w:val="0B2545"/>
                <w:sz w:val="14"/>
              </w:rPr>
              <w:t>Integrated data analysis with Minerva at W7-X</w:t>
            </w:r>
          </w:p>
        </w:tc>
        <w:tc>
          <w:tcPr>
            <w:tcW w:type="dxa" w:w="1600"/>
          </w:tcPr>
          <w:p>
            <w:pPr>
              <w:keepLines/>
              <w:spacing w:after="0" w:line="276" w:lineRule="auto"/>
            </w:pPr>
            <w:r>
              <w:rPr>
                <w:rFonts w:ascii="Calibri" w:hAnsi="Calibri" w:eastAsia="Microsoft YaHei"/>
                <w:color w:val="0B2545"/>
                <w:sz w:val="14"/>
              </w:rPr>
              <w:t>原始论文 / 官方来源</w:t>
            </w:r>
          </w:p>
        </w:tc>
        <w:tc>
          <w:tcPr>
            <w:tcW w:type="dxa" w:w="2300"/>
          </w:tcPr>
          <w:p>
            <w:pPr>
              <w:keepLines/>
              <w:spacing w:after="0" w:line="276" w:lineRule="auto"/>
            </w:pPr>
            <w:r>
              <w:rPr>
                <w:rFonts w:ascii="Calibri" w:hAnsi="Calibri" w:eastAsia="Microsoft YaHei"/>
                <w:color w:val="0B2545"/>
                <w:sz w:val="14"/>
              </w:rPr>
              <w:t>IAEA primary conference contribution</w:t>
            </w:r>
          </w:p>
        </w:tc>
        <w:tc>
          <w:tcPr>
            <w:tcW w:type="dxa" w:w="2110"/>
          </w:tcPr>
          <w:p>
            <w:pPr>
              <w:keepLines/>
              <w:spacing w:after="0" w:line="276" w:lineRule="auto"/>
            </w:pPr>
            <w:hyperlink r:id="rId197">
              <w:r>
                <w:rPr>
                  <w:rFonts w:ascii="Calibri" w:hAnsi="Calibri" w:eastAsia="Microsoft YaHei"/>
                  <w:color w:val="008C95"/>
                  <w:u w:val="single"/>
                </w:rPr>
                <w:t>打开原始来源 ↗</w:t>
              </w:r>
            </w:hyperlink>
          </w:p>
        </w:tc>
      </w:tr>
      <w:tr>
        <w:trPr>
          <w:cantSplit/>
        </w:trPr>
        <w:tc>
          <w:tcPr>
            <w:tcW w:type="dxa" w:w="850"/>
          </w:tcPr>
          <w:p>
            <w:pPr>
              <w:keepLines/>
              <w:spacing w:after="0" w:line="276" w:lineRule="auto"/>
            </w:pPr>
            <w:r>
              <w:rPr>
                <w:rFonts w:ascii="Calibri" w:hAnsi="Calibri" w:eastAsia="Microsoft YaHei"/>
                <w:color w:val="0B2545"/>
                <w:sz w:val="14"/>
              </w:rPr>
              <w:t>软件</w:t>
            </w:r>
          </w:p>
        </w:tc>
        <w:tc>
          <w:tcPr>
            <w:tcW w:type="dxa" w:w="2500"/>
          </w:tcPr>
          <w:p>
            <w:pPr>
              <w:keepLines/>
              <w:spacing w:after="0" w:line="276" w:lineRule="auto"/>
            </w:pPr>
            <w:r>
              <w:rPr>
                <w:rFonts w:ascii="Calibri" w:hAnsi="Calibri" w:eastAsia="Microsoft YaHei"/>
                <w:color w:val="0B2545"/>
                <w:sz w:val="14"/>
              </w:rPr>
              <w:t>Minerva</w:t>
            </w:r>
          </w:p>
        </w:tc>
        <w:tc>
          <w:tcPr>
            <w:tcW w:type="dxa" w:w="1600"/>
          </w:tcPr>
          <w:p>
            <w:pPr>
              <w:keepLines/>
              <w:spacing w:after="0" w:line="276" w:lineRule="auto"/>
            </w:pPr>
            <w:r>
              <w:rPr>
                <w:rFonts w:ascii="Calibri" w:hAnsi="Calibri" w:eastAsia="Microsoft YaHei"/>
                <w:color w:val="0B2545"/>
                <w:sz w:val="14"/>
              </w:rPr>
              <w:t>not-public</w:t>
            </w:r>
          </w:p>
        </w:tc>
        <w:tc>
          <w:tcPr>
            <w:tcW w:type="dxa" w:w="2300"/>
          </w:tcPr>
          <w:p>
            <w:pPr>
              <w:keepLines/>
              <w:spacing w:after="0" w:line="276" w:lineRule="auto"/>
            </w:pPr>
            <w:r>
              <w:rPr>
                <w:rFonts w:ascii="Calibri" w:hAnsi="Calibri" w:eastAsia="Microsoft YaHei"/>
                <w:color w:val="0B2545"/>
                <w:sz w:val="14"/>
              </w:rPr>
              <w:t>未核验到项目团队公开的完整通用框架仓库。</w:t>
            </w:r>
          </w:p>
        </w:tc>
        <w:tc>
          <w:tcPr>
            <w:tcW w:type="dxa" w:w="2110"/>
          </w:tcPr>
          <w:p>
            <w:pPr>
              <w:keepLines/>
              <w:spacing w:after="0" w:line="276" w:lineRule="auto"/>
            </w:pPr>
            <w:r>
              <w:rPr>
                <w:rFonts w:ascii="Calibri" w:hAnsi="Calibri" w:eastAsia="Microsoft YaHei"/>
                <w:color w:val="0B2545"/>
                <w:sz w:val="14"/>
              </w:rPr>
              <w:t>未公开</w:t>
            </w:r>
          </w:p>
        </w:tc>
      </w:tr>
    </w:tbl>
    <w:p>
      <w:pPr>
        <w:spacing w:before="0" w:after="60"/>
      </w:pPr>
    </w:p>
    <w:p>
      <w:pPr>
        <w:pStyle w:val="Heading3"/>
        <w:keepNext/>
      </w:pPr>
      <w:r>
        <w:t>DG10.03  ASDEX Upgrade 电子温度—密度集成数据分析</w:t>
      </w:r>
    </w:p>
    <w:p>
      <w:pPr>
        <w:keepNext/>
        <w:spacing w:after="80"/>
      </w:pPr>
      <w:r>
        <w:rPr>
          <w:rFonts w:ascii="Calibri" w:hAnsi="Calibri" w:eastAsia="Microsoft YaHei"/>
          <w:i/>
          <w:color w:val="566573"/>
          <w:sz w:val="18"/>
        </w:rPr>
        <w:t>ASDEX Upgrade Integrated Data Analysis of Electron Temperature and Density</w:t>
      </w:r>
    </w:p>
    <w:tbl>
      <w:tblPr>
        <w:tblStyle w:val="TableGrid"/>
        <w:tblW w:type="dxa" w:w="9360"/>
        <w:jc w:val="left"/>
        <w:tblLayout w:type="fixed"/>
        <w:tblLook w:firstColumn="1" w:firstRow="1" w:lastColumn="0" w:lastRow="0" w:noHBand="0" w:noVBand="1" w:val="04A0"/>
        <w:tblInd w:w="120" w:type="dxa"/>
      </w:tblPr>
      <w:tblGrid>
        <w:gridCol w:w="1200"/>
        <w:gridCol w:w="750"/>
        <w:gridCol w:w="750"/>
        <w:gridCol w:w="2100"/>
        <w:gridCol w:w="4560"/>
      </w:tblGrid>
      <w:tr>
        <w:trPr>
          <w:tblHeader w:val="true"/>
        </w:trPr>
        <w:tc>
          <w:tcPr>
            <w:tcW w:type="dxa" w:w="12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工作 ID</w:t>
            </w:r>
          </w:p>
        </w:tc>
        <w:tc>
          <w:tcPr>
            <w:tcW w:type="dxa" w:w="7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证据</w:t>
            </w:r>
          </w:p>
        </w:tc>
        <w:tc>
          <w:tcPr>
            <w:tcW w:type="dxa" w:w="7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部署</w:t>
            </w:r>
          </w:p>
        </w:tc>
        <w:tc>
          <w:tcPr>
            <w:tcW w:type="dxa" w:w="21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技术族</w:t>
            </w:r>
          </w:p>
        </w:tc>
        <w:tc>
          <w:tcPr>
            <w:tcW w:type="dxa" w:w="456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装置</w:t>
            </w:r>
          </w:p>
        </w:tc>
      </w:tr>
      <w:tr>
        <w:trPr>
          <w:cantSplit/>
        </w:trPr>
        <w:tc>
          <w:tcPr>
            <w:tcW w:type="dxa" w:w="1200"/>
          </w:tcPr>
          <w:p>
            <w:pPr>
              <w:keepLines/>
              <w:spacing w:after="0" w:line="276" w:lineRule="auto"/>
            </w:pPr>
            <w:r>
              <w:rPr>
                <w:rFonts w:ascii="Calibri" w:hAnsi="Calibri" w:eastAsia="Microsoft YaHei"/>
                <w:color w:val="0B2545"/>
                <w:sz w:val="15"/>
              </w:rPr>
              <w:t>DSI-024</w:t>
            </w:r>
          </w:p>
        </w:tc>
        <w:tc>
          <w:tcPr>
            <w:tcW w:type="dxa" w:w="750"/>
          </w:tcPr>
          <w:p>
            <w:pPr>
              <w:keepLines/>
              <w:spacing w:after="0" w:line="276" w:lineRule="auto"/>
            </w:pPr>
            <w:r>
              <w:rPr>
                <w:rFonts w:ascii="Calibri" w:hAnsi="Calibri" w:eastAsia="Microsoft YaHei"/>
                <w:color w:val="0B2545"/>
                <w:sz w:val="15"/>
              </w:rPr>
              <w:t>E3</w:t>
            </w:r>
          </w:p>
        </w:tc>
        <w:tc>
          <w:tcPr>
            <w:tcW w:type="dxa" w:w="750"/>
          </w:tcPr>
          <w:p>
            <w:pPr>
              <w:keepLines/>
              <w:spacing w:after="0" w:line="276" w:lineRule="auto"/>
            </w:pPr>
            <w:r>
              <w:rPr>
                <w:rFonts w:ascii="Calibri" w:hAnsi="Calibri" w:eastAsia="Microsoft YaHei"/>
                <w:color w:val="0B2545"/>
                <w:sz w:val="15"/>
              </w:rPr>
              <w:t>D3</w:t>
            </w:r>
          </w:p>
        </w:tc>
        <w:tc>
          <w:tcPr>
            <w:tcW w:type="dxa" w:w="2100"/>
          </w:tcPr>
          <w:p>
            <w:pPr>
              <w:keepLines/>
              <w:spacing w:after="0" w:line="276" w:lineRule="auto"/>
            </w:pPr>
            <w:r>
              <w:rPr>
                <w:rFonts w:ascii="Calibri" w:hAnsi="Calibri" w:eastAsia="Microsoft YaHei"/>
                <w:color w:val="0B2545"/>
                <w:sz w:val="15"/>
              </w:rPr>
              <w:t>COMPUTATIONAL</w:t>
            </w:r>
          </w:p>
        </w:tc>
        <w:tc>
          <w:tcPr>
            <w:tcW w:type="dxa" w:w="4560"/>
          </w:tcPr>
          <w:p>
            <w:pPr>
              <w:keepLines/>
              <w:spacing w:after="0" w:line="276" w:lineRule="auto"/>
            </w:pPr>
            <w:r>
              <w:rPr>
                <w:rFonts w:ascii="Calibri" w:hAnsi="Calibri" w:eastAsia="Microsoft YaHei"/>
                <w:color w:val="0B2545"/>
                <w:sz w:val="15"/>
              </w:rPr>
              <w:t>ASDEX Upgrade</w:t>
            </w:r>
          </w:p>
        </w:tc>
      </w:tr>
    </w:tbl>
    <w:p>
      <w:pPr>
        <w:spacing w:before="0" w:after="60"/>
      </w:pPr>
    </w:p>
    <w:p>
      <w:pPr>
        <w:widowControl/>
      </w:pPr>
      <w:r>
        <w:rPr>
          <w:rFonts w:ascii="Calibri" w:hAnsi="Calibri" w:eastAsia="Microsoft YaHei"/>
          <w:b/>
          <w:color w:val="1F4D78"/>
        </w:rPr>
        <w:t>解决问题：</w:t>
      </w:r>
      <w:r>
        <w:rPr>
          <w:rFonts w:ascii="Calibri" w:hAnsi="Calibri" w:eastAsia="Microsoft YaHei"/>
        </w:rPr>
        <w:t>ECE、TS、干涉仪和锂束各有局部/积分、时空分辨和系统偏差，独立拟合会产生不一致 Te/ne 剖面。</w:t>
      </w:r>
    </w:p>
    <w:p>
      <w:pPr>
        <w:widowControl/>
      </w:pPr>
      <w:r>
        <w:rPr>
          <w:rFonts w:ascii="Calibri" w:hAnsi="Calibri" w:eastAsia="Microsoft YaHei"/>
          <w:b/>
          <w:color w:val="1F4D78"/>
        </w:rPr>
        <w:t>测量原理：</w:t>
      </w:r>
      <w:r>
        <w:rPr>
          <w:rFonts w:ascii="Calibri" w:hAnsi="Calibri" w:eastAsia="Microsoft YaHei"/>
        </w:rPr>
        <w:t>把多个诊断的前向模型、误差和几何共同写入贝叶斯模型，联合推断 Te/ne 及对准/校准等干扰参数。</w:t>
      </w:r>
    </w:p>
    <w:p>
      <w:pPr>
        <w:widowControl/>
      </w:pPr>
      <w:r>
        <w:rPr>
          <w:rFonts w:ascii="Calibri" w:hAnsi="Calibri" w:eastAsia="Microsoft YaHei"/>
          <w:b/>
          <w:color w:val="1F4D78"/>
        </w:rPr>
        <w:t>测量产品：</w:t>
      </w:r>
      <w:r>
        <w:rPr>
          <w:rFonts w:ascii="Calibri" w:hAnsi="Calibri" w:eastAsia="Microsoft YaHei"/>
        </w:rPr>
        <w:t>electron temperature profile；electron density profile；credible intervals；alignment parameters</w:t>
      </w:r>
    </w:p>
    <w:p>
      <w:pPr>
        <w:widowControl/>
      </w:pPr>
      <w:r>
        <w:rPr>
          <w:rFonts w:ascii="Calibri" w:hAnsi="Calibri" w:eastAsia="Microsoft YaHei"/>
          <w:b/>
          <w:color w:val="1F4D78"/>
        </w:rPr>
        <w:t>时空分辨与覆盖：</w:t>
      </w:r>
      <w:r>
        <w:rPr>
          <w:rFonts w:ascii="Calibri" w:hAnsi="Calibri" w:eastAsia="Microsoft YaHei"/>
        </w:rPr>
        <w:t>时间：因装置、采集和分析链而异；原始来源未给出统一数值。；空间：由视线、几何和反演设定；原始来源未给出统一数值。</w:t>
      </w:r>
    </w:p>
    <w:p>
      <w:pPr>
        <w:widowControl/>
      </w:pPr>
      <w:r>
        <w:rPr>
          <w:rFonts w:ascii="Calibri" w:hAnsi="Calibri" w:eastAsia="Microsoft YaHei"/>
          <w:b/>
          <w:color w:val="1F4D78"/>
        </w:rPr>
        <w:t>仪器与传感器：</w:t>
      </w:r>
      <w:r>
        <w:rPr>
          <w:rFonts w:ascii="Calibri" w:hAnsi="Calibri" w:eastAsia="Microsoft YaHei"/>
        </w:rPr>
        <w:t>ECE radiometer；Thomson scattering；interferometer；lithium beam</w:t>
      </w:r>
    </w:p>
    <w:p>
      <w:pPr>
        <w:widowControl/>
      </w:pPr>
      <w:r>
        <w:rPr>
          <w:rFonts w:ascii="Calibri" w:hAnsi="Calibri" w:eastAsia="Microsoft YaHei"/>
          <w:b/>
          <w:color w:val="1F4D78"/>
        </w:rPr>
        <w:t>标定与质量：</w:t>
      </w:r>
      <w:r>
        <w:rPr>
          <w:rFonts w:ascii="Calibri" w:hAnsi="Calibri" w:eastAsia="Microsoft YaHei"/>
        </w:rPr>
        <w:t>通过共同状态约束对准和部分校准参数；仍需保留各诊断原始绝对校准与相关误差。</w:t>
      </w:r>
    </w:p>
    <w:p>
      <w:pPr>
        <w:widowControl/>
      </w:pPr>
      <w:r>
        <w:rPr>
          <w:rFonts w:ascii="Calibri" w:hAnsi="Calibri" w:eastAsia="Microsoft YaHei"/>
          <w:b/>
          <w:color w:val="1F4D78"/>
        </w:rPr>
        <w:t>反演与分析：</w:t>
      </w:r>
      <w:r>
        <w:rPr>
          <w:rFonts w:ascii="Calibri" w:hAnsi="Calibri" w:eastAsia="Microsoft YaHei"/>
        </w:rPr>
        <w:t>Bayesian profile reconstruction；multi-diagnostic consistency；nuisance marginalisation</w:t>
      </w:r>
    </w:p>
    <w:p>
      <w:pPr>
        <w:widowControl/>
      </w:pPr>
      <w:r>
        <w:rPr>
          <w:rFonts w:ascii="Calibri" w:hAnsi="Calibri" w:eastAsia="Microsoft YaHei"/>
          <w:b/>
          <w:color w:val="1F4D78"/>
        </w:rPr>
        <w:t>验证与应用：</w:t>
      </w:r>
      <w:r>
        <w:rPr>
          <w:rFonts w:ascii="Calibri" w:hAnsi="Calibri" w:eastAsia="Microsoft YaHei"/>
        </w:rPr>
        <w:t>论文在 AUG 实验数据上联合 Li-beam、干涉仪、ECE 和 TS，给出 Te/ne 与不确定度并处理诊断依赖；这是装置数据离线集成分析证据，不是常规在线服务证明。</w:t>
      </w:r>
    </w:p>
    <w:p>
      <w:pPr>
        <w:widowControl/>
      </w:pPr>
      <w:r>
        <w:rPr>
          <w:rFonts w:ascii="Calibri" w:hAnsi="Calibri" w:eastAsia="Microsoft YaHei"/>
          <w:b/>
          <w:color w:val="1F4D78"/>
        </w:rPr>
        <w:t>局限与边界：</w:t>
      </w:r>
      <w:r>
        <w:rPr>
          <w:rFonts w:ascii="Calibri" w:hAnsi="Calibri" w:eastAsia="Microsoft YaHei"/>
        </w:rPr>
        <w:t>计算与前向模型维护成本高；磁面假设、异常分布和模型失配会使可信区间过窄。</w:t>
      </w:r>
    </w:p>
    <w:tbl>
      <w:tblPr>
        <w:tblStyle w:val="TableGrid"/>
        <w:tblW w:type="dxa" w:w="9360"/>
        <w:jc w:val="left"/>
        <w:tblLayout w:type="fixed"/>
        <w:tblLook w:firstColumn="1" w:firstRow="1" w:lastColumn="0" w:lastRow="0" w:noHBand="0" w:noVBand="1" w:val="04A0"/>
        <w:tblInd w:w="120" w:type="dxa"/>
      </w:tblPr>
      <w:tblGrid>
        <w:gridCol w:w="9360"/>
      </w:tblGrid>
      <w:tr>
        <w:trPr>
          <w:cantSplit/>
        </w:trPr>
        <w:tc>
          <w:tcPr>
            <w:tcW w:type="dxa" w:w="9360"/>
            <w:tcMar>
              <w:top w:w="80" w:type="dxa"/>
              <w:bottom w:w="80" w:type="dxa"/>
              <w:start w:w="120" w:type="dxa"/>
              <w:end w:w="120" w:type="dxa"/>
            </w:tcMar>
            <w:vAlign w:val="center"/>
            <w:shd w:fill="EEF7F7"/>
          </w:tcPr>
          <w:p>
            <w:pPr>
              <w:keepNext/>
              <w:keepLines/>
              <w:spacing w:after="40"/>
            </w:pPr>
            <w:r>
              <w:rPr>
                <w:rFonts w:ascii="Calibri" w:hAnsi="Calibri" w:eastAsia="Microsoft YaHei"/>
                <w:b/>
                <w:color w:val="008C95"/>
                <w:sz w:val="17"/>
              </w:rPr>
              <w:t>DIGITAL-TWIN RELEVANCE</w:t>
            </w:r>
          </w:p>
          <w:p>
            <w:pPr>
              <w:spacing w:after="0"/>
            </w:pPr>
            <w:r>
              <w:rPr>
                <w:rFonts w:ascii="Calibri" w:hAnsi="Calibri" w:eastAsia="Microsoft YaHei"/>
                <w:color w:val="0B2545"/>
                <w:sz w:val="20"/>
              </w:rPr>
              <w:t>是跨诊断状态估计的成熟参考，应将联合后验作为孪生状态而非把各诊断先压缩成独立点估计。</w:t>
            </w:r>
          </w:p>
        </w:tc>
      </w:tr>
    </w:tbl>
    <w:p>
      <w:pPr>
        <w:spacing w:after="40"/>
      </w:pPr>
    </w:p>
    <w:tbl>
      <w:tblPr>
        <w:tblStyle w:val="TableGrid"/>
        <w:tblW w:type="dxa" w:w="9360"/>
        <w:jc w:val="left"/>
        <w:tblLayout w:type="fixed"/>
        <w:tblLook w:firstColumn="1" w:firstRow="1" w:lastColumn="0" w:lastRow="0" w:noHBand="0" w:noVBand="1" w:val="04A0"/>
        <w:tblInd w:w="120" w:type="dxa"/>
      </w:tblPr>
      <w:tblGrid>
        <w:gridCol w:w="850"/>
        <w:gridCol w:w="2500"/>
        <w:gridCol w:w="1600"/>
        <w:gridCol w:w="2300"/>
        <w:gridCol w:w="2110"/>
      </w:tblGrid>
      <w:tr>
        <w:trPr>
          <w:tblHeader w:val="true"/>
        </w:trPr>
        <w:tc>
          <w:tcPr>
            <w:tcW w:type="dxa" w:w="8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年份/类型</w:t>
            </w:r>
          </w:p>
        </w:tc>
        <w:tc>
          <w:tcPr>
            <w:tcW w:type="dxa" w:w="25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论文或软件</w:t>
            </w:r>
          </w:p>
        </w:tc>
        <w:tc>
          <w:tcPr>
            <w:tcW w:type="dxa" w:w="16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期刊/开放性</w:t>
            </w:r>
          </w:p>
        </w:tc>
        <w:tc>
          <w:tcPr>
            <w:tcW w:type="dxa" w:w="23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来源类型/关系</w:t>
            </w:r>
          </w:p>
        </w:tc>
        <w:tc>
          <w:tcPr>
            <w:tcW w:type="dxa" w:w="211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链接</w:t>
            </w:r>
          </w:p>
        </w:tc>
      </w:tr>
      <w:tr>
        <w:trPr>
          <w:cantSplit/>
        </w:trPr>
        <w:tc>
          <w:tcPr>
            <w:tcW w:type="dxa" w:w="850"/>
          </w:tcPr>
          <w:p>
            <w:pPr>
              <w:keepLines/>
              <w:spacing w:after="0" w:line="276" w:lineRule="auto"/>
            </w:pPr>
            <w:r>
              <w:rPr>
                <w:rFonts w:ascii="Calibri" w:hAnsi="Calibri" w:eastAsia="Microsoft YaHei"/>
                <w:color w:val="0B2545"/>
                <w:sz w:val="14"/>
              </w:rPr>
              <w:t>2010</w:t>
            </w:r>
          </w:p>
        </w:tc>
        <w:tc>
          <w:tcPr>
            <w:tcW w:type="dxa" w:w="2500"/>
          </w:tcPr>
          <w:p>
            <w:pPr>
              <w:keepLines/>
              <w:spacing w:after="0" w:line="276" w:lineRule="auto"/>
            </w:pPr>
            <w:r>
              <w:rPr>
                <w:rFonts w:ascii="Calibri" w:hAnsi="Calibri" w:eastAsia="Microsoft YaHei"/>
                <w:color w:val="0B2545"/>
                <w:sz w:val="14"/>
              </w:rPr>
              <w:t>Integrated Data Analysis of Profile Diagnostics at ASDEX Upgrade</w:t>
            </w:r>
          </w:p>
        </w:tc>
        <w:tc>
          <w:tcPr>
            <w:tcW w:type="dxa" w:w="1600"/>
          </w:tcPr>
          <w:p>
            <w:pPr>
              <w:keepLines/>
              <w:spacing w:after="0" w:line="276" w:lineRule="auto"/>
            </w:pPr>
            <w:r>
              <w:rPr>
                <w:rFonts w:ascii="Calibri" w:hAnsi="Calibri" w:eastAsia="Microsoft YaHei"/>
                <w:color w:val="0B2545"/>
                <w:sz w:val="14"/>
              </w:rPr>
              <w:t>Fusion Science and Technology</w:t>
            </w:r>
          </w:p>
        </w:tc>
        <w:tc>
          <w:tcPr>
            <w:tcW w:type="dxa" w:w="2300"/>
          </w:tcPr>
          <w:p>
            <w:pPr>
              <w:keepLines/>
              <w:spacing w:after="0" w:line="276" w:lineRule="auto"/>
            </w:pPr>
            <w:r>
              <w:rPr>
                <w:rFonts w:ascii="Calibri" w:hAnsi="Calibri" w:eastAsia="Microsoft YaHei"/>
                <w:color w:val="0B2545"/>
                <w:sz w:val="14"/>
              </w:rPr>
              <w:t>peer-reviewed primary device application</w:t>
            </w:r>
          </w:p>
        </w:tc>
        <w:tc>
          <w:tcPr>
            <w:tcW w:type="dxa" w:w="2110"/>
          </w:tcPr>
          <w:p>
            <w:pPr>
              <w:keepLines/>
              <w:spacing w:after="0" w:line="276" w:lineRule="auto"/>
            </w:pPr>
            <w:hyperlink r:id="rId198">
              <w:r>
                <w:rPr>
                  <w:rFonts w:ascii="Calibri" w:hAnsi="Calibri" w:eastAsia="Microsoft YaHei"/>
                  <w:color w:val="008C95"/>
                  <w:u w:val="single"/>
                </w:rPr>
                <w:t>打开原始来源 ↗</w:t>
              </w:r>
            </w:hyperlink>
          </w:p>
        </w:tc>
      </w:tr>
      <w:tr>
        <w:trPr>
          <w:cantSplit/>
        </w:trPr>
        <w:tc>
          <w:tcPr>
            <w:tcW w:type="dxa" w:w="850"/>
          </w:tcPr>
          <w:p>
            <w:pPr>
              <w:keepLines/>
              <w:spacing w:after="0" w:line="276" w:lineRule="auto"/>
            </w:pPr>
            <w:r>
              <w:rPr>
                <w:rFonts w:ascii="Calibri" w:hAnsi="Calibri" w:eastAsia="Microsoft YaHei"/>
                <w:color w:val="0B2545"/>
                <w:sz w:val="14"/>
              </w:rPr>
              <w:t>软件</w:t>
            </w:r>
          </w:p>
        </w:tc>
        <w:tc>
          <w:tcPr>
            <w:tcW w:type="dxa" w:w="2500"/>
          </w:tcPr>
          <w:p>
            <w:pPr>
              <w:keepLines/>
              <w:spacing w:after="0" w:line="276" w:lineRule="auto"/>
            </w:pPr>
            <w:r>
              <w:rPr>
                <w:rFonts w:ascii="Calibri" w:hAnsi="Calibri" w:eastAsia="Microsoft YaHei"/>
                <w:color w:val="0B2545"/>
                <w:sz w:val="14"/>
              </w:rPr>
              <w:t>ASDEX Upgrade IDA/Minerva workflow</w:t>
            </w:r>
          </w:p>
        </w:tc>
        <w:tc>
          <w:tcPr>
            <w:tcW w:type="dxa" w:w="1600"/>
          </w:tcPr>
          <w:p>
            <w:pPr>
              <w:keepLines/>
              <w:spacing w:after="0" w:line="276" w:lineRule="auto"/>
            </w:pPr>
            <w:r>
              <w:rPr>
                <w:rFonts w:ascii="Calibri" w:hAnsi="Calibri" w:eastAsia="Microsoft YaHei"/>
                <w:color w:val="0B2545"/>
                <w:sz w:val="14"/>
              </w:rPr>
              <w:t>not-public</w:t>
            </w:r>
          </w:p>
        </w:tc>
        <w:tc>
          <w:tcPr>
            <w:tcW w:type="dxa" w:w="2300"/>
          </w:tcPr>
          <w:p>
            <w:pPr>
              <w:keepLines/>
              <w:spacing w:after="0" w:line="276" w:lineRule="auto"/>
            </w:pPr>
            <w:r>
              <w:rPr>
                <w:rFonts w:ascii="Calibri" w:hAnsi="Calibri" w:eastAsia="Microsoft YaHei"/>
                <w:color w:val="0B2545"/>
                <w:sz w:val="14"/>
              </w:rPr>
              <w:t>装置专用集成分析工作流未发现公共生产仓库。</w:t>
            </w:r>
          </w:p>
        </w:tc>
        <w:tc>
          <w:tcPr>
            <w:tcW w:type="dxa" w:w="2110"/>
          </w:tcPr>
          <w:p>
            <w:pPr>
              <w:keepLines/>
              <w:spacing w:after="0" w:line="276" w:lineRule="auto"/>
            </w:pPr>
            <w:r>
              <w:rPr>
                <w:rFonts w:ascii="Calibri" w:hAnsi="Calibri" w:eastAsia="Microsoft YaHei"/>
                <w:color w:val="0B2545"/>
                <w:sz w:val="14"/>
              </w:rPr>
              <w:t>未公开</w:t>
            </w:r>
          </w:p>
        </w:tc>
      </w:tr>
    </w:tbl>
    <w:p>
      <w:pPr>
        <w:spacing w:before="0" w:after="60"/>
      </w:pPr>
    </w:p>
    <w:p>
      <w:pPr>
        <w:pStyle w:val="Heading3"/>
        <w:keepNext/>
      </w:pPr>
      <w:r>
        <w:t>DG10.04  JET 微波诊断联合贝叶斯反演</w:t>
      </w:r>
    </w:p>
    <w:p>
      <w:pPr>
        <w:keepNext/>
        <w:spacing w:after="80"/>
      </w:pPr>
      <w:r>
        <w:rPr>
          <w:rFonts w:ascii="Calibri" w:hAnsi="Calibri" w:eastAsia="Microsoft YaHei"/>
          <w:i/>
          <w:color w:val="566573"/>
          <w:sz w:val="18"/>
        </w:rPr>
        <w:t>Bayesian Inference Using JET's Microwave Diagnostic System</w:t>
      </w:r>
    </w:p>
    <w:tbl>
      <w:tblPr>
        <w:tblStyle w:val="TableGrid"/>
        <w:tblW w:type="dxa" w:w="9360"/>
        <w:jc w:val="left"/>
        <w:tblLayout w:type="fixed"/>
        <w:tblLook w:firstColumn="1" w:firstRow="1" w:lastColumn="0" w:lastRow="0" w:noHBand="0" w:noVBand="1" w:val="04A0"/>
        <w:tblInd w:w="120" w:type="dxa"/>
      </w:tblPr>
      <w:tblGrid>
        <w:gridCol w:w="1200"/>
        <w:gridCol w:w="750"/>
        <w:gridCol w:w="750"/>
        <w:gridCol w:w="2100"/>
        <w:gridCol w:w="4560"/>
      </w:tblGrid>
      <w:tr>
        <w:trPr>
          <w:tblHeader w:val="true"/>
        </w:trPr>
        <w:tc>
          <w:tcPr>
            <w:tcW w:type="dxa" w:w="12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工作 ID</w:t>
            </w:r>
          </w:p>
        </w:tc>
        <w:tc>
          <w:tcPr>
            <w:tcW w:type="dxa" w:w="7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证据</w:t>
            </w:r>
          </w:p>
        </w:tc>
        <w:tc>
          <w:tcPr>
            <w:tcW w:type="dxa" w:w="7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部署</w:t>
            </w:r>
          </w:p>
        </w:tc>
        <w:tc>
          <w:tcPr>
            <w:tcW w:type="dxa" w:w="21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技术族</w:t>
            </w:r>
          </w:p>
        </w:tc>
        <w:tc>
          <w:tcPr>
            <w:tcW w:type="dxa" w:w="456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装置</w:t>
            </w:r>
          </w:p>
        </w:tc>
      </w:tr>
      <w:tr>
        <w:trPr>
          <w:cantSplit/>
        </w:trPr>
        <w:tc>
          <w:tcPr>
            <w:tcW w:type="dxa" w:w="1200"/>
          </w:tcPr>
          <w:p>
            <w:pPr>
              <w:keepLines/>
              <w:spacing w:after="0" w:line="276" w:lineRule="auto"/>
            </w:pPr>
            <w:r>
              <w:rPr>
                <w:rFonts w:ascii="Calibri" w:hAnsi="Calibri" w:eastAsia="Microsoft YaHei"/>
                <w:color w:val="0B2545"/>
                <w:sz w:val="15"/>
              </w:rPr>
              <w:t>DSI-025</w:t>
            </w:r>
          </w:p>
        </w:tc>
        <w:tc>
          <w:tcPr>
            <w:tcW w:type="dxa" w:w="750"/>
          </w:tcPr>
          <w:p>
            <w:pPr>
              <w:keepLines/>
              <w:spacing w:after="0" w:line="276" w:lineRule="auto"/>
            </w:pPr>
            <w:r>
              <w:rPr>
                <w:rFonts w:ascii="Calibri" w:hAnsi="Calibri" w:eastAsia="Microsoft YaHei"/>
                <w:color w:val="0B2545"/>
                <w:sz w:val="15"/>
              </w:rPr>
              <w:t>E3</w:t>
            </w:r>
          </w:p>
        </w:tc>
        <w:tc>
          <w:tcPr>
            <w:tcW w:type="dxa" w:w="750"/>
          </w:tcPr>
          <w:p>
            <w:pPr>
              <w:keepLines/>
              <w:spacing w:after="0" w:line="276" w:lineRule="auto"/>
            </w:pPr>
            <w:r>
              <w:rPr>
                <w:rFonts w:ascii="Calibri" w:hAnsi="Calibri" w:eastAsia="Microsoft YaHei"/>
                <w:color w:val="0B2545"/>
                <w:sz w:val="15"/>
              </w:rPr>
              <w:t>D2</w:t>
            </w:r>
          </w:p>
        </w:tc>
        <w:tc>
          <w:tcPr>
            <w:tcW w:type="dxa" w:w="2100"/>
          </w:tcPr>
          <w:p>
            <w:pPr>
              <w:keepLines/>
              <w:spacing w:after="0" w:line="276" w:lineRule="auto"/>
            </w:pPr>
            <w:r>
              <w:rPr>
                <w:rFonts w:ascii="Calibri" w:hAnsi="Calibri" w:eastAsia="Microsoft YaHei"/>
                <w:color w:val="0B2545"/>
                <w:sz w:val="15"/>
              </w:rPr>
              <w:t>MICROWAVE</w:t>
            </w:r>
          </w:p>
        </w:tc>
        <w:tc>
          <w:tcPr>
            <w:tcW w:type="dxa" w:w="4560"/>
          </w:tcPr>
          <w:p>
            <w:pPr>
              <w:keepLines/>
              <w:spacing w:after="0" w:line="276" w:lineRule="auto"/>
            </w:pPr>
            <w:r>
              <w:rPr>
                <w:rFonts w:ascii="Calibri" w:hAnsi="Calibri" w:eastAsia="Microsoft YaHei"/>
                <w:color w:val="0B2545"/>
                <w:sz w:val="15"/>
              </w:rPr>
              <w:t>JET</w:t>
            </w:r>
          </w:p>
        </w:tc>
      </w:tr>
    </w:tbl>
    <w:p>
      <w:pPr>
        <w:spacing w:before="0" w:after="60"/>
      </w:pPr>
    </w:p>
    <w:p>
      <w:pPr>
        <w:widowControl/>
      </w:pPr>
      <w:r>
        <w:rPr>
          <w:rFonts w:ascii="Calibri" w:hAnsi="Calibri" w:eastAsia="Microsoft YaHei"/>
          <w:b/>
          <w:color w:val="1F4D78"/>
        </w:rPr>
        <w:t>解决问题：</w:t>
      </w:r>
      <w:r>
        <w:rPr>
          <w:rFonts w:ascii="Calibri" w:hAnsi="Calibri" w:eastAsia="Microsoft YaHei"/>
        </w:rPr>
        <w:t>多套 ECE 与反射计对 Te/ne 的响应互相依赖，并受磁场偏差、壁反射和灵敏度校准影响。</w:t>
      </w:r>
    </w:p>
    <w:p>
      <w:pPr>
        <w:widowControl/>
      </w:pPr>
      <w:r>
        <w:rPr>
          <w:rFonts w:ascii="Calibri" w:hAnsi="Calibri" w:eastAsia="Microsoft YaHei"/>
          <w:b/>
          <w:color w:val="1F4D78"/>
        </w:rPr>
        <w:t>测量原理：</w:t>
      </w:r>
      <w:r>
        <w:rPr>
          <w:rFonts w:ascii="Calibri" w:hAnsi="Calibri" w:eastAsia="Microsoft YaHei"/>
        </w:rPr>
        <w:t>在 Minerva 中联合三套 ECE 与反射计前向模型，同时推断 Te/ne、磁场修正、壁反射和诊断灵敏度参数。</w:t>
      </w:r>
    </w:p>
    <w:p>
      <w:pPr>
        <w:widowControl/>
      </w:pPr>
      <w:r>
        <w:rPr>
          <w:rFonts w:ascii="Calibri" w:hAnsi="Calibri" w:eastAsia="Microsoft YaHei"/>
          <w:b/>
          <w:color w:val="1F4D78"/>
        </w:rPr>
        <w:t>测量产品：</w:t>
      </w:r>
      <w:r>
        <w:rPr>
          <w:rFonts w:ascii="Calibri" w:hAnsi="Calibri" w:eastAsia="Microsoft YaHei"/>
        </w:rPr>
        <w:t>electron temperature；electron density；magnetic-field correction；wall reflection；sensitivity</w:t>
      </w:r>
    </w:p>
    <w:p>
      <w:pPr>
        <w:widowControl/>
      </w:pPr>
      <w:r>
        <w:rPr>
          <w:rFonts w:ascii="Calibri" w:hAnsi="Calibri" w:eastAsia="Microsoft YaHei"/>
          <w:b/>
          <w:color w:val="1F4D78"/>
        </w:rPr>
        <w:t>时空分辨与覆盖：</w:t>
      </w:r>
      <w:r>
        <w:rPr>
          <w:rFonts w:ascii="Calibri" w:hAnsi="Calibri" w:eastAsia="Microsoft YaHei"/>
        </w:rPr>
        <w:t>时间：因装置、采集和分析链而异；原始来源未给出统一数值。；空间：由视线、几何和反演设定；原始来源未给出统一数值。</w:t>
      </w:r>
    </w:p>
    <w:p>
      <w:pPr>
        <w:widowControl/>
      </w:pPr>
      <w:r>
        <w:rPr>
          <w:rFonts w:ascii="Calibri" w:hAnsi="Calibri" w:eastAsia="Microsoft YaHei"/>
          <w:b/>
          <w:color w:val="1F4D78"/>
        </w:rPr>
        <w:t>仪器与传感器：</w:t>
      </w:r>
      <w:r>
        <w:rPr>
          <w:rFonts w:ascii="Calibri" w:hAnsi="Calibri" w:eastAsia="Microsoft YaHei"/>
        </w:rPr>
        <w:t>ECE radiometers；microwave reflectometer</w:t>
      </w:r>
    </w:p>
    <w:p>
      <w:pPr>
        <w:widowControl/>
      </w:pPr>
      <w:r>
        <w:rPr>
          <w:rFonts w:ascii="Calibri" w:hAnsi="Calibri" w:eastAsia="Microsoft YaHei"/>
          <w:b/>
          <w:color w:val="1F4D78"/>
        </w:rPr>
        <w:t>标定与质量：</w:t>
      </w:r>
      <w:r>
        <w:rPr>
          <w:rFonts w:ascii="Calibri" w:hAnsi="Calibri" w:eastAsia="Microsoft YaHei"/>
        </w:rPr>
        <w:t>将部分灵敏度、场修正和反射项作为随机参数；绝对校准先验仍决定可辨识性。</w:t>
      </w:r>
    </w:p>
    <w:p>
      <w:pPr>
        <w:widowControl/>
      </w:pPr>
      <w:r>
        <w:rPr>
          <w:rFonts w:ascii="Calibri" w:hAnsi="Calibri" w:eastAsia="Microsoft YaHei"/>
          <w:b/>
          <w:color w:val="1F4D78"/>
        </w:rPr>
        <w:t>反演与分析：</w:t>
      </w:r>
      <w:r>
        <w:rPr>
          <w:rFonts w:ascii="Calibri" w:hAnsi="Calibri" w:eastAsia="Microsoft YaHei"/>
        </w:rPr>
        <w:t>joint posterior；nuisance-parameter estimation；model consistency</w:t>
      </w:r>
    </w:p>
    <w:p>
      <w:pPr>
        <w:widowControl/>
      </w:pPr>
      <w:r>
        <w:rPr>
          <w:rFonts w:ascii="Calibri" w:hAnsi="Calibri" w:eastAsia="Microsoft YaHei"/>
          <w:b/>
          <w:color w:val="1F4D78"/>
        </w:rPr>
        <w:t>验证与应用：</w:t>
      </w:r>
      <w:r>
        <w:rPr>
          <w:rFonts w:ascii="Calibri" w:hAnsi="Calibri" w:eastAsia="Microsoft YaHei"/>
        </w:rPr>
        <w:t>论文在 Ohmic JET 等离子体上联合推断，展示诊断间一致性和系统参数估计。</w:t>
      </w:r>
    </w:p>
    <w:p>
      <w:pPr>
        <w:widowControl/>
      </w:pPr>
      <w:r>
        <w:rPr>
          <w:rFonts w:ascii="Calibri" w:hAnsi="Calibri" w:eastAsia="Microsoft YaHei"/>
          <w:b/>
          <w:color w:val="1F4D78"/>
        </w:rPr>
        <w:t>局限与边界：</w:t>
      </w:r>
      <w:r>
        <w:rPr>
          <w:rFonts w:ascii="Calibri" w:hAnsi="Calibri" w:eastAsia="Microsoft YaHei"/>
        </w:rPr>
        <w:t>SPECE 等高保真前向模型较慢；墙反射和非热分布模型简化，难以直接实时部署。</w:t>
      </w:r>
    </w:p>
    <w:tbl>
      <w:tblPr>
        <w:tblStyle w:val="TableGrid"/>
        <w:tblW w:type="dxa" w:w="9360"/>
        <w:jc w:val="left"/>
        <w:tblLayout w:type="fixed"/>
        <w:tblLook w:firstColumn="1" w:firstRow="1" w:lastColumn="0" w:lastRow="0" w:noHBand="0" w:noVBand="1" w:val="04A0"/>
        <w:tblInd w:w="120" w:type="dxa"/>
      </w:tblPr>
      <w:tblGrid>
        <w:gridCol w:w="9360"/>
      </w:tblGrid>
      <w:tr>
        <w:trPr>
          <w:cantSplit/>
        </w:trPr>
        <w:tc>
          <w:tcPr>
            <w:tcW w:type="dxa" w:w="9360"/>
            <w:tcMar>
              <w:top w:w="80" w:type="dxa"/>
              <w:bottom w:w="80" w:type="dxa"/>
              <w:start w:w="120" w:type="dxa"/>
              <w:end w:w="120" w:type="dxa"/>
            </w:tcMar>
            <w:vAlign w:val="center"/>
            <w:shd w:fill="EEF7F7"/>
          </w:tcPr>
          <w:p>
            <w:pPr>
              <w:keepNext/>
              <w:keepLines/>
              <w:spacing w:after="40"/>
            </w:pPr>
            <w:r>
              <w:rPr>
                <w:rFonts w:ascii="Calibri" w:hAnsi="Calibri" w:eastAsia="Microsoft YaHei"/>
                <w:b/>
                <w:color w:val="008C95"/>
                <w:sz w:val="17"/>
              </w:rPr>
              <w:t>DIGITAL-TWIN RELEVANCE</w:t>
            </w:r>
          </w:p>
          <w:p>
            <w:pPr>
              <w:spacing w:after="0"/>
            </w:pPr>
            <w:r>
              <w:rPr>
                <w:rFonts w:ascii="Calibri" w:hAnsi="Calibri" w:eastAsia="Microsoft YaHei"/>
                <w:color w:val="0B2545"/>
                <w:sz w:val="20"/>
              </w:rPr>
              <w:t>证明孪生必须把仪器环境参数与等离子体状态一起估计，而不能假设传感器响应恒定。</w:t>
            </w:r>
          </w:p>
        </w:tc>
      </w:tr>
    </w:tbl>
    <w:p>
      <w:pPr>
        <w:spacing w:after="40"/>
      </w:pPr>
    </w:p>
    <w:tbl>
      <w:tblPr>
        <w:tblStyle w:val="TableGrid"/>
        <w:tblW w:type="dxa" w:w="9360"/>
        <w:jc w:val="left"/>
        <w:tblLayout w:type="fixed"/>
        <w:tblLook w:firstColumn="1" w:firstRow="1" w:lastColumn="0" w:lastRow="0" w:noHBand="0" w:noVBand="1" w:val="04A0"/>
        <w:tblInd w:w="120" w:type="dxa"/>
      </w:tblPr>
      <w:tblGrid>
        <w:gridCol w:w="850"/>
        <w:gridCol w:w="2500"/>
        <w:gridCol w:w="1600"/>
        <w:gridCol w:w="2300"/>
        <w:gridCol w:w="2110"/>
      </w:tblGrid>
      <w:tr>
        <w:trPr>
          <w:tblHeader w:val="true"/>
        </w:trPr>
        <w:tc>
          <w:tcPr>
            <w:tcW w:type="dxa" w:w="8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年份/类型</w:t>
            </w:r>
          </w:p>
        </w:tc>
        <w:tc>
          <w:tcPr>
            <w:tcW w:type="dxa" w:w="25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论文或软件</w:t>
            </w:r>
          </w:p>
        </w:tc>
        <w:tc>
          <w:tcPr>
            <w:tcW w:type="dxa" w:w="16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期刊/开放性</w:t>
            </w:r>
          </w:p>
        </w:tc>
        <w:tc>
          <w:tcPr>
            <w:tcW w:type="dxa" w:w="23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来源类型/关系</w:t>
            </w:r>
          </w:p>
        </w:tc>
        <w:tc>
          <w:tcPr>
            <w:tcW w:type="dxa" w:w="211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链接</w:t>
            </w:r>
          </w:p>
        </w:tc>
      </w:tr>
      <w:tr>
        <w:trPr>
          <w:cantSplit/>
        </w:trPr>
        <w:tc>
          <w:tcPr>
            <w:tcW w:type="dxa" w:w="850"/>
          </w:tcPr>
          <w:p>
            <w:pPr>
              <w:keepLines/>
              <w:spacing w:after="0" w:line="276" w:lineRule="auto"/>
            </w:pPr>
            <w:r>
              <w:rPr>
                <w:rFonts w:ascii="Calibri" w:hAnsi="Calibri" w:eastAsia="Microsoft YaHei"/>
                <w:color w:val="0B2545"/>
                <w:sz w:val="14"/>
              </w:rPr>
              <w:t>2020</w:t>
            </w:r>
          </w:p>
        </w:tc>
        <w:tc>
          <w:tcPr>
            <w:tcW w:type="dxa" w:w="2500"/>
          </w:tcPr>
          <w:p>
            <w:pPr>
              <w:keepLines/>
              <w:spacing w:after="0" w:line="276" w:lineRule="auto"/>
            </w:pPr>
            <w:r>
              <w:rPr>
                <w:rFonts w:ascii="Calibri" w:hAnsi="Calibri" w:eastAsia="Microsoft YaHei"/>
                <w:color w:val="0B2545"/>
                <w:sz w:val="14"/>
              </w:rPr>
              <w:t>Bayesian inference using JET’s microwave diagnostic system</w:t>
            </w:r>
          </w:p>
        </w:tc>
        <w:tc>
          <w:tcPr>
            <w:tcW w:type="dxa" w:w="1600"/>
          </w:tcPr>
          <w:p>
            <w:pPr>
              <w:keepLines/>
              <w:spacing w:after="0" w:line="276" w:lineRule="auto"/>
            </w:pPr>
            <w:r>
              <w:rPr>
                <w:rFonts w:ascii="Calibri" w:hAnsi="Calibri" w:eastAsia="Microsoft YaHei"/>
                <w:color w:val="0B2545"/>
                <w:sz w:val="14"/>
              </w:rPr>
              <w:t>Nuclear Fusion</w:t>
            </w:r>
          </w:p>
        </w:tc>
        <w:tc>
          <w:tcPr>
            <w:tcW w:type="dxa" w:w="2300"/>
          </w:tcPr>
          <w:p>
            <w:pPr>
              <w:keepLines/>
              <w:spacing w:after="0" w:line="276" w:lineRule="auto"/>
            </w:pPr>
            <w:r>
              <w:rPr>
                <w:rFonts w:ascii="Calibri" w:hAnsi="Calibri" w:eastAsia="Microsoft YaHei"/>
                <w:color w:val="0B2545"/>
                <w:sz w:val="14"/>
              </w:rPr>
              <w:t>peer-reviewed primary device application</w:t>
            </w:r>
          </w:p>
        </w:tc>
        <w:tc>
          <w:tcPr>
            <w:tcW w:type="dxa" w:w="2110"/>
          </w:tcPr>
          <w:p>
            <w:pPr>
              <w:keepLines/>
              <w:spacing w:after="0" w:line="276" w:lineRule="auto"/>
            </w:pPr>
            <w:hyperlink r:id="rId199">
              <w:r>
                <w:rPr>
                  <w:rFonts w:ascii="Calibri" w:hAnsi="Calibri" w:eastAsia="Microsoft YaHei"/>
                  <w:color w:val="008C95"/>
                  <w:u w:val="single"/>
                </w:rPr>
                <w:t>打开原始来源 ↗</w:t>
              </w:r>
            </w:hyperlink>
          </w:p>
        </w:tc>
      </w:tr>
      <w:tr>
        <w:trPr>
          <w:cantSplit/>
        </w:trPr>
        <w:tc>
          <w:tcPr>
            <w:tcW w:type="dxa" w:w="850"/>
          </w:tcPr>
          <w:p>
            <w:pPr>
              <w:keepLines/>
              <w:spacing w:after="0" w:line="276" w:lineRule="auto"/>
            </w:pPr>
            <w:r>
              <w:rPr>
                <w:rFonts w:ascii="Calibri" w:hAnsi="Calibri" w:eastAsia="Microsoft YaHei"/>
                <w:color w:val="0B2545"/>
                <w:sz w:val="14"/>
              </w:rPr>
              <w:t>软件</w:t>
            </w:r>
          </w:p>
        </w:tc>
        <w:tc>
          <w:tcPr>
            <w:tcW w:type="dxa" w:w="2500"/>
          </w:tcPr>
          <w:p>
            <w:pPr>
              <w:keepLines/>
              <w:spacing w:after="0" w:line="276" w:lineRule="auto"/>
            </w:pPr>
            <w:r>
              <w:rPr>
                <w:rFonts w:ascii="Calibri" w:hAnsi="Calibri" w:eastAsia="Microsoft YaHei"/>
                <w:color w:val="0B2545"/>
                <w:sz w:val="14"/>
              </w:rPr>
              <w:t>JET Minerva microwave workflow</w:t>
            </w:r>
          </w:p>
        </w:tc>
        <w:tc>
          <w:tcPr>
            <w:tcW w:type="dxa" w:w="1600"/>
          </w:tcPr>
          <w:p>
            <w:pPr>
              <w:keepLines/>
              <w:spacing w:after="0" w:line="276" w:lineRule="auto"/>
            </w:pPr>
            <w:r>
              <w:rPr>
                <w:rFonts w:ascii="Calibri" w:hAnsi="Calibri" w:eastAsia="Microsoft YaHei"/>
                <w:color w:val="0B2545"/>
                <w:sz w:val="14"/>
              </w:rPr>
              <w:t>not-public</w:t>
            </w:r>
          </w:p>
        </w:tc>
        <w:tc>
          <w:tcPr>
            <w:tcW w:type="dxa" w:w="2300"/>
          </w:tcPr>
          <w:p>
            <w:pPr>
              <w:keepLines/>
              <w:spacing w:after="0" w:line="276" w:lineRule="auto"/>
            </w:pPr>
            <w:r>
              <w:rPr>
                <w:rFonts w:ascii="Calibri" w:hAnsi="Calibri" w:eastAsia="Microsoft YaHei"/>
                <w:color w:val="0B2545"/>
                <w:sz w:val="14"/>
              </w:rPr>
              <w:t>论文所用联合推断与装置接口未公开。</w:t>
            </w:r>
          </w:p>
        </w:tc>
        <w:tc>
          <w:tcPr>
            <w:tcW w:type="dxa" w:w="2110"/>
          </w:tcPr>
          <w:p>
            <w:pPr>
              <w:keepLines/>
              <w:spacing w:after="0" w:line="276" w:lineRule="auto"/>
            </w:pPr>
            <w:r>
              <w:rPr>
                <w:rFonts w:ascii="Calibri" w:hAnsi="Calibri" w:eastAsia="Microsoft YaHei"/>
                <w:color w:val="0B2545"/>
                <w:sz w:val="14"/>
              </w:rPr>
              <w:t>未公开</w:t>
            </w:r>
          </w:p>
        </w:tc>
      </w:tr>
      <w:tr>
        <w:trPr>
          <w:cantSplit/>
        </w:trPr>
        <w:tc>
          <w:tcPr>
            <w:tcW w:type="dxa" w:w="850"/>
          </w:tcPr>
          <w:p>
            <w:pPr>
              <w:keepLines/>
              <w:spacing w:after="0" w:line="276" w:lineRule="auto"/>
            </w:pPr>
            <w:r>
              <w:rPr>
                <w:rFonts w:ascii="Calibri" w:hAnsi="Calibri" w:eastAsia="Microsoft YaHei"/>
                <w:color w:val="0B2545"/>
                <w:sz w:val="14"/>
              </w:rPr>
              <w:t>软件</w:t>
            </w:r>
          </w:p>
        </w:tc>
        <w:tc>
          <w:tcPr>
            <w:tcW w:type="dxa" w:w="2500"/>
          </w:tcPr>
          <w:p>
            <w:pPr>
              <w:keepLines/>
              <w:spacing w:after="0" w:line="276" w:lineRule="auto"/>
            </w:pPr>
            <w:r>
              <w:rPr>
                <w:rFonts w:ascii="Calibri" w:hAnsi="Calibri" w:eastAsia="Microsoft YaHei"/>
                <w:color w:val="0B2545"/>
                <w:sz w:val="14"/>
              </w:rPr>
              <w:t>SPECE</w:t>
            </w:r>
          </w:p>
        </w:tc>
        <w:tc>
          <w:tcPr>
            <w:tcW w:type="dxa" w:w="1600"/>
          </w:tcPr>
          <w:p>
            <w:pPr>
              <w:keepLines/>
              <w:spacing w:after="0" w:line="276" w:lineRule="auto"/>
            </w:pPr>
            <w:r>
              <w:rPr>
                <w:rFonts w:ascii="Calibri" w:hAnsi="Calibri" w:eastAsia="Microsoft YaHei"/>
                <w:color w:val="0B2545"/>
                <w:sz w:val="14"/>
              </w:rPr>
              <w:t>not-public</w:t>
            </w:r>
          </w:p>
        </w:tc>
        <w:tc>
          <w:tcPr>
            <w:tcW w:type="dxa" w:w="2300"/>
          </w:tcPr>
          <w:p>
            <w:pPr>
              <w:keepLines/>
              <w:spacing w:after="0" w:line="276" w:lineRule="auto"/>
            </w:pPr>
            <w:r>
              <w:rPr>
                <w:rFonts w:ascii="Calibri" w:hAnsi="Calibri" w:eastAsia="Microsoft YaHei"/>
                <w:color w:val="0B2545"/>
                <w:sz w:val="14"/>
              </w:rPr>
              <w:t>ECE 前向模型作为 enabling 组件；未核验公共仓库。</w:t>
            </w:r>
          </w:p>
        </w:tc>
        <w:tc>
          <w:tcPr>
            <w:tcW w:type="dxa" w:w="2110"/>
          </w:tcPr>
          <w:p>
            <w:pPr>
              <w:keepLines/>
              <w:spacing w:after="0" w:line="276" w:lineRule="auto"/>
            </w:pPr>
            <w:r>
              <w:rPr>
                <w:rFonts w:ascii="Calibri" w:hAnsi="Calibri" w:eastAsia="Microsoft YaHei"/>
                <w:color w:val="0B2545"/>
                <w:sz w:val="14"/>
              </w:rPr>
              <w:t>未公开</w:t>
            </w:r>
          </w:p>
        </w:tc>
      </w:tr>
    </w:tbl>
    <w:p>
      <w:pPr>
        <w:spacing w:before="0" w:after="60"/>
      </w:pPr>
    </w:p>
    <w:p>
      <w:pPr>
        <w:pStyle w:val="Heading3"/>
        <w:keepNext/>
      </w:pPr>
      <w:r>
        <w:t>DG10.05  Tomotok 辐射层析 Python 工具包</w:t>
      </w:r>
    </w:p>
    <w:p>
      <w:pPr>
        <w:keepNext/>
        <w:spacing w:after="80"/>
      </w:pPr>
      <w:r>
        <w:rPr>
          <w:rFonts w:ascii="Calibri" w:hAnsi="Calibri" w:eastAsia="Microsoft YaHei"/>
          <w:i/>
          <w:color w:val="566573"/>
          <w:sz w:val="18"/>
        </w:rPr>
        <w:t>Tomotok Python Package for Tokamak Radiation Tomography</w:t>
      </w:r>
    </w:p>
    <w:tbl>
      <w:tblPr>
        <w:tblStyle w:val="TableGrid"/>
        <w:tblW w:type="dxa" w:w="9360"/>
        <w:jc w:val="left"/>
        <w:tblLayout w:type="fixed"/>
        <w:tblLook w:firstColumn="1" w:firstRow="1" w:lastColumn="0" w:lastRow="0" w:noHBand="0" w:noVBand="1" w:val="04A0"/>
        <w:tblInd w:w="120" w:type="dxa"/>
      </w:tblPr>
      <w:tblGrid>
        <w:gridCol w:w="1200"/>
        <w:gridCol w:w="750"/>
        <w:gridCol w:w="750"/>
        <w:gridCol w:w="2100"/>
        <w:gridCol w:w="4560"/>
      </w:tblGrid>
      <w:tr>
        <w:trPr>
          <w:tblHeader w:val="true"/>
        </w:trPr>
        <w:tc>
          <w:tcPr>
            <w:tcW w:type="dxa" w:w="12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工作 ID</w:t>
            </w:r>
          </w:p>
        </w:tc>
        <w:tc>
          <w:tcPr>
            <w:tcW w:type="dxa" w:w="7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证据</w:t>
            </w:r>
          </w:p>
        </w:tc>
        <w:tc>
          <w:tcPr>
            <w:tcW w:type="dxa" w:w="7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部署</w:t>
            </w:r>
          </w:p>
        </w:tc>
        <w:tc>
          <w:tcPr>
            <w:tcW w:type="dxa" w:w="21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技术族</w:t>
            </w:r>
          </w:p>
        </w:tc>
        <w:tc>
          <w:tcPr>
            <w:tcW w:type="dxa" w:w="456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装置</w:t>
            </w:r>
          </w:p>
        </w:tc>
      </w:tr>
      <w:tr>
        <w:trPr>
          <w:cantSplit/>
        </w:trPr>
        <w:tc>
          <w:tcPr>
            <w:tcW w:type="dxa" w:w="1200"/>
          </w:tcPr>
          <w:p>
            <w:pPr>
              <w:keepLines/>
              <w:spacing w:after="0" w:line="276" w:lineRule="auto"/>
            </w:pPr>
            <w:r>
              <w:rPr>
                <w:rFonts w:ascii="Calibri" w:hAnsi="Calibri" w:eastAsia="Microsoft YaHei"/>
                <w:color w:val="0B2545"/>
                <w:sz w:val="15"/>
              </w:rPr>
              <w:t>DSI-026</w:t>
            </w:r>
          </w:p>
        </w:tc>
        <w:tc>
          <w:tcPr>
            <w:tcW w:type="dxa" w:w="750"/>
          </w:tcPr>
          <w:p>
            <w:pPr>
              <w:keepLines/>
              <w:spacing w:after="0" w:line="276" w:lineRule="auto"/>
            </w:pPr>
            <w:r>
              <w:rPr>
                <w:rFonts w:ascii="Calibri" w:hAnsi="Calibri" w:eastAsia="Microsoft YaHei"/>
                <w:color w:val="0B2545"/>
                <w:sz w:val="15"/>
              </w:rPr>
              <w:t>E2</w:t>
            </w:r>
          </w:p>
        </w:tc>
        <w:tc>
          <w:tcPr>
            <w:tcW w:type="dxa" w:w="750"/>
          </w:tcPr>
          <w:p>
            <w:pPr>
              <w:keepLines/>
              <w:spacing w:after="0" w:line="276" w:lineRule="auto"/>
            </w:pPr>
            <w:r>
              <w:rPr>
                <w:rFonts w:ascii="Calibri" w:hAnsi="Calibri" w:eastAsia="Microsoft YaHei"/>
                <w:color w:val="0B2545"/>
                <w:sz w:val="15"/>
              </w:rPr>
              <w:t>D2</w:t>
            </w:r>
          </w:p>
        </w:tc>
        <w:tc>
          <w:tcPr>
            <w:tcW w:type="dxa" w:w="2100"/>
          </w:tcPr>
          <w:p>
            <w:pPr>
              <w:keepLines/>
              <w:spacing w:after="0" w:line="276" w:lineRule="auto"/>
            </w:pPr>
            <w:r>
              <w:rPr>
                <w:rFonts w:ascii="Calibri" w:hAnsi="Calibri" w:eastAsia="Microsoft YaHei"/>
                <w:color w:val="0B2545"/>
                <w:sz w:val="15"/>
              </w:rPr>
              <w:t>COMPUTATIONAL</w:t>
            </w:r>
          </w:p>
        </w:tc>
        <w:tc>
          <w:tcPr>
            <w:tcW w:type="dxa" w:w="4560"/>
          </w:tcPr>
          <w:p>
            <w:pPr>
              <w:keepLines/>
              <w:spacing w:after="0" w:line="276" w:lineRule="auto"/>
            </w:pPr>
            <w:r>
              <w:rPr>
                <w:rFonts w:ascii="Calibri" w:hAnsi="Calibri" w:eastAsia="Microsoft YaHei"/>
                <w:color w:val="0B2545"/>
                <w:sz w:val="15"/>
              </w:rPr>
              <w:t>COMPASS and generic tokamaks</w:t>
            </w:r>
          </w:p>
        </w:tc>
      </w:tr>
    </w:tbl>
    <w:p>
      <w:pPr>
        <w:spacing w:before="0" w:after="60"/>
      </w:pPr>
    </w:p>
    <w:p>
      <w:pPr>
        <w:widowControl/>
      </w:pPr>
      <w:r>
        <w:rPr>
          <w:rFonts w:ascii="Calibri" w:hAnsi="Calibri" w:eastAsia="Microsoft YaHei"/>
          <w:b/>
          <w:color w:val="1F4D78"/>
        </w:rPr>
        <w:t>解决问题：</w:t>
      </w:r>
      <w:r>
        <w:rPr>
          <w:rFonts w:ascii="Calibri" w:hAnsi="Calibri" w:eastAsia="Microsoft YaHei"/>
        </w:rPr>
        <w:t>不同装置辐射层析需要可复用的几何接口、多个正则化算法和一致基准，而不是不可维护的单次脚本。</w:t>
      </w:r>
    </w:p>
    <w:p>
      <w:pPr>
        <w:widowControl/>
      </w:pPr>
      <w:r>
        <w:rPr>
          <w:rFonts w:ascii="Calibri" w:hAnsi="Calibri" w:eastAsia="Microsoft YaHei"/>
          <w:b/>
          <w:color w:val="1F4D78"/>
        </w:rPr>
        <w:t>测量原理：</w:t>
      </w:r>
      <w:r>
        <w:rPr>
          <w:rFonts w:ascii="Calibri" w:hAnsi="Calibri" w:eastAsia="Microsoft YaHei"/>
        </w:rPr>
        <w:t>给定通道几何矩阵与测量向量，用多种线性正则化方法重建二维发射率，并提供合成测试。</w:t>
      </w:r>
    </w:p>
    <w:p>
      <w:pPr>
        <w:widowControl/>
      </w:pPr>
      <w:r>
        <w:rPr>
          <w:rFonts w:ascii="Calibri" w:hAnsi="Calibri" w:eastAsia="Microsoft YaHei"/>
          <w:b/>
          <w:color w:val="1F4D78"/>
        </w:rPr>
        <w:t>测量产品：</w:t>
      </w:r>
      <w:r>
        <w:rPr>
          <w:rFonts w:ascii="Calibri" w:hAnsi="Calibri" w:eastAsia="Microsoft YaHei"/>
        </w:rPr>
        <w:t>2D emissivity；regularisation parameter；reprojection residual</w:t>
      </w:r>
    </w:p>
    <w:p>
      <w:pPr>
        <w:widowControl/>
      </w:pPr>
      <w:r>
        <w:rPr>
          <w:rFonts w:ascii="Calibri" w:hAnsi="Calibri" w:eastAsia="Microsoft YaHei"/>
          <w:b/>
          <w:color w:val="1F4D78"/>
        </w:rPr>
        <w:t>时空分辨与覆盖：</w:t>
      </w:r>
      <w:r>
        <w:rPr>
          <w:rFonts w:ascii="Calibri" w:hAnsi="Calibri" w:eastAsia="Microsoft YaHei"/>
        </w:rPr>
        <w:t>时间：因装置、采集和分析链而异；原始来源未给出统一数值。；空间：由视线、几何和反演设定；原始来源未给出统一数值。</w:t>
      </w:r>
    </w:p>
    <w:p>
      <w:pPr>
        <w:widowControl/>
      </w:pPr>
      <w:r>
        <w:rPr>
          <w:rFonts w:ascii="Calibri" w:hAnsi="Calibri" w:eastAsia="Microsoft YaHei"/>
          <w:b/>
          <w:color w:val="1F4D78"/>
        </w:rPr>
        <w:t>仪器与传感器：</w:t>
      </w:r>
      <w:r>
        <w:rPr>
          <w:rFonts w:ascii="Calibri" w:hAnsi="Calibri" w:eastAsia="Microsoft YaHei"/>
        </w:rPr>
        <w:t>bolometer/SXR arrays</w:t>
      </w:r>
    </w:p>
    <w:p>
      <w:pPr>
        <w:widowControl/>
      </w:pPr>
      <w:r>
        <w:rPr>
          <w:rFonts w:ascii="Calibri" w:hAnsi="Calibri" w:eastAsia="Microsoft YaHei"/>
          <w:b/>
          <w:color w:val="1F4D78"/>
        </w:rPr>
        <w:t>标定与质量：</w:t>
      </w:r>
      <w:r>
        <w:rPr>
          <w:rFonts w:ascii="Calibri" w:hAnsi="Calibri" w:eastAsia="Microsoft YaHei"/>
        </w:rPr>
        <w:t>输入必须包含通道增益、噪声、坏道和几何；工具不提供绝对辐射校准。</w:t>
      </w:r>
    </w:p>
    <w:p>
      <w:pPr>
        <w:widowControl/>
      </w:pPr>
      <w:r>
        <w:rPr>
          <w:rFonts w:ascii="Calibri" w:hAnsi="Calibri" w:eastAsia="Microsoft YaHei"/>
          <w:b/>
          <w:color w:val="1F4D78"/>
        </w:rPr>
        <w:t>反演与分析：</w:t>
      </w:r>
      <w:r>
        <w:rPr>
          <w:rFonts w:ascii="Calibri" w:hAnsi="Calibri" w:eastAsia="Microsoft YaHei"/>
        </w:rPr>
        <w:t>linear tomography；regularisation；reprojection</w:t>
      </w:r>
    </w:p>
    <w:p>
      <w:pPr>
        <w:widowControl/>
      </w:pPr>
      <w:r>
        <w:rPr>
          <w:rFonts w:ascii="Calibri" w:hAnsi="Calibri" w:eastAsia="Microsoft YaHei"/>
          <w:b/>
          <w:color w:val="1F4D78"/>
        </w:rPr>
        <w:t>验证与应用：</w:t>
      </w:r>
      <w:r>
        <w:rPr>
          <w:rFonts w:ascii="Calibri" w:hAnsi="Calibri" w:eastAsia="Microsoft YaHei"/>
        </w:rPr>
        <w:t>论文描述包结构与算法；官方仓库含测试、几何和合成示例。</w:t>
      </w:r>
    </w:p>
    <w:p>
      <w:pPr>
        <w:widowControl/>
      </w:pPr>
      <w:r>
        <w:rPr>
          <w:rFonts w:ascii="Calibri" w:hAnsi="Calibri" w:eastAsia="Microsoft YaHei"/>
          <w:b/>
          <w:color w:val="1F4D78"/>
        </w:rPr>
        <w:t>局限与边界：</w:t>
      </w:r>
      <w:r>
        <w:rPr>
          <w:rFonts w:ascii="Calibri" w:hAnsi="Calibri" w:eastAsia="Microsoft YaHei"/>
        </w:rPr>
        <w:t>主要是线性二维层析；复杂 3D、非高斯误差、反射和完整不确定度需扩展。</w:t>
      </w:r>
    </w:p>
    <w:tbl>
      <w:tblPr>
        <w:tblStyle w:val="TableGrid"/>
        <w:tblW w:type="dxa" w:w="9360"/>
        <w:jc w:val="left"/>
        <w:tblLayout w:type="fixed"/>
        <w:tblLook w:firstColumn="1" w:firstRow="1" w:lastColumn="0" w:lastRow="0" w:noHBand="0" w:noVBand="1" w:val="04A0"/>
        <w:tblInd w:w="120" w:type="dxa"/>
      </w:tblPr>
      <w:tblGrid>
        <w:gridCol w:w="9360"/>
      </w:tblGrid>
      <w:tr>
        <w:trPr>
          <w:cantSplit/>
        </w:trPr>
        <w:tc>
          <w:tcPr>
            <w:tcW w:type="dxa" w:w="9360"/>
            <w:tcMar>
              <w:top w:w="80" w:type="dxa"/>
              <w:bottom w:w="80" w:type="dxa"/>
              <w:start w:w="120" w:type="dxa"/>
              <w:end w:w="120" w:type="dxa"/>
            </w:tcMar>
            <w:vAlign w:val="center"/>
            <w:shd w:fill="EEF7F7"/>
          </w:tcPr>
          <w:p>
            <w:pPr>
              <w:keepNext/>
              <w:keepLines/>
              <w:spacing w:after="40"/>
            </w:pPr>
            <w:r>
              <w:rPr>
                <w:rFonts w:ascii="Calibri" w:hAnsi="Calibri" w:eastAsia="Microsoft YaHei"/>
                <w:b/>
                <w:color w:val="008C95"/>
                <w:sz w:val="17"/>
              </w:rPr>
              <w:t>DIGITAL-TWIN RELEVANCE</w:t>
            </w:r>
          </w:p>
          <w:p>
            <w:pPr>
              <w:spacing w:after="0"/>
            </w:pPr>
            <w:r>
              <w:rPr>
                <w:rFonts w:ascii="Calibri" w:hAnsi="Calibri" w:eastAsia="Microsoft YaHei"/>
                <w:color w:val="0B2545"/>
                <w:sz w:val="20"/>
              </w:rPr>
              <w:t>适合建立可测试的层析基线和重投影残差监控，但不是全状态估计器。</w:t>
            </w:r>
          </w:p>
        </w:tc>
      </w:tr>
    </w:tbl>
    <w:p>
      <w:pPr>
        <w:spacing w:after="40"/>
      </w:pPr>
    </w:p>
    <w:tbl>
      <w:tblPr>
        <w:tblStyle w:val="TableGrid"/>
        <w:tblW w:type="dxa" w:w="9360"/>
        <w:jc w:val="left"/>
        <w:tblLayout w:type="fixed"/>
        <w:tblLook w:firstColumn="1" w:firstRow="1" w:lastColumn="0" w:lastRow="0" w:noHBand="0" w:noVBand="1" w:val="04A0"/>
        <w:tblInd w:w="120" w:type="dxa"/>
      </w:tblPr>
      <w:tblGrid>
        <w:gridCol w:w="850"/>
        <w:gridCol w:w="2500"/>
        <w:gridCol w:w="1600"/>
        <w:gridCol w:w="2300"/>
        <w:gridCol w:w="2110"/>
      </w:tblGrid>
      <w:tr>
        <w:trPr>
          <w:tblHeader w:val="true"/>
        </w:trPr>
        <w:tc>
          <w:tcPr>
            <w:tcW w:type="dxa" w:w="8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年份/类型</w:t>
            </w:r>
          </w:p>
        </w:tc>
        <w:tc>
          <w:tcPr>
            <w:tcW w:type="dxa" w:w="25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论文或软件</w:t>
            </w:r>
          </w:p>
        </w:tc>
        <w:tc>
          <w:tcPr>
            <w:tcW w:type="dxa" w:w="16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期刊/开放性</w:t>
            </w:r>
          </w:p>
        </w:tc>
        <w:tc>
          <w:tcPr>
            <w:tcW w:type="dxa" w:w="23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来源类型/关系</w:t>
            </w:r>
          </w:p>
        </w:tc>
        <w:tc>
          <w:tcPr>
            <w:tcW w:type="dxa" w:w="211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链接</w:t>
            </w:r>
          </w:p>
        </w:tc>
      </w:tr>
      <w:tr>
        <w:trPr>
          <w:cantSplit/>
        </w:trPr>
        <w:tc>
          <w:tcPr>
            <w:tcW w:type="dxa" w:w="850"/>
          </w:tcPr>
          <w:p>
            <w:pPr>
              <w:keepLines/>
              <w:spacing w:after="0" w:line="276" w:lineRule="auto"/>
            </w:pPr>
            <w:r>
              <w:rPr>
                <w:rFonts w:ascii="Calibri" w:hAnsi="Calibri" w:eastAsia="Microsoft YaHei"/>
                <w:color w:val="0B2545"/>
                <w:sz w:val="14"/>
              </w:rPr>
              <w:t>2021</w:t>
            </w:r>
          </w:p>
        </w:tc>
        <w:tc>
          <w:tcPr>
            <w:tcW w:type="dxa" w:w="2500"/>
          </w:tcPr>
          <w:p>
            <w:pPr>
              <w:keepLines/>
              <w:spacing w:after="0" w:line="276" w:lineRule="auto"/>
            </w:pPr>
            <w:r>
              <w:rPr>
                <w:rFonts w:ascii="Calibri" w:hAnsi="Calibri" w:eastAsia="Microsoft YaHei"/>
                <w:color w:val="0B2545"/>
                <w:sz w:val="14"/>
              </w:rPr>
              <w:t>Tomotok: python package for tomography of tokamak plasma radiation</w:t>
            </w:r>
          </w:p>
        </w:tc>
        <w:tc>
          <w:tcPr>
            <w:tcW w:type="dxa" w:w="1600"/>
          </w:tcPr>
          <w:p>
            <w:pPr>
              <w:keepLines/>
              <w:spacing w:after="0" w:line="276" w:lineRule="auto"/>
            </w:pPr>
            <w:r>
              <w:rPr>
                <w:rFonts w:ascii="Calibri" w:hAnsi="Calibri" w:eastAsia="Microsoft YaHei"/>
                <w:color w:val="0B2545"/>
                <w:sz w:val="14"/>
              </w:rPr>
              <w:t>Journal of Instrumentation</w:t>
            </w:r>
          </w:p>
        </w:tc>
        <w:tc>
          <w:tcPr>
            <w:tcW w:type="dxa" w:w="2300"/>
          </w:tcPr>
          <w:p>
            <w:pPr>
              <w:keepLines/>
              <w:spacing w:after="0" w:line="276" w:lineRule="auto"/>
            </w:pPr>
            <w:r>
              <w:rPr>
                <w:rFonts w:ascii="Calibri" w:hAnsi="Calibri" w:eastAsia="Microsoft YaHei"/>
                <w:color w:val="0B2545"/>
                <w:sz w:val="14"/>
              </w:rPr>
              <w:t>peer-reviewed primary software report</w:t>
            </w:r>
          </w:p>
        </w:tc>
        <w:tc>
          <w:tcPr>
            <w:tcW w:type="dxa" w:w="2110"/>
          </w:tcPr>
          <w:p>
            <w:pPr>
              <w:keepLines/>
              <w:spacing w:after="0" w:line="276" w:lineRule="auto"/>
            </w:pPr>
            <w:hyperlink r:id="rId200">
              <w:r>
                <w:rPr>
                  <w:rFonts w:ascii="Calibri" w:hAnsi="Calibri" w:eastAsia="Microsoft YaHei"/>
                  <w:color w:val="008C95"/>
                  <w:u w:val="single"/>
                </w:rPr>
                <w:t>打开原始来源 ↗</w:t>
              </w:r>
            </w:hyperlink>
          </w:p>
        </w:tc>
      </w:tr>
      <w:tr>
        <w:trPr>
          <w:cantSplit/>
        </w:trPr>
        <w:tc>
          <w:tcPr>
            <w:tcW w:type="dxa" w:w="850"/>
          </w:tcPr>
          <w:p>
            <w:pPr>
              <w:keepLines/>
              <w:spacing w:after="0" w:line="276" w:lineRule="auto"/>
            </w:pPr>
            <w:r>
              <w:rPr>
                <w:rFonts w:ascii="Calibri" w:hAnsi="Calibri" w:eastAsia="Microsoft YaHei"/>
                <w:color w:val="0B2545"/>
                <w:sz w:val="14"/>
              </w:rPr>
              <w:t>软件</w:t>
            </w:r>
          </w:p>
        </w:tc>
        <w:tc>
          <w:tcPr>
            <w:tcW w:type="dxa" w:w="2500"/>
          </w:tcPr>
          <w:p>
            <w:pPr>
              <w:keepLines/>
              <w:spacing w:after="0" w:line="276" w:lineRule="auto"/>
            </w:pPr>
            <w:r>
              <w:rPr>
                <w:rFonts w:ascii="Calibri" w:hAnsi="Calibri" w:eastAsia="Microsoft YaHei"/>
                <w:color w:val="0B2545"/>
                <w:sz w:val="14"/>
              </w:rPr>
              <w:t>Tomotok</w:t>
            </w:r>
          </w:p>
        </w:tc>
        <w:tc>
          <w:tcPr>
            <w:tcW w:type="dxa" w:w="1600"/>
          </w:tcPr>
          <w:p>
            <w:pPr>
              <w:keepLines/>
              <w:spacing w:after="0" w:line="276" w:lineRule="auto"/>
            </w:pPr>
            <w:r>
              <w:rPr>
                <w:rFonts w:ascii="Calibri" w:hAnsi="Calibri" w:eastAsia="Microsoft YaHei"/>
                <w:color w:val="0B2545"/>
                <w:sz w:val="14"/>
              </w:rPr>
              <w:t>official-direct</w:t>
            </w:r>
          </w:p>
        </w:tc>
        <w:tc>
          <w:tcPr>
            <w:tcW w:type="dxa" w:w="2300"/>
          </w:tcPr>
          <w:p>
            <w:pPr>
              <w:keepLines/>
              <w:spacing w:after="0" w:line="276" w:lineRule="auto"/>
            </w:pPr>
            <w:r>
              <w:rPr>
                <w:rFonts w:ascii="Calibri" w:hAnsi="Calibri" w:eastAsia="Microsoft YaHei"/>
                <w:color w:val="0B2545"/>
                <w:sz w:val="14"/>
              </w:rPr>
              <w:t>作者团队公开的核心仓库。</w:t>
            </w:r>
          </w:p>
        </w:tc>
        <w:tc>
          <w:tcPr>
            <w:tcW w:type="dxa" w:w="2110"/>
          </w:tcPr>
          <w:p>
            <w:pPr>
              <w:keepLines/>
              <w:spacing w:after="0" w:line="276" w:lineRule="auto"/>
            </w:pPr>
            <w:hyperlink r:id="rId201">
              <w:r>
                <w:rPr>
                  <w:rFonts w:ascii="Calibri" w:hAnsi="Calibri" w:eastAsia="Microsoft YaHei"/>
                  <w:color w:val="008C95"/>
                  <w:u w:val="single"/>
                </w:rPr>
                <w:t>打开原始来源 ↗</w:t>
              </w:r>
            </w:hyperlink>
          </w:p>
        </w:tc>
      </w:tr>
    </w:tbl>
    <w:p>
      <w:pPr>
        <w:spacing w:before="0" w:after="60"/>
      </w:pPr>
    </w:p>
    <w:p>
      <w:pPr>
        <w:pStyle w:val="Heading3"/>
        <w:keepNext/>
      </w:pPr>
      <w:r>
        <w:t>DG10.06  快离子速度空间贝叶斯层析</w:t>
      </w:r>
    </w:p>
    <w:p>
      <w:pPr>
        <w:keepNext/>
        <w:spacing w:after="80"/>
      </w:pPr>
      <w:r>
        <w:rPr>
          <w:rFonts w:ascii="Calibri" w:hAnsi="Calibri" w:eastAsia="Microsoft YaHei"/>
          <w:i/>
          <w:color w:val="566573"/>
          <w:sz w:val="18"/>
        </w:rPr>
        <w:t>Bayesian Velocity-Space Tomography of Fast Ions</w:t>
      </w:r>
    </w:p>
    <w:tbl>
      <w:tblPr>
        <w:tblStyle w:val="TableGrid"/>
        <w:tblW w:type="dxa" w:w="9360"/>
        <w:jc w:val="left"/>
        <w:tblLayout w:type="fixed"/>
        <w:tblLook w:firstColumn="1" w:firstRow="1" w:lastColumn="0" w:lastRow="0" w:noHBand="0" w:noVBand="1" w:val="04A0"/>
        <w:tblInd w:w="120" w:type="dxa"/>
      </w:tblPr>
      <w:tblGrid>
        <w:gridCol w:w="1200"/>
        <w:gridCol w:w="750"/>
        <w:gridCol w:w="750"/>
        <w:gridCol w:w="2100"/>
        <w:gridCol w:w="4560"/>
      </w:tblGrid>
      <w:tr>
        <w:trPr>
          <w:tblHeader w:val="true"/>
        </w:trPr>
        <w:tc>
          <w:tcPr>
            <w:tcW w:type="dxa" w:w="12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工作 ID</w:t>
            </w:r>
          </w:p>
        </w:tc>
        <w:tc>
          <w:tcPr>
            <w:tcW w:type="dxa" w:w="7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证据</w:t>
            </w:r>
          </w:p>
        </w:tc>
        <w:tc>
          <w:tcPr>
            <w:tcW w:type="dxa" w:w="7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部署</w:t>
            </w:r>
          </w:p>
        </w:tc>
        <w:tc>
          <w:tcPr>
            <w:tcW w:type="dxa" w:w="21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技术族</w:t>
            </w:r>
          </w:p>
        </w:tc>
        <w:tc>
          <w:tcPr>
            <w:tcW w:type="dxa" w:w="456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装置</w:t>
            </w:r>
          </w:p>
        </w:tc>
      </w:tr>
      <w:tr>
        <w:trPr>
          <w:cantSplit/>
        </w:trPr>
        <w:tc>
          <w:tcPr>
            <w:tcW w:type="dxa" w:w="1200"/>
          </w:tcPr>
          <w:p>
            <w:pPr>
              <w:keepLines/>
              <w:spacing w:after="0" w:line="276" w:lineRule="auto"/>
            </w:pPr>
            <w:r>
              <w:rPr>
                <w:rFonts w:ascii="Calibri" w:hAnsi="Calibri" w:eastAsia="Microsoft YaHei"/>
                <w:color w:val="0B2545"/>
                <w:sz w:val="15"/>
              </w:rPr>
              <w:t>DSI-027</w:t>
            </w:r>
          </w:p>
        </w:tc>
        <w:tc>
          <w:tcPr>
            <w:tcW w:type="dxa" w:w="750"/>
          </w:tcPr>
          <w:p>
            <w:pPr>
              <w:keepLines/>
              <w:spacing w:after="0" w:line="276" w:lineRule="auto"/>
            </w:pPr>
            <w:r>
              <w:rPr>
                <w:rFonts w:ascii="Calibri" w:hAnsi="Calibri" w:eastAsia="Microsoft YaHei"/>
                <w:color w:val="0B2545"/>
                <w:sz w:val="15"/>
              </w:rPr>
              <w:t>E3</w:t>
            </w:r>
          </w:p>
        </w:tc>
        <w:tc>
          <w:tcPr>
            <w:tcW w:type="dxa" w:w="750"/>
          </w:tcPr>
          <w:p>
            <w:pPr>
              <w:keepLines/>
              <w:spacing w:after="0" w:line="276" w:lineRule="auto"/>
            </w:pPr>
            <w:r>
              <w:rPr>
                <w:rFonts w:ascii="Calibri" w:hAnsi="Calibri" w:eastAsia="Microsoft YaHei"/>
                <w:color w:val="0B2545"/>
                <w:sz w:val="15"/>
              </w:rPr>
              <w:t>D2</w:t>
            </w:r>
          </w:p>
        </w:tc>
        <w:tc>
          <w:tcPr>
            <w:tcW w:type="dxa" w:w="2100"/>
          </w:tcPr>
          <w:p>
            <w:pPr>
              <w:keepLines/>
              <w:spacing w:after="0" w:line="276" w:lineRule="auto"/>
            </w:pPr>
            <w:r>
              <w:rPr>
                <w:rFonts w:ascii="Calibri" w:hAnsi="Calibri" w:eastAsia="Microsoft YaHei"/>
                <w:color w:val="0B2545"/>
                <w:sz w:val="15"/>
              </w:rPr>
              <w:t>NUCLEAR_PARTICLE</w:t>
            </w:r>
          </w:p>
        </w:tc>
        <w:tc>
          <w:tcPr>
            <w:tcW w:type="dxa" w:w="4560"/>
          </w:tcPr>
          <w:p>
            <w:pPr>
              <w:keepLines/>
              <w:spacing w:after="0" w:line="276" w:lineRule="auto"/>
            </w:pPr>
            <w:r>
              <w:rPr>
                <w:rFonts w:ascii="Calibri" w:hAnsi="Calibri" w:eastAsia="Microsoft YaHei"/>
                <w:color w:val="0B2545"/>
                <w:sz w:val="15"/>
              </w:rPr>
              <w:t>ASDEX Upgrade；JET</w:t>
            </w:r>
          </w:p>
        </w:tc>
      </w:tr>
    </w:tbl>
    <w:p>
      <w:pPr>
        <w:spacing w:before="0" w:after="60"/>
      </w:pPr>
    </w:p>
    <w:p>
      <w:pPr>
        <w:widowControl/>
      </w:pPr>
      <w:r>
        <w:rPr>
          <w:rFonts w:ascii="Calibri" w:hAnsi="Calibri" w:eastAsia="Microsoft YaHei"/>
          <w:b/>
          <w:color w:val="1F4D78"/>
        </w:rPr>
        <w:t>解决问题：</w:t>
      </w:r>
      <w:r>
        <w:rPr>
          <w:rFonts w:ascii="Calibri" w:hAnsi="Calibri" w:eastAsia="Microsoft YaHei"/>
        </w:rPr>
        <w:t>FIDA、CTS、NPA、γ/中子谱等只投影快离子速度空间的一部分，单诊断反演严重欠定。</w:t>
      </w:r>
    </w:p>
    <w:p>
      <w:pPr>
        <w:widowControl/>
      </w:pPr>
      <w:r>
        <w:rPr>
          <w:rFonts w:ascii="Calibri" w:hAnsi="Calibri" w:eastAsia="Microsoft YaHei"/>
          <w:b/>
          <w:color w:val="1F4D78"/>
        </w:rPr>
        <w:t>测量原理：</w:t>
      </w:r>
      <w:r>
        <w:rPr>
          <w:rFonts w:ascii="Calibri" w:hAnsi="Calibri" w:eastAsia="Microsoft YaHei"/>
        </w:rPr>
        <w:t>将各诊断权重函数组装为联合线性/弱非线性观测算子，以贝叶斯正则化重建速度空间分布。</w:t>
      </w:r>
    </w:p>
    <w:p>
      <w:pPr>
        <w:widowControl/>
      </w:pPr>
      <w:r>
        <w:rPr>
          <w:rFonts w:ascii="Calibri" w:hAnsi="Calibri" w:eastAsia="Microsoft YaHei"/>
          <w:b/>
          <w:color w:val="1F4D78"/>
        </w:rPr>
        <w:t>测量产品：</w:t>
      </w:r>
      <w:r>
        <w:rPr>
          <w:rFonts w:ascii="Calibri" w:hAnsi="Calibri" w:eastAsia="Microsoft YaHei"/>
        </w:rPr>
        <w:t>fast-ion velocity-space distribution；credible structure；reprojected signals</w:t>
      </w:r>
    </w:p>
    <w:p>
      <w:pPr>
        <w:widowControl/>
      </w:pPr>
      <w:r>
        <w:rPr>
          <w:rFonts w:ascii="Calibri" w:hAnsi="Calibri" w:eastAsia="Microsoft YaHei"/>
          <w:b/>
          <w:color w:val="1F4D78"/>
        </w:rPr>
        <w:t>时空分辨与覆盖：</w:t>
      </w:r>
      <w:r>
        <w:rPr>
          <w:rFonts w:ascii="Calibri" w:hAnsi="Calibri" w:eastAsia="Microsoft YaHei"/>
        </w:rPr>
        <w:t>时间：因装置、采集和分析链而异；原始来源未给出统一数值。；空间：由视线、几何和反演设定；原始来源未给出统一数值。</w:t>
      </w:r>
    </w:p>
    <w:p>
      <w:pPr>
        <w:widowControl/>
      </w:pPr>
      <w:r>
        <w:rPr>
          <w:rFonts w:ascii="Calibri" w:hAnsi="Calibri" w:eastAsia="Microsoft YaHei"/>
          <w:b/>
          <w:color w:val="1F4D78"/>
        </w:rPr>
        <w:t>仪器与传感器：</w:t>
      </w:r>
      <w:r>
        <w:rPr>
          <w:rFonts w:ascii="Calibri" w:hAnsi="Calibri" w:eastAsia="Microsoft YaHei"/>
        </w:rPr>
        <w:t>FIDA；CTS；NPA；gamma/neutron spectrometers</w:t>
      </w:r>
    </w:p>
    <w:p>
      <w:pPr>
        <w:widowControl/>
      </w:pPr>
      <w:r>
        <w:rPr>
          <w:rFonts w:ascii="Calibri" w:hAnsi="Calibri" w:eastAsia="Microsoft YaHei"/>
          <w:b/>
          <w:color w:val="1F4D78"/>
        </w:rPr>
        <w:t>标定与质量：</w:t>
      </w:r>
      <w:r>
        <w:rPr>
          <w:rFonts w:ascii="Calibri" w:hAnsi="Calibri" w:eastAsia="Microsoft YaHei"/>
        </w:rPr>
        <w:t>需要跨诊断绝对尺度、时间窗、空间响应和协方差；尺度误差应作为干扰参数而非预先归一化。</w:t>
      </w:r>
    </w:p>
    <w:p>
      <w:pPr>
        <w:widowControl/>
      </w:pPr>
      <w:r>
        <w:rPr>
          <w:rFonts w:ascii="Calibri" w:hAnsi="Calibri" w:eastAsia="Microsoft YaHei"/>
          <w:b/>
          <w:color w:val="1F4D78"/>
        </w:rPr>
        <w:t>反演与分析：</w:t>
      </w:r>
      <w:r>
        <w:rPr>
          <w:rFonts w:ascii="Calibri" w:hAnsi="Calibri" w:eastAsia="Microsoft YaHei"/>
        </w:rPr>
        <w:t>velocity-space tomography；multi-diagnostic regularisation；uncertainty analysis</w:t>
      </w:r>
    </w:p>
    <w:p>
      <w:pPr>
        <w:widowControl/>
      </w:pPr>
      <w:r>
        <w:rPr>
          <w:rFonts w:ascii="Calibri" w:hAnsi="Calibri" w:eastAsia="Microsoft YaHei"/>
          <w:b/>
          <w:color w:val="1F4D78"/>
        </w:rPr>
        <w:t>验证与应用：</w:t>
      </w:r>
      <w:r>
        <w:rPr>
          <w:rFonts w:ascii="Calibri" w:hAnsi="Calibri" w:eastAsia="Microsoft YaHei"/>
        </w:rPr>
        <w:t>论文在 AUG/JET 快离子测量上展示联合层析与后验解释。</w:t>
      </w:r>
    </w:p>
    <w:p>
      <w:pPr>
        <w:widowControl/>
      </w:pPr>
      <w:r>
        <w:rPr>
          <w:rFonts w:ascii="Calibri" w:hAnsi="Calibri" w:eastAsia="Microsoft YaHei"/>
          <w:b/>
          <w:color w:val="1F4D78"/>
        </w:rPr>
        <w:t>局限与边界：</w:t>
      </w:r>
      <w:r>
        <w:rPr>
          <w:rFonts w:ascii="Calibri" w:hAnsi="Calibri" w:eastAsia="Microsoft YaHei"/>
        </w:rPr>
        <w:t>权重函数依赖平衡、背景等离子体和原子/核模型；正则化可制造平滑结构，空间—速度联合反演仍昂贵。</w:t>
      </w:r>
    </w:p>
    <w:tbl>
      <w:tblPr>
        <w:tblStyle w:val="TableGrid"/>
        <w:tblW w:type="dxa" w:w="9360"/>
        <w:jc w:val="left"/>
        <w:tblLayout w:type="fixed"/>
        <w:tblLook w:firstColumn="1" w:firstRow="1" w:lastColumn="0" w:lastRow="0" w:noHBand="0" w:noVBand="1" w:val="04A0"/>
        <w:tblInd w:w="120" w:type="dxa"/>
      </w:tblPr>
      <w:tblGrid>
        <w:gridCol w:w="9360"/>
      </w:tblGrid>
      <w:tr>
        <w:trPr>
          <w:cantSplit/>
        </w:trPr>
        <w:tc>
          <w:tcPr>
            <w:tcW w:type="dxa" w:w="9360"/>
            <w:tcMar>
              <w:top w:w="80" w:type="dxa"/>
              <w:bottom w:w="80" w:type="dxa"/>
              <w:start w:w="120" w:type="dxa"/>
              <w:end w:w="120" w:type="dxa"/>
            </w:tcMar>
            <w:vAlign w:val="center"/>
            <w:shd w:fill="EEF7F7"/>
          </w:tcPr>
          <w:p>
            <w:pPr>
              <w:keepNext/>
              <w:keepLines/>
              <w:spacing w:after="40"/>
            </w:pPr>
            <w:r>
              <w:rPr>
                <w:rFonts w:ascii="Calibri" w:hAnsi="Calibri" w:eastAsia="Microsoft YaHei"/>
                <w:b/>
                <w:color w:val="008C95"/>
                <w:sz w:val="17"/>
              </w:rPr>
              <w:t>DIGITAL-TWIN RELEVANCE</w:t>
            </w:r>
          </w:p>
          <w:p>
            <w:pPr>
              <w:spacing w:after="0"/>
            </w:pPr>
            <w:r>
              <w:rPr>
                <w:rFonts w:ascii="Calibri" w:hAnsi="Calibri" w:eastAsia="Microsoft YaHei"/>
                <w:color w:val="0B2545"/>
                <w:sz w:val="20"/>
              </w:rPr>
              <w:t>是快离子孪生把异构诊断融合为共同状态的直接原型，需同时保留观测覆盖和不可辨识区。</w:t>
            </w:r>
          </w:p>
        </w:tc>
      </w:tr>
    </w:tbl>
    <w:p>
      <w:pPr>
        <w:spacing w:after="40"/>
      </w:pPr>
    </w:p>
    <w:tbl>
      <w:tblPr>
        <w:tblStyle w:val="TableGrid"/>
        <w:tblW w:type="dxa" w:w="9360"/>
        <w:jc w:val="left"/>
        <w:tblLayout w:type="fixed"/>
        <w:tblLook w:firstColumn="1" w:firstRow="1" w:lastColumn="0" w:lastRow="0" w:noHBand="0" w:noVBand="1" w:val="04A0"/>
        <w:tblInd w:w="120" w:type="dxa"/>
      </w:tblPr>
      <w:tblGrid>
        <w:gridCol w:w="850"/>
        <w:gridCol w:w="2500"/>
        <w:gridCol w:w="1600"/>
        <w:gridCol w:w="2300"/>
        <w:gridCol w:w="2110"/>
      </w:tblGrid>
      <w:tr>
        <w:trPr>
          <w:tblHeader w:val="true"/>
        </w:trPr>
        <w:tc>
          <w:tcPr>
            <w:tcW w:type="dxa" w:w="8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年份/类型</w:t>
            </w:r>
          </w:p>
        </w:tc>
        <w:tc>
          <w:tcPr>
            <w:tcW w:type="dxa" w:w="25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论文或软件</w:t>
            </w:r>
          </w:p>
        </w:tc>
        <w:tc>
          <w:tcPr>
            <w:tcW w:type="dxa" w:w="16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期刊/开放性</w:t>
            </w:r>
          </w:p>
        </w:tc>
        <w:tc>
          <w:tcPr>
            <w:tcW w:type="dxa" w:w="23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来源类型/关系</w:t>
            </w:r>
          </w:p>
        </w:tc>
        <w:tc>
          <w:tcPr>
            <w:tcW w:type="dxa" w:w="211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链接</w:t>
            </w:r>
          </w:p>
        </w:tc>
      </w:tr>
      <w:tr>
        <w:trPr>
          <w:cantSplit/>
        </w:trPr>
        <w:tc>
          <w:tcPr>
            <w:tcW w:type="dxa" w:w="850"/>
          </w:tcPr>
          <w:p>
            <w:pPr>
              <w:keepLines/>
              <w:spacing w:after="0" w:line="276" w:lineRule="auto"/>
            </w:pPr>
            <w:r>
              <w:rPr>
                <w:rFonts w:ascii="Calibri" w:hAnsi="Calibri" w:eastAsia="Microsoft YaHei"/>
                <w:color w:val="0B2545"/>
                <w:sz w:val="14"/>
              </w:rPr>
              <w:t>2018</w:t>
            </w:r>
          </w:p>
        </w:tc>
        <w:tc>
          <w:tcPr>
            <w:tcW w:type="dxa" w:w="2500"/>
          </w:tcPr>
          <w:p>
            <w:pPr>
              <w:keepLines/>
              <w:spacing w:after="0" w:line="276" w:lineRule="auto"/>
            </w:pPr>
            <w:r>
              <w:rPr>
                <w:rFonts w:ascii="Calibri" w:hAnsi="Calibri" w:eastAsia="Microsoft YaHei"/>
                <w:color w:val="0B2545"/>
                <w:sz w:val="14"/>
              </w:rPr>
              <w:t>Bayesian Integrated Data Analysis of Fast-Ion Measurements by Velocity-Space Tomography</w:t>
            </w:r>
          </w:p>
        </w:tc>
        <w:tc>
          <w:tcPr>
            <w:tcW w:type="dxa" w:w="1600"/>
          </w:tcPr>
          <w:p>
            <w:pPr>
              <w:keepLines/>
              <w:spacing w:after="0" w:line="276" w:lineRule="auto"/>
            </w:pPr>
            <w:r>
              <w:rPr>
                <w:rFonts w:ascii="Calibri" w:hAnsi="Calibri" w:eastAsia="Microsoft YaHei"/>
                <w:color w:val="0B2545"/>
                <w:sz w:val="14"/>
              </w:rPr>
              <w:t>Fusion Science and Technology</w:t>
            </w:r>
          </w:p>
        </w:tc>
        <w:tc>
          <w:tcPr>
            <w:tcW w:type="dxa" w:w="2300"/>
          </w:tcPr>
          <w:p>
            <w:pPr>
              <w:keepLines/>
              <w:spacing w:after="0" w:line="276" w:lineRule="auto"/>
            </w:pPr>
            <w:r>
              <w:rPr>
                <w:rFonts w:ascii="Calibri" w:hAnsi="Calibri" w:eastAsia="Microsoft YaHei"/>
                <w:color w:val="0B2545"/>
                <w:sz w:val="14"/>
              </w:rPr>
              <w:t>peer-reviewed primary multi-device application</w:t>
            </w:r>
          </w:p>
        </w:tc>
        <w:tc>
          <w:tcPr>
            <w:tcW w:type="dxa" w:w="2110"/>
          </w:tcPr>
          <w:p>
            <w:pPr>
              <w:keepLines/>
              <w:spacing w:after="0" w:line="276" w:lineRule="auto"/>
            </w:pPr>
            <w:hyperlink r:id="rId202">
              <w:r>
                <w:rPr>
                  <w:rFonts w:ascii="Calibri" w:hAnsi="Calibri" w:eastAsia="Microsoft YaHei"/>
                  <w:color w:val="008C95"/>
                  <w:u w:val="single"/>
                </w:rPr>
                <w:t>打开原始来源 ↗</w:t>
              </w:r>
            </w:hyperlink>
          </w:p>
        </w:tc>
      </w:tr>
      <w:tr>
        <w:trPr>
          <w:cantSplit/>
        </w:trPr>
        <w:tc>
          <w:tcPr>
            <w:tcW w:type="dxa" w:w="850"/>
          </w:tcPr>
          <w:p>
            <w:pPr>
              <w:keepLines/>
              <w:spacing w:after="0" w:line="276" w:lineRule="auto"/>
            </w:pPr>
            <w:r>
              <w:rPr>
                <w:rFonts w:ascii="Calibri" w:hAnsi="Calibri" w:eastAsia="Microsoft YaHei"/>
                <w:color w:val="0B2545"/>
                <w:sz w:val="14"/>
              </w:rPr>
              <w:t>软件</w:t>
            </w:r>
          </w:p>
        </w:tc>
        <w:tc>
          <w:tcPr>
            <w:tcW w:type="dxa" w:w="2500"/>
          </w:tcPr>
          <w:p>
            <w:pPr>
              <w:keepLines/>
              <w:spacing w:after="0" w:line="276" w:lineRule="auto"/>
            </w:pPr>
            <w:r>
              <w:rPr>
                <w:rFonts w:ascii="Calibri" w:hAnsi="Calibri" w:eastAsia="Microsoft YaHei"/>
                <w:color w:val="0B2545"/>
                <w:sz w:val="14"/>
              </w:rPr>
              <w:t>Fast-ion velocity-space tomography workflow</w:t>
            </w:r>
          </w:p>
        </w:tc>
        <w:tc>
          <w:tcPr>
            <w:tcW w:type="dxa" w:w="1600"/>
          </w:tcPr>
          <w:p>
            <w:pPr>
              <w:keepLines/>
              <w:spacing w:after="0" w:line="276" w:lineRule="auto"/>
            </w:pPr>
            <w:r>
              <w:rPr>
                <w:rFonts w:ascii="Calibri" w:hAnsi="Calibri" w:eastAsia="Microsoft YaHei"/>
                <w:color w:val="0B2545"/>
                <w:sz w:val="14"/>
              </w:rPr>
              <w:t>not-public</w:t>
            </w:r>
          </w:p>
        </w:tc>
        <w:tc>
          <w:tcPr>
            <w:tcW w:type="dxa" w:w="2300"/>
          </w:tcPr>
          <w:p>
            <w:pPr>
              <w:keepLines/>
              <w:spacing w:after="0" w:line="276" w:lineRule="auto"/>
            </w:pPr>
            <w:r>
              <w:rPr>
                <w:rFonts w:ascii="Calibri" w:hAnsi="Calibri" w:eastAsia="Microsoft YaHei"/>
                <w:color w:val="0B2545"/>
                <w:sz w:val="14"/>
              </w:rPr>
              <w:t>论文专用代码未发现官方公共仓库。</w:t>
            </w:r>
          </w:p>
        </w:tc>
        <w:tc>
          <w:tcPr>
            <w:tcW w:type="dxa" w:w="2110"/>
          </w:tcPr>
          <w:p>
            <w:pPr>
              <w:keepLines/>
              <w:spacing w:after="0" w:line="276" w:lineRule="auto"/>
            </w:pPr>
            <w:r>
              <w:rPr>
                <w:rFonts w:ascii="Calibri" w:hAnsi="Calibri" w:eastAsia="Microsoft YaHei"/>
                <w:color w:val="0B2545"/>
                <w:sz w:val="14"/>
              </w:rPr>
              <w:t>未公开</w:t>
            </w:r>
          </w:p>
        </w:tc>
      </w:tr>
      <w:tr>
        <w:trPr>
          <w:cantSplit/>
        </w:trPr>
        <w:tc>
          <w:tcPr>
            <w:tcW w:type="dxa" w:w="850"/>
          </w:tcPr>
          <w:p>
            <w:pPr>
              <w:keepLines/>
              <w:spacing w:after="0" w:line="276" w:lineRule="auto"/>
            </w:pPr>
            <w:r>
              <w:rPr>
                <w:rFonts w:ascii="Calibri" w:hAnsi="Calibri" w:eastAsia="Microsoft YaHei"/>
                <w:color w:val="0B2545"/>
                <w:sz w:val="14"/>
              </w:rPr>
              <w:t>软件</w:t>
            </w:r>
          </w:p>
        </w:tc>
        <w:tc>
          <w:tcPr>
            <w:tcW w:type="dxa" w:w="2500"/>
          </w:tcPr>
          <w:p>
            <w:pPr>
              <w:keepLines/>
              <w:spacing w:after="0" w:line="276" w:lineRule="auto"/>
            </w:pPr>
            <w:r>
              <w:rPr>
                <w:rFonts w:ascii="Calibri" w:hAnsi="Calibri" w:eastAsia="Microsoft YaHei"/>
                <w:color w:val="0B2545"/>
                <w:sz w:val="14"/>
              </w:rPr>
              <w:t>FIDASIM</w:t>
            </w:r>
          </w:p>
        </w:tc>
        <w:tc>
          <w:tcPr>
            <w:tcW w:type="dxa" w:w="1600"/>
          </w:tcPr>
          <w:p>
            <w:pPr>
              <w:keepLines/>
              <w:spacing w:after="0" w:line="276" w:lineRule="auto"/>
            </w:pPr>
            <w:r>
              <w:rPr>
                <w:rFonts w:ascii="Calibri" w:hAnsi="Calibri" w:eastAsia="Microsoft YaHei"/>
                <w:color w:val="0B2545"/>
                <w:sz w:val="14"/>
              </w:rPr>
              <w:t>official-enabling</w:t>
            </w:r>
          </w:p>
        </w:tc>
        <w:tc>
          <w:tcPr>
            <w:tcW w:type="dxa" w:w="2300"/>
          </w:tcPr>
          <w:p>
            <w:pPr>
              <w:keepLines/>
              <w:spacing w:after="0" w:line="276" w:lineRule="auto"/>
            </w:pPr>
            <w:r>
              <w:rPr>
                <w:rFonts w:ascii="Calibri" w:hAnsi="Calibri" w:eastAsia="Microsoft YaHei"/>
                <w:color w:val="0B2545"/>
                <w:sz w:val="14"/>
              </w:rPr>
              <w:t>可生成 FIDA 权重/前向响应，但不是联合层析求解器。</w:t>
            </w:r>
          </w:p>
        </w:tc>
        <w:tc>
          <w:tcPr>
            <w:tcW w:type="dxa" w:w="2110"/>
          </w:tcPr>
          <w:p>
            <w:pPr>
              <w:keepLines/>
              <w:spacing w:after="0" w:line="276" w:lineRule="auto"/>
            </w:pPr>
            <w:hyperlink r:id="rId66">
              <w:r>
                <w:rPr>
                  <w:rFonts w:ascii="Calibri" w:hAnsi="Calibri" w:eastAsia="Microsoft YaHei"/>
                  <w:color w:val="008C95"/>
                  <w:u w:val="single"/>
                </w:rPr>
                <w:t>打开原始来源 ↗</w:t>
              </w:r>
            </w:hyperlink>
          </w:p>
        </w:tc>
      </w:tr>
    </w:tbl>
    <w:p>
      <w:pPr>
        <w:spacing w:before="0" w:after="60"/>
      </w:pPr>
    </w:p>
    <w:p>
      <w:pPr>
        <w:pStyle w:val="Heading3"/>
        <w:keepNext/>
      </w:pPr>
      <w:r>
        <w:t>DG10.07  BITE/Aurora 贝叶斯杂质输运与多谱线反演</w:t>
      </w:r>
    </w:p>
    <w:p>
      <w:pPr>
        <w:keepNext/>
        <w:spacing w:after="80"/>
      </w:pPr>
      <w:r>
        <w:rPr>
          <w:rFonts w:ascii="Calibri" w:hAnsi="Calibri" w:eastAsia="Microsoft YaHei"/>
          <w:i/>
          <w:color w:val="566573"/>
          <w:sz w:val="18"/>
        </w:rPr>
        <w:t>BITE/Aurora Bayesian Impurity Transport and Multi-Line Inference</w:t>
      </w:r>
    </w:p>
    <w:tbl>
      <w:tblPr>
        <w:tblStyle w:val="TableGrid"/>
        <w:tblW w:type="dxa" w:w="9360"/>
        <w:jc w:val="left"/>
        <w:tblLayout w:type="fixed"/>
        <w:tblLook w:firstColumn="1" w:firstRow="1" w:lastColumn="0" w:lastRow="0" w:noHBand="0" w:noVBand="1" w:val="04A0"/>
        <w:tblInd w:w="120" w:type="dxa"/>
      </w:tblPr>
      <w:tblGrid>
        <w:gridCol w:w="1200"/>
        <w:gridCol w:w="750"/>
        <w:gridCol w:w="750"/>
        <w:gridCol w:w="2100"/>
        <w:gridCol w:w="4560"/>
      </w:tblGrid>
      <w:tr>
        <w:trPr>
          <w:tblHeader w:val="true"/>
        </w:trPr>
        <w:tc>
          <w:tcPr>
            <w:tcW w:type="dxa" w:w="12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工作 ID</w:t>
            </w:r>
          </w:p>
        </w:tc>
        <w:tc>
          <w:tcPr>
            <w:tcW w:type="dxa" w:w="7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证据</w:t>
            </w:r>
          </w:p>
        </w:tc>
        <w:tc>
          <w:tcPr>
            <w:tcW w:type="dxa" w:w="7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部署</w:t>
            </w:r>
          </w:p>
        </w:tc>
        <w:tc>
          <w:tcPr>
            <w:tcW w:type="dxa" w:w="21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技术族</w:t>
            </w:r>
          </w:p>
        </w:tc>
        <w:tc>
          <w:tcPr>
            <w:tcW w:type="dxa" w:w="456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装置</w:t>
            </w:r>
          </w:p>
        </w:tc>
      </w:tr>
      <w:tr>
        <w:trPr>
          <w:cantSplit/>
        </w:trPr>
        <w:tc>
          <w:tcPr>
            <w:tcW w:type="dxa" w:w="1200"/>
          </w:tcPr>
          <w:p>
            <w:pPr>
              <w:keepLines/>
              <w:spacing w:after="0" w:line="276" w:lineRule="auto"/>
            </w:pPr>
            <w:r>
              <w:rPr>
                <w:rFonts w:ascii="Calibri" w:hAnsi="Calibri" w:eastAsia="Microsoft YaHei"/>
                <w:color w:val="0B2545"/>
                <w:sz w:val="15"/>
              </w:rPr>
              <w:t>DSI-028</w:t>
            </w:r>
          </w:p>
        </w:tc>
        <w:tc>
          <w:tcPr>
            <w:tcW w:type="dxa" w:w="750"/>
          </w:tcPr>
          <w:p>
            <w:pPr>
              <w:keepLines/>
              <w:spacing w:after="0" w:line="276" w:lineRule="auto"/>
            </w:pPr>
            <w:r>
              <w:rPr>
                <w:rFonts w:ascii="Calibri" w:hAnsi="Calibri" w:eastAsia="Microsoft YaHei"/>
                <w:color w:val="0B2545"/>
                <w:sz w:val="15"/>
              </w:rPr>
              <w:t>E3</w:t>
            </w:r>
          </w:p>
        </w:tc>
        <w:tc>
          <w:tcPr>
            <w:tcW w:type="dxa" w:w="750"/>
          </w:tcPr>
          <w:p>
            <w:pPr>
              <w:keepLines/>
              <w:spacing w:after="0" w:line="276" w:lineRule="auto"/>
            </w:pPr>
            <w:r>
              <w:rPr>
                <w:rFonts w:ascii="Calibri" w:hAnsi="Calibri" w:eastAsia="Microsoft YaHei"/>
                <w:color w:val="0B2545"/>
                <w:sz w:val="15"/>
              </w:rPr>
              <w:t>D2</w:t>
            </w:r>
          </w:p>
        </w:tc>
        <w:tc>
          <w:tcPr>
            <w:tcW w:type="dxa" w:w="2100"/>
          </w:tcPr>
          <w:p>
            <w:pPr>
              <w:keepLines/>
              <w:spacing w:after="0" w:line="276" w:lineRule="auto"/>
            </w:pPr>
            <w:r>
              <w:rPr>
                <w:rFonts w:ascii="Calibri" w:hAnsi="Calibri" w:eastAsia="Microsoft YaHei"/>
                <w:color w:val="0B2545"/>
                <w:sz w:val="15"/>
              </w:rPr>
              <w:t>COMPUTATIONAL</w:t>
            </w:r>
          </w:p>
        </w:tc>
        <w:tc>
          <w:tcPr>
            <w:tcW w:type="dxa" w:w="4560"/>
          </w:tcPr>
          <w:p>
            <w:pPr>
              <w:keepLines/>
              <w:spacing w:after="0" w:line="276" w:lineRule="auto"/>
            </w:pPr>
            <w:r>
              <w:rPr>
                <w:rFonts w:ascii="Calibri" w:hAnsi="Calibri" w:eastAsia="Microsoft YaHei"/>
                <w:color w:val="0B2545"/>
                <w:sz w:val="15"/>
              </w:rPr>
              <w:t>Alcator C-Mod</w:t>
            </w:r>
          </w:p>
        </w:tc>
      </w:tr>
    </w:tbl>
    <w:p>
      <w:pPr>
        <w:spacing w:before="0" w:after="60"/>
      </w:pPr>
    </w:p>
    <w:p>
      <w:pPr>
        <w:widowControl/>
      </w:pPr>
      <w:r>
        <w:rPr>
          <w:rFonts w:ascii="Calibri" w:hAnsi="Calibri" w:eastAsia="Microsoft YaHei"/>
          <w:b/>
          <w:color w:val="1F4D78"/>
        </w:rPr>
        <w:t>解决问题：</w:t>
      </w:r>
      <w:r>
        <w:rPr>
          <w:rFonts w:ascii="Calibri" w:hAnsi="Calibri" w:eastAsia="Microsoft YaHei"/>
        </w:rPr>
        <w:t>由多条谱线反推杂质扩散 D、对流 V 和密度受输运、原子数据、Te/ne、锯齿及诊断响应共同制约且多解。</w:t>
      </w:r>
    </w:p>
    <w:p>
      <w:pPr>
        <w:widowControl/>
      </w:pPr>
      <w:r>
        <w:rPr>
          <w:rFonts w:ascii="Calibri" w:hAnsi="Calibri" w:eastAsia="Microsoft YaHei"/>
          <w:b/>
          <w:color w:val="1F4D78"/>
        </w:rPr>
        <w:t>测量原理：</w:t>
      </w:r>
      <w:r>
        <w:rPr>
          <w:rFonts w:ascii="Calibri" w:hAnsi="Calibri" w:eastAsia="Microsoft YaHei"/>
        </w:rPr>
        <w:t>前向求解杂质电荷态输运与谱线辐射，把 XICS/VUV 信号纳入似然，用嵌套采样比较输运参数化和模型。</w:t>
      </w:r>
    </w:p>
    <w:p>
      <w:pPr>
        <w:widowControl/>
      </w:pPr>
      <w:r>
        <w:rPr>
          <w:rFonts w:ascii="Calibri" w:hAnsi="Calibri" w:eastAsia="Microsoft YaHei"/>
          <w:b/>
          <w:color w:val="1F4D78"/>
        </w:rPr>
        <w:t>测量产品：</w:t>
      </w:r>
      <w:r>
        <w:rPr>
          <w:rFonts w:ascii="Calibri" w:hAnsi="Calibri" w:eastAsia="Microsoft YaHei"/>
        </w:rPr>
        <w:t>impurity diffusion；convection；charge-state density；line brightness；model evidence</w:t>
      </w:r>
    </w:p>
    <w:p>
      <w:pPr>
        <w:widowControl/>
      </w:pPr>
      <w:r>
        <w:rPr>
          <w:rFonts w:ascii="Calibri" w:hAnsi="Calibri" w:eastAsia="Microsoft YaHei"/>
          <w:b/>
          <w:color w:val="1F4D78"/>
        </w:rPr>
        <w:t>时空分辨与覆盖：</w:t>
      </w:r>
      <w:r>
        <w:rPr>
          <w:rFonts w:ascii="Calibri" w:hAnsi="Calibri" w:eastAsia="Microsoft YaHei"/>
        </w:rPr>
        <w:t>时间：因装置、采集和分析链而异；原始来源未给出统一数值。；空间：由视线、几何和反演设定；原始来源未给出统一数值。</w:t>
      </w:r>
    </w:p>
    <w:p>
      <w:pPr>
        <w:widowControl/>
      </w:pPr>
      <w:r>
        <w:rPr>
          <w:rFonts w:ascii="Calibri" w:hAnsi="Calibri" w:eastAsia="Microsoft YaHei"/>
          <w:b/>
          <w:color w:val="1F4D78"/>
        </w:rPr>
        <w:t>仪器与传感器：</w:t>
      </w:r>
      <w:r>
        <w:rPr>
          <w:rFonts w:ascii="Calibri" w:hAnsi="Calibri" w:eastAsia="Microsoft YaHei"/>
        </w:rPr>
        <w:t>XICS；VUV spectrometers；laser blow-off</w:t>
      </w:r>
    </w:p>
    <w:p>
      <w:pPr>
        <w:widowControl/>
      </w:pPr>
      <w:r>
        <w:rPr>
          <w:rFonts w:ascii="Calibri" w:hAnsi="Calibri" w:eastAsia="Microsoft YaHei"/>
          <w:b/>
          <w:color w:val="1F4D78"/>
        </w:rPr>
        <w:t>标定与质量：</w:t>
      </w:r>
      <w:r>
        <w:rPr>
          <w:rFonts w:ascii="Calibri" w:hAnsi="Calibri" w:eastAsia="Microsoft YaHei"/>
        </w:rPr>
        <w:t>需谱仪绝对强度、波长、仪器函数和 LBO 注入量；原子率系数与背景剖面不确定度应进入后验。</w:t>
      </w:r>
    </w:p>
    <w:p>
      <w:pPr>
        <w:widowControl/>
      </w:pPr>
      <w:r>
        <w:rPr>
          <w:rFonts w:ascii="Calibri" w:hAnsi="Calibri" w:eastAsia="Microsoft YaHei"/>
          <w:b/>
          <w:color w:val="1F4D78"/>
        </w:rPr>
        <w:t>反演与分析：</w:t>
      </w:r>
      <w:r>
        <w:rPr>
          <w:rFonts w:ascii="Calibri" w:hAnsi="Calibri" w:eastAsia="Microsoft YaHei"/>
        </w:rPr>
        <w:t>Bayesian parameter estimation；model selection；posterior predictive checks</w:t>
      </w:r>
    </w:p>
    <w:p>
      <w:pPr>
        <w:widowControl/>
      </w:pPr>
      <w:r>
        <w:rPr>
          <w:rFonts w:ascii="Calibri" w:hAnsi="Calibri" w:eastAsia="Microsoft YaHei"/>
          <w:b/>
          <w:color w:val="1F4D78"/>
        </w:rPr>
        <w:t>验证与应用：</w:t>
      </w:r>
      <w:r>
        <w:rPr>
          <w:rFonts w:ascii="Calibri" w:hAnsi="Calibri" w:eastAsia="Microsoft YaHei"/>
        </w:rPr>
        <w:t>BITE 在 C-Mod 钙 LBO 实验的 XICS/VUV 多线数据上推断 D/V，并与新经典、gyrofluid、gyrokinetic预测比较。</w:t>
      </w:r>
    </w:p>
    <w:p>
      <w:pPr>
        <w:widowControl/>
      </w:pPr>
      <w:r>
        <w:rPr>
          <w:rFonts w:ascii="Calibri" w:hAnsi="Calibri" w:eastAsia="Microsoft YaHei"/>
          <w:b/>
          <w:color w:val="1F4D78"/>
        </w:rPr>
        <w:t>局限与边界：</w:t>
      </w:r>
      <w:r>
        <w:rPr>
          <w:rFonts w:ascii="Calibri" w:hAnsi="Calibri" w:eastAsia="Microsoft YaHei"/>
        </w:rPr>
        <w:t>参数化和父模型偏差可主导结果；嵌套采样昂贵，原子数据相关误差难以完整表示。</w:t>
      </w:r>
    </w:p>
    <w:tbl>
      <w:tblPr>
        <w:tblStyle w:val="TableGrid"/>
        <w:tblW w:type="dxa" w:w="9360"/>
        <w:jc w:val="left"/>
        <w:tblLayout w:type="fixed"/>
        <w:tblLook w:firstColumn="1" w:firstRow="1" w:lastColumn="0" w:lastRow="0" w:noHBand="0" w:noVBand="1" w:val="04A0"/>
        <w:tblInd w:w="120" w:type="dxa"/>
      </w:tblPr>
      <w:tblGrid>
        <w:gridCol w:w="9360"/>
      </w:tblGrid>
      <w:tr>
        <w:trPr>
          <w:cantSplit/>
        </w:trPr>
        <w:tc>
          <w:tcPr>
            <w:tcW w:type="dxa" w:w="9360"/>
            <w:tcMar>
              <w:top w:w="80" w:type="dxa"/>
              <w:bottom w:w="80" w:type="dxa"/>
              <w:start w:w="120" w:type="dxa"/>
              <w:end w:w="120" w:type="dxa"/>
            </w:tcMar>
            <w:vAlign w:val="center"/>
            <w:shd w:fill="EEF7F7"/>
          </w:tcPr>
          <w:p>
            <w:pPr>
              <w:keepNext/>
              <w:keepLines/>
              <w:spacing w:after="40"/>
            </w:pPr>
            <w:r>
              <w:rPr>
                <w:rFonts w:ascii="Calibri" w:hAnsi="Calibri" w:eastAsia="Microsoft YaHei"/>
                <w:b/>
                <w:color w:val="008C95"/>
                <w:sz w:val="17"/>
              </w:rPr>
              <w:t>DIGITAL-TWIN RELEVANCE</w:t>
            </w:r>
          </w:p>
          <w:p>
            <w:pPr>
              <w:spacing w:after="0"/>
            </w:pPr>
            <w:r>
              <w:rPr>
                <w:rFonts w:ascii="Calibri" w:hAnsi="Calibri" w:eastAsia="Microsoft YaHei"/>
                <w:color w:val="0B2545"/>
                <w:sz w:val="20"/>
              </w:rPr>
              <w:t>展示了以模型证据和后验预测检查连接实验、输运和原子物理，是诊断驱动模型校准范式。</w:t>
            </w:r>
          </w:p>
        </w:tc>
      </w:tr>
    </w:tbl>
    <w:p>
      <w:pPr>
        <w:spacing w:after="40"/>
      </w:pPr>
    </w:p>
    <w:tbl>
      <w:tblPr>
        <w:tblStyle w:val="TableGrid"/>
        <w:tblW w:type="dxa" w:w="9360"/>
        <w:jc w:val="left"/>
        <w:tblLayout w:type="fixed"/>
        <w:tblLook w:firstColumn="1" w:firstRow="1" w:lastColumn="0" w:lastRow="0" w:noHBand="0" w:noVBand="1" w:val="04A0"/>
        <w:tblInd w:w="120" w:type="dxa"/>
      </w:tblPr>
      <w:tblGrid>
        <w:gridCol w:w="850"/>
        <w:gridCol w:w="2500"/>
        <w:gridCol w:w="1600"/>
        <w:gridCol w:w="2300"/>
        <w:gridCol w:w="2110"/>
      </w:tblGrid>
      <w:tr>
        <w:trPr>
          <w:tblHeader w:val="true"/>
        </w:trPr>
        <w:tc>
          <w:tcPr>
            <w:tcW w:type="dxa" w:w="8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年份/类型</w:t>
            </w:r>
          </w:p>
        </w:tc>
        <w:tc>
          <w:tcPr>
            <w:tcW w:type="dxa" w:w="25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论文或软件</w:t>
            </w:r>
          </w:p>
        </w:tc>
        <w:tc>
          <w:tcPr>
            <w:tcW w:type="dxa" w:w="16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期刊/开放性</w:t>
            </w:r>
          </w:p>
        </w:tc>
        <w:tc>
          <w:tcPr>
            <w:tcW w:type="dxa" w:w="23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来源类型/关系</w:t>
            </w:r>
          </w:p>
        </w:tc>
        <w:tc>
          <w:tcPr>
            <w:tcW w:type="dxa" w:w="211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链接</w:t>
            </w:r>
          </w:p>
        </w:tc>
      </w:tr>
      <w:tr>
        <w:trPr>
          <w:cantSplit/>
        </w:trPr>
        <w:tc>
          <w:tcPr>
            <w:tcW w:type="dxa" w:w="850"/>
          </w:tcPr>
          <w:p>
            <w:pPr>
              <w:keepLines/>
              <w:spacing w:after="0" w:line="276" w:lineRule="auto"/>
            </w:pPr>
            <w:r>
              <w:rPr>
                <w:rFonts w:ascii="Calibri" w:hAnsi="Calibri" w:eastAsia="Microsoft YaHei"/>
                <w:color w:val="0B2545"/>
                <w:sz w:val="14"/>
              </w:rPr>
              <w:t>2020</w:t>
            </w:r>
          </w:p>
        </w:tc>
        <w:tc>
          <w:tcPr>
            <w:tcW w:type="dxa" w:w="2500"/>
          </w:tcPr>
          <w:p>
            <w:pPr>
              <w:keepLines/>
              <w:spacing w:after="0" w:line="276" w:lineRule="auto"/>
            </w:pPr>
            <w:r>
              <w:rPr>
                <w:rFonts w:ascii="Calibri" w:hAnsi="Calibri" w:eastAsia="Microsoft YaHei"/>
                <w:color w:val="0B2545"/>
                <w:sz w:val="14"/>
              </w:rPr>
              <w:t>Inference of experimental radial impurity transport on Alcator C-Mod: Bayesian parameter estimation and model selection</w:t>
            </w:r>
          </w:p>
        </w:tc>
        <w:tc>
          <w:tcPr>
            <w:tcW w:type="dxa" w:w="1600"/>
          </w:tcPr>
          <w:p>
            <w:pPr>
              <w:keepLines/>
              <w:spacing w:after="0" w:line="276" w:lineRule="auto"/>
            </w:pPr>
            <w:r>
              <w:rPr>
                <w:rFonts w:ascii="Calibri" w:hAnsi="Calibri" w:eastAsia="Microsoft YaHei"/>
                <w:color w:val="0B2545"/>
                <w:sz w:val="14"/>
              </w:rPr>
              <w:t>Nuclear Fusion</w:t>
            </w:r>
          </w:p>
        </w:tc>
        <w:tc>
          <w:tcPr>
            <w:tcW w:type="dxa" w:w="2300"/>
          </w:tcPr>
          <w:p>
            <w:pPr>
              <w:keepLines/>
              <w:spacing w:after="0" w:line="276" w:lineRule="auto"/>
            </w:pPr>
            <w:r>
              <w:rPr>
                <w:rFonts w:ascii="Calibri" w:hAnsi="Calibri" w:eastAsia="Microsoft YaHei"/>
                <w:color w:val="0B2545"/>
                <w:sz w:val="14"/>
              </w:rPr>
              <w:t>peer-reviewed primary experiment</w:t>
            </w:r>
          </w:p>
        </w:tc>
        <w:tc>
          <w:tcPr>
            <w:tcW w:type="dxa" w:w="2110"/>
          </w:tcPr>
          <w:p>
            <w:pPr>
              <w:keepLines/>
              <w:spacing w:after="0" w:line="276" w:lineRule="auto"/>
            </w:pPr>
            <w:hyperlink r:id="rId203">
              <w:r>
                <w:rPr>
                  <w:rFonts w:ascii="Calibri" w:hAnsi="Calibri" w:eastAsia="Microsoft YaHei"/>
                  <w:color w:val="008C95"/>
                  <w:u w:val="single"/>
                </w:rPr>
                <w:t>打开原始来源 ↗</w:t>
              </w:r>
            </w:hyperlink>
          </w:p>
        </w:tc>
      </w:tr>
      <w:tr>
        <w:trPr>
          <w:cantSplit/>
        </w:trPr>
        <w:tc>
          <w:tcPr>
            <w:tcW w:type="dxa" w:w="850"/>
          </w:tcPr>
          <w:p>
            <w:pPr>
              <w:keepLines/>
              <w:spacing w:after="0" w:line="276" w:lineRule="auto"/>
            </w:pPr>
            <w:r>
              <w:rPr>
                <w:rFonts w:ascii="Calibri" w:hAnsi="Calibri" w:eastAsia="Microsoft YaHei"/>
                <w:color w:val="0B2545"/>
                <w:sz w:val="14"/>
              </w:rPr>
              <w:t>2021</w:t>
            </w:r>
          </w:p>
        </w:tc>
        <w:tc>
          <w:tcPr>
            <w:tcW w:type="dxa" w:w="2500"/>
          </w:tcPr>
          <w:p>
            <w:pPr>
              <w:keepLines/>
              <w:spacing w:after="0" w:line="276" w:lineRule="auto"/>
            </w:pPr>
            <w:r>
              <w:rPr>
                <w:rFonts w:ascii="Calibri" w:hAnsi="Calibri" w:eastAsia="Microsoft YaHei"/>
                <w:color w:val="0B2545"/>
                <w:sz w:val="14"/>
              </w:rPr>
              <w:t>Particle transport constraints via Bayesian spectral fitting of multiple atomic lines</w:t>
            </w:r>
          </w:p>
        </w:tc>
        <w:tc>
          <w:tcPr>
            <w:tcW w:type="dxa" w:w="1600"/>
          </w:tcPr>
          <w:p>
            <w:pPr>
              <w:keepLines/>
              <w:spacing w:after="0" w:line="276" w:lineRule="auto"/>
            </w:pPr>
            <w:r>
              <w:rPr>
                <w:rFonts w:ascii="Calibri" w:hAnsi="Calibri" w:eastAsia="Microsoft YaHei"/>
                <w:color w:val="0B2545"/>
                <w:sz w:val="14"/>
              </w:rPr>
              <w:t>Review of Scientific Instruments</w:t>
            </w:r>
          </w:p>
        </w:tc>
        <w:tc>
          <w:tcPr>
            <w:tcW w:type="dxa" w:w="2300"/>
          </w:tcPr>
          <w:p>
            <w:pPr>
              <w:keepLines/>
              <w:spacing w:after="0" w:line="276" w:lineRule="auto"/>
            </w:pPr>
            <w:r>
              <w:rPr>
                <w:rFonts w:ascii="Calibri" w:hAnsi="Calibri" w:eastAsia="Microsoft YaHei"/>
                <w:color w:val="0B2545"/>
                <w:sz w:val="14"/>
              </w:rPr>
              <w:t>peer-reviewed primary method/application</w:t>
            </w:r>
          </w:p>
        </w:tc>
        <w:tc>
          <w:tcPr>
            <w:tcW w:type="dxa" w:w="2110"/>
          </w:tcPr>
          <w:p>
            <w:pPr>
              <w:keepLines/>
              <w:spacing w:after="0" w:line="276" w:lineRule="auto"/>
            </w:pPr>
            <w:hyperlink r:id="rId204">
              <w:r>
                <w:rPr>
                  <w:rFonts w:ascii="Calibri" w:hAnsi="Calibri" w:eastAsia="Microsoft YaHei"/>
                  <w:color w:val="008C95"/>
                  <w:u w:val="single"/>
                </w:rPr>
                <w:t>打开原始来源 ↗</w:t>
              </w:r>
            </w:hyperlink>
          </w:p>
        </w:tc>
      </w:tr>
      <w:tr>
        <w:trPr>
          <w:cantSplit/>
        </w:trPr>
        <w:tc>
          <w:tcPr>
            <w:tcW w:type="dxa" w:w="850"/>
          </w:tcPr>
          <w:p>
            <w:pPr>
              <w:keepLines/>
              <w:spacing w:after="0" w:line="276" w:lineRule="auto"/>
            </w:pPr>
            <w:r>
              <w:rPr>
                <w:rFonts w:ascii="Calibri" w:hAnsi="Calibri" w:eastAsia="Microsoft YaHei"/>
                <w:color w:val="0B2545"/>
                <w:sz w:val="14"/>
              </w:rPr>
              <w:t>软件</w:t>
            </w:r>
          </w:p>
        </w:tc>
        <w:tc>
          <w:tcPr>
            <w:tcW w:type="dxa" w:w="2500"/>
          </w:tcPr>
          <w:p>
            <w:pPr>
              <w:keepLines/>
              <w:spacing w:after="0" w:line="276" w:lineRule="auto"/>
            </w:pPr>
            <w:r>
              <w:rPr>
                <w:rFonts w:ascii="Calibri" w:hAnsi="Calibri" w:eastAsia="Microsoft YaHei"/>
                <w:color w:val="0B2545"/>
                <w:sz w:val="14"/>
              </w:rPr>
              <w:t>BITE</w:t>
            </w:r>
          </w:p>
        </w:tc>
        <w:tc>
          <w:tcPr>
            <w:tcW w:type="dxa" w:w="1600"/>
          </w:tcPr>
          <w:p>
            <w:pPr>
              <w:keepLines/>
              <w:spacing w:after="0" w:line="276" w:lineRule="auto"/>
            </w:pPr>
            <w:r>
              <w:rPr>
                <w:rFonts w:ascii="Calibri" w:hAnsi="Calibri" w:eastAsia="Microsoft YaHei"/>
                <w:color w:val="0B2545"/>
                <w:sz w:val="14"/>
              </w:rPr>
              <w:t>not-public</w:t>
            </w:r>
          </w:p>
        </w:tc>
        <w:tc>
          <w:tcPr>
            <w:tcW w:type="dxa" w:w="2300"/>
          </w:tcPr>
          <w:p>
            <w:pPr>
              <w:keepLines/>
              <w:spacing w:after="0" w:line="276" w:lineRule="auto"/>
            </w:pPr>
            <w:r>
              <w:rPr>
                <w:rFonts w:ascii="Calibri" w:hAnsi="Calibri" w:eastAsia="Microsoft YaHei"/>
                <w:color w:val="0B2545"/>
                <w:sz w:val="14"/>
              </w:rPr>
              <w:t>论文所述完整 Bayesian Impurity Transport InferencE 工作流未核验到公共仓库。</w:t>
            </w:r>
          </w:p>
        </w:tc>
        <w:tc>
          <w:tcPr>
            <w:tcW w:type="dxa" w:w="2110"/>
          </w:tcPr>
          <w:p>
            <w:pPr>
              <w:keepLines/>
              <w:spacing w:after="0" w:line="276" w:lineRule="auto"/>
            </w:pPr>
            <w:r>
              <w:rPr>
                <w:rFonts w:ascii="Calibri" w:hAnsi="Calibri" w:eastAsia="Microsoft YaHei"/>
                <w:color w:val="0B2545"/>
                <w:sz w:val="14"/>
              </w:rPr>
              <w:t>未公开</w:t>
            </w:r>
          </w:p>
        </w:tc>
      </w:tr>
      <w:tr>
        <w:trPr>
          <w:cantSplit/>
        </w:trPr>
        <w:tc>
          <w:tcPr>
            <w:tcW w:type="dxa" w:w="850"/>
          </w:tcPr>
          <w:p>
            <w:pPr>
              <w:keepLines/>
              <w:spacing w:after="0" w:line="276" w:lineRule="auto"/>
            </w:pPr>
            <w:r>
              <w:rPr>
                <w:rFonts w:ascii="Calibri" w:hAnsi="Calibri" w:eastAsia="Microsoft YaHei"/>
                <w:color w:val="0B2545"/>
                <w:sz w:val="14"/>
              </w:rPr>
              <w:t>软件</w:t>
            </w:r>
          </w:p>
        </w:tc>
        <w:tc>
          <w:tcPr>
            <w:tcW w:type="dxa" w:w="2500"/>
          </w:tcPr>
          <w:p>
            <w:pPr>
              <w:keepLines/>
              <w:spacing w:after="0" w:line="276" w:lineRule="auto"/>
            </w:pPr>
            <w:r>
              <w:rPr>
                <w:rFonts w:ascii="Calibri" w:hAnsi="Calibri" w:eastAsia="Microsoft YaHei"/>
                <w:color w:val="0B2545"/>
                <w:sz w:val="14"/>
              </w:rPr>
              <w:t>Aurora</w:t>
            </w:r>
          </w:p>
        </w:tc>
        <w:tc>
          <w:tcPr>
            <w:tcW w:type="dxa" w:w="1600"/>
          </w:tcPr>
          <w:p>
            <w:pPr>
              <w:keepLines/>
              <w:spacing w:after="0" w:line="276" w:lineRule="auto"/>
            </w:pPr>
            <w:r>
              <w:rPr>
                <w:rFonts w:ascii="Calibri" w:hAnsi="Calibri" w:eastAsia="Microsoft YaHei"/>
                <w:color w:val="0B2545"/>
                <w:sz w:val="14"/>
              </w:rPr>
              <w:t>official-enabling</w:t>
            </w:r>
          </w:p>
        </w:tc>
        <w:tc>
          <w:tcPr>
            <w:tcW w:type="dxa" w:w="2300"/>
          </w:tcPr>
          <w:p>
            <w:pPr>
              <w:keepLines/>
              <w:spacing w:after="0" w:line="276" w:lineRule="auto"/>
            </w:pPr>
            <w:r>
              <w:rPr>
                <w:rFonts w:ascii="Calibri" w:hAnsi="Calibri" w:eastAsia="Microsoft YaHei"/>
                <w:color w:val="0B2545"/>
                <w:sz w:val="14"/>
              </w:rPr>
              <w:t>作者团队的杂质输运/原子前向模型库；不是 BITE 采样与模型选择本体。</w:t>
            </w:r>
          </w:p>
        </w:tc>
        <w:tc>
          <w:tcPr>
            <w:tcW w:type="dxa" w:w="2110"/>
          </w:tcPr>
          <w:p>
            <w:pPr>
              <w:keepLines/>
              <w:spacing w:after="0" w:line="276" w:lineRule="auto"/>
            </w:pPr>
            <w:hyperlink r:id="rId205">
              <w:r>
                <w:rPr>
                  <w:rFonts w:ascii="Calibri" w:hAnsi="Calibri" w:eastAsia="Microsoft YaHei"/>
                  <w:color w:val="008C95"/>
                  <w:u w:val="single"/>
                </w:rPr>
                <w:t>打开原始来源 ↗</w:t>
              </w:r>
            </w:hyperlink>
          </w:p>
        </w:tc>
      </w:tr>
    </w:tbl>
    <w:p>
      <w:pPr>
        <w:spacing w:before="0" w:after="60"/>
      </w:pPr>
    </w:p>
    <w:p>
      <w:pPr>
        <w:pStyle w:val="Heading3"/>
        <w:keepNext/>
      </w:pPr>
      <w:r>
        <w:t>DG10.08  InDiCA 集成诊断分析框架</w:t>
      </w:r>
    </w:p>
    <w:p>
      <w:pPr>
        <w:keepNext/>
        <w:spacing w:after="80"/>
      </w:pPr>
      <w:r>
        <w:rPr>
          <w:rFonts w:ascii="Calibri" w:hAnsi="Calibri" w:eastAsia="Microsoft YaHei"/>
          <w:i/>
          <w:color w:val="566573"/>
          <w:sz w:val="18"/>
        </w:rPr>
        <w:t>InDiCA Integrated DiagnostiC Analysis</w:t>
      </w:r>
    </w:p>
    <w:tbl>
      <w:tblPr>
        <w:tblStyle w:val="TableGrid"/>
        <w:tblW w:type="dxa" w:w="9360"/>
        <w:jc w:val="left"/>
        <w:tblLayout w:type="fixed"/>
        <w:tblLook w:firstColumn="1" w:firstRow="1" w:lastColumn="0" w:lastRow="0" w:noHBand="0" w:noVBand="1" w:val="04A0"/>
        <w:tblInd w:w="120" w:type="dxa"/>
      </w:tblPr>
      <w:tblGrid>
        <w:gridCol w:w="1200"/>
        <w:gridCol w:w="750"/>
        <w:gridCol w:w="750"/>
        <w:gridCol w:w="2100"/>
        <w:gridCol w:w="4560"/>
      </w:tblGrid>
      <w:tr>
        <w:trPr>
          <w:tblHeader w:val="true"/>
        </w:trPr>
        <w:tc>
          <w:tcPr>
            <w:tcW w:type="dxa" w:w="12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工作 ID</w:t>
            </w:r>
          </w:p>
        </w:tc>
        <w:tc>
          <w:tcPr>
            <w:tcW w:type="dxa" w:w="7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证据</w:t>
            </w:r>
          </w:p>
        </w:tc>
        <w:tc>
          <w:tcPr>
            <w:tcW w:type="dxa" w:w="7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部署</w:t>
            </w:r>
          </w:p>
        </w:tc>
        <w:tc>
          <w:tcPr>
            <w:tcW w:type="dxa" w:w="21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技术族</w:t>
            </w:r>
          </w:p>
        </w:tc>
        <w:tc>
          <w:tcPr>
            <w:tcW w:type="dxa" w:w="456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装置</w:t>
            </w:r>
          </w:p>
        </w:tc>
      </w:tr>
      <w:tr>
        <w:trPr>
          <w:cantSplit/>
        </w:trPr>
        <w:tc>
          <w:tcPr>
            <w:tcW w:type="dxa" w:w="1200"/>
          </w:tcPr>
          <w:p>
            <w:pPr>
              <w:keepLines/>
              <w:spacing w:after="0" w:line="276" w:lineRule="auto"/>
            </w:pPr>
            <w:r>
              <w:rPr>
                <w:rFonts w:ascii="Calibri" w:hAnsi="Calibri" w:eastAsia="Microsoft YaHei"/>
                <w:color w:val="0B2545"/>
                <w:sz w:val="15"/>
              </w:rPr>
              <w:t>DSI-029</w:t>
            </w:r>
          </w:p>
        </w:tc>
        <w:tc>
          <w:tcPr>
            <w:tcW w:type="dxa" w:w="750"/>
          </w:tcPr>
          <w:p>
            <w:pPr>
              <w:keepLines/>
              <w:spacing w:after="0" w:line="276" w:lineRule="auto"/>
            </w:pPr>
            <w:r>
              <w:rPr>
                <w:rFonts w:ascii="Calibri" w:hAnsi="Calibri" w:eastAsia="Microsoft YaHei"/>
                <w:color w:val="0B2545"/>
                <w:sz w:val="15"/>
              </w:rPr>
              <w:t>E2</w:t>
            </w:r>
          </w:p>
        </w:tc>
        <w:tc>
          <w:tcPr>
            <w:tcW w:type="dxa" w:w="750"/>
          </w:tcPr>
          <w:p>
            <w:pPr>
              <w:keepLines/>
              <w:spacing w:after="0" w:line="276" w:lineRule="auto"/>
            </w:pPr>
            <w:r>
              <w:rPr>
                <w:rFonts w:ascii="Calibri" w:hAnsi="Calibri" w:eastAsia="Microsoft YaHei"/>
                <w:color w:val="0B2545"/>
                <w:sz w:val="15"/>
              </w:rPr>
              <w:t>D2</w:t>
            </w:r>
          </w:p>
        </w:tc>
        <w:tc>
          <w:tcPr>
            <w:tcW w:type="dxa" w:w="2100"/>
          </w:tcPr>
          <w:p>
            <w:pPr>
              <w:keepLines/>
              <w:spacing w:after="0" w:line="276" w:lineRule="auto"/>
            </w:pPr>
            <w:r>
              <w:rPr>
                <w:rFonts w:ascii="Calibri" w:hAnsi="Calibri" w:eastAsia="Microsoft YaHei"/>
                <w:color w:val="0B2545"/>
                <w:sz w:val="15"/>
              </w:rPr>
              <w:t>COMPUTATIONAL</w:t>
            </w:r>
          </w:p>
        </w:tc>
        <w:tc>
          <w:tcPr>
            <w:tcW w:type="dxa" w:w="4560"/>
          </w:tcPr>
          <w:p>
            <w:pPr>
              <w:keepLines/>
              <w:spacing w:after="0" w:line="276" w:lineRule="auto"/>
            </w:pPr>
            <w:r>
              <w:rPr>
                <w:rFonts w:ascii="Calibri" w:hAnsi="Calibri" w:eastAsia="Microsoft YaHei"/>
                <w:color w:val="0B2545"/>
                <w:sz w:val="15"/>
              </w:rPr>
              <w:t>MAST Upgrade/UKAEA-oriented development；generic magnetic-confinement devices</w:t>
            </w:r>
          </w:p>
        </w:tc>
      </w:tr>
    </w:tbl>
    <w:p>
      <w:pPr>
        <w:spacing w:before="0" w:after="60"/>
      </w:pPr>
    </w:p>
    <w:p>
      <w:pPr>
        <w:widowControl/>
      </w:pPr>
      <w:r>
        <w:rPr>
          <w:rFonts w:ascii="Calibri" w:hAnsi="Calibri" w:eastAsia="Microsoft YaHei"/>
          <w:b/>
          <w:color w:val="1F4D78"/>
        </w:rPr>
        <w:t>解决问题：</w:t>
      </w:r>
      <w:r>
        <w:rPr>
          <w:rFonts w:ascii="Calibri" w:hAnsi="Calibri" w:eastAsia="Microsoft YaHei"/>
        </w:rPr>
        <w:t>集成分析代码常重复实现数据容器、坐标变换、平衡访问、单位、血缘和诊断算子，难以组合与审计。</w:t>
      </w:r>
    </w:p>
    <w:p>
      <w:pPr>
        <w:widowControl/>
      </w:pPr>
      <w:r>
        <w:rPr>
          <w:rFonts w:ascii="Calibri" w:hAnsi="Calibri" w:eastAsia="Microsoft YaHei"/>
          <w:b/>
          <w:color w:val="1F4D78"/>
        </w:rPr>
        <w:t>测量原理：</w:t>
      </w:r>
      <w:r>
        <w:rPr>
          <w:rFonts w:ascii="Calibri" w:hAnsi="Calibri" w:eastAsia="Microsoft YaHei"/>
        </w:rPr>
        <w:t>以统一数据类型和 operator 把诊断读取、坐标映射、前向/逆算子和工作流组合；首个应用推断多杂质核心组分。</w:t>
      </w:r>
    </w:p>
    <w:p>
      <w:pPr>
        <w:widowControl/>
      </w:pPr>
      <w:r>
        <w:rPr>
          <w:rFonts w:ascii="Calibri" w:hAnsi="Calibri" w:eastAsia="Microsoft YaHei"/>
          <w:b/>
          <w:color w:val="1F4D78"/>
        </w:rPr>
        <w:t>测量产品：</w:t>
      </w:r>
      <w:r>
        <w:rPr>
          <w:rFonts w:ascii="Calibri" w:hAnsi="Calibri" w:eastAsia="Microsoft YaHei"/>
        </w:rPr>
        <w:t>diagnostic data arrays；equilibrium-mapped profiles；impurity composition；Zeff；radiation；dilution</w:t>
      </w:r>
    </w:p>
    <w:p>
      <w:pPr>
        <w:widowControl/>
      </w:pPr>
      <w:r>
        <w:rPr>
          <w:rFonts w:ascii="Calibri" w:hAnsi="Calibri" w:eastAsia="Microsoft YaHei"/>
          <w:b/>
          <w:color w:val="1F4D78"/>
        </w:rPr>
        <w:t>时空分辨与覆盖：</w:t>
      </w:r>
      <w:r>
        <w:rPr>
          <w:rFonts w:ascii="Calibri" w:hAnsi="Calibri" w:eastAsia="Microsoft YaHei"/>
        </w:rPr>
        <w:t>时间：因装置、采集和分析链而异；原始来源未给出统一数值。；空间：由视线、几何和反演设定；原始来源未给出统一数值。</w:t>
      </w:r>
    </w:p>
    <w:p>
      <w:pPr>
        <w:widowControl/>
      </w:pPr>
      <w:r>
        <w:rPr>
          <w:rFonts w:ascii="Calibri" w:hAnsi="Calibri" w:eastAsia="Microsoft YaHei"/>
          <w:b/>
          <w:color w:val="1F4D78"/>
        </w:rPr>
        <w:t>仪器与传感器：</w:t>
      </w:r>
      <w:r>
        <w:rPr>
          <w:rFonts w:ascii="Calibri" w:hAnsi="Calibri" w:eastAsia="Microsoft YaHei"/>
        </w:rPr>
        <w:t>analysis servers</w:t>
      </w:r>
    </w:p>
    <w:p>
      <w:pPr>
        <w:widowControl/>
      </w:pPr>
      <w:r>
        <w:rPr>
          <w:rFonts w:ascii="Calibri" w:hAnsi="Calibri" w:eastAsia="Microsoft YaHei"/>
          <w:b/>
          <w:color w:val="1F4D78"/>
        </w:rPr>
        <w:t>标定与质量：</w:t>
      </w:r>
      <w:r>
        <w:rPr>
          <w:rFonts w:ascii="Calibri" w:hAnsi="Calibri" w:eastAsia="Microsoft YaHei"/>
        </w:rPr>
        <w:t>数据类型可携带误差、单位、血缘与时间分辨；源诊断校准证书和相关协方差仍需接入。</w:t>
      </w:r>
    </w:p>
    <w:p>
      <w:pPr>
        <w:widowControl/>
      </w:pPr>
      <w:r>
        <w:rPr>
          <w:rFonts w:ascii="Calibri" w:hAnsi="Calibri" w:eastAsia="Microsoft YaHei"/>
          <w:b/>
          <w:color w:val="1F4D78"/>
        </w:rPr>
        <w:t>反演与分析：</w:t>
      </w:r>
      <w:r>
        <w:rPr>
          <w:rFonts w:ascii="Calibri" w:hAnsi="Calibri" w:eastAsia="Microsoft YaHei"/>
        </w:rPr>
        <w:t>integrated composition inference；coordinate transformations；provenance tracking</w:t>
      </w:r>
    </w:p>
    <w:p>
      <w:pPr>
        <w:widowControl/>
      </w:pPr>
      <w:r>
        <w:rPr>
          <w:rFonts w:ascii="Calibri" w:hAnsi="Calibri" w:eastAsia="Microsoft YaHei"/>
          <w:b/>
          <w:color w:val="1F4D78"/>
        </w:rPr>
        <w:t>验证与应用：</w:t>
      </w:r>
      <w:r>
        <w:rPr>
          <w:rFonts w:ascii="Calibri" w:hAnsi="Calibri" w:eastAsia="Microsoft YaHei"/>
        </w:rPr>
        <w:t>官方文档给出核心多杂质组成的范围、输入输出、溯源模式和教程；PyPI 由 GitHub trusted publishing 发布。</w:t>
      </w:r>
    </w:p>
    <w:p>
      <w:pPr>
        <w:widowControl/>
      </w:pPr>
      <w:r>
        <w:rPr>
          <w:rFonts w:ascii="Calibri" w:hAnsi="Calibri" w:eastAsia="Microsoft YaHei"/>
          <w:b/>
          <w:color w:val="1F4D78"/>
        </w:rPr>
        <w:t>局限与边界：</w:t>
      </w:r>
      <w:r>
        <w:rPr>
          <w:rFonts w:ascii="Calibri" w:hAnsi="Calibri" w:eastAsia="Microsoft YaHei"/>
        </w:rPr>
        <w:t>仍处活跃开发，API 和装置适配覆盖变化；尚无公开证据表明成为多装置实时生产 IDA。</w:t>
      </w:r>
    </w:p>
    <w:tbl>
      <w:tblPr>
        <w:tblStyle w:val="TableGrid"/>
        <w:tblW w:type="dxa" w:w="9360"/>
        <w:jc w:val="left"/>
        <w:tblLayout w:type="fixed"/>
        <w:tblLook w:firstColumn="1" w:firstRow="1" w:lastColumn="0" w:lastRow="0" w:noHBand="0" w:noVBand="1" w:val="04A0"/>
        <w:tblInd w:w="120" w:type="dxa"/>
      </w:tblPr>
      <w:tblGrid>
        <w:gridCol w:w="9360"/>
      </w:tblGrid>
      <w:tr>
        <w:trPr>
          <w:cantSplit/>
        </w:trPr>
        <w:tc>
          <w:tcPr>
            <w:tcW w:type="dxa" w:w="9360"/>
            <w:tcMar>
              <w:top w:w="80" w:type="dxa"/>
              <w:bottom w:w="80" w:type="dxa"/>
              <w:start w:w="120" w:type="dxa"/>
              <w:end w:w="120" w:type="dxa"/>
            </w:tcMar>
            <w:vAlign w:val="center"/>
            <w:shd w:fill="EEF7F7"/>
          </w:tcPr>
          <w:p>
            <w:pPr>
              <w:keepNext/>
              <w:keepLines/>
              <w:spacing w:after="40"/>
            </w:pPr>
            <w:r>
              <w:rPr>
                <w:rFonts w:ascii="Calibri" w:hAnsi="Calibri" w:eastAsia="Microsoft YaHei"/>
                <w:b/>
                <w:color w:val="008C95"/>
                <w:sz w:val="17"/>
              </w:rPr>
              <w:t>DIGITAL-TWIN RELEVANCE</w:t>
            </w:r>
          </w:p>
          <w:p>
            <w:pPr>
              <w:spacing w:after="0"/>
            </w:pPr>
            <w:r>
              <w:rPr>
                <w:rFonts w:ascii="Calibri" w:hAnsi="Calibri" w:eastAsia="Microsoft YaHei"/>
                <w:color w:val="0B2545"/>
                <w:sz w:val="20"/>
              </w:rPr>
              <w:t>把数据契约、坐标与可组合诊断算子放在同一 Python 框架，是面向孪生的工程化 IDA 候选。</w:t>
            </w:r>
          </w:p>
        </w:tc>
      </w:tr>
    </w:tbl>
    <w:p>
      <w:pPr>
        <w:spacing w:after="40"/>
      </w:pPr>
    </w:p>
    <w:tbl>
      <w:tblPr>
        <w:tblStyle w:val="TableGrid"/>
        <w:tblW w:type="dxa" w:w="9360"/>
        <w:jc w:val="left"/>
        <w:tblLayout w:type="fixed"/>
        <w:tblLook w:firstColumn="1" w:firstRow="1" w:lastColumn="0" w:lastRow="0" w:noHBand="0" w:noVBand="1" w:val="04A0"/>
        <w:tblInd w:w="120" w:type="dxa"/>
      </w:tblPr>
      <w:tblGrid>
        <w:gridCol w:w="850"/>
        <w:gridCol w:w="2500"/>
        <w:gridCol w:w="1600"/>
        <w:gridCol w:w="2300"/>
        <w:gridCol w:w="2110"/>
      </w:tblGrid>
      <w:tr>
        <w:trPr>
          <w:tblHeader w:val="true"/>
        </w:trPr>
        <w:tc>
          <w:tcPr>
            <w:tcW w:type="dxa" w:w="8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年份/类型</w:t>
            </w:r>
          </w:p>
        </w:tc>
        <w:tc>
          <w:tcPr>
            <w:tcW w:type="dxa" w:w="25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论文或软件</w:t>
            </w:r>
          </w:p>
        </w:tc>
        <w:tc>
          <w:tcPr>
            <w:tcW w:type="dxa" w:w="16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期刊/开放性</w:t>
            </w:r>
          </w:p>
        </w:tc>
        <w:tc>
          <w:tcPr>
            <w:tcW w:type="dxa" w:w="23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来源类型/关系</w:t>
            </w:r>
          </w:p>
        </w:tc>
        <w:tc>
          <w:tcPr>
            <w:tcW w:type="dxa" w:w="211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链接</w:t>
            </w:r>
          </w:p>
        </w:tc>
      </w:tr>
      <w:tr>
        <w:trPr>
          <w:cantSplit/>
        </w:trPr>
        <w:tc>
          <w:tcPr>
            <w:tcW w:type="dxa" w:w="850"/>
          </w:tcPr>
          <w:p>
            <w:pPr>
              <w:keepLines/>
              <w:spacing w:after="0" w:line="276" w:lineRule="auto"/>
            </w:pPr>
            <w:r>
              <w:rPr>
                <w:rFonts w:ascii="Calibri" w:hAnsi="Calibri" w:eastAsia="Microsoft YaHei"/>
                <w:color w:val="0B2545"/>
                <w:sz w:val="14"/>
              </w:rPr>
              <w:t>2026</w:t>
            </w:r>
          </w:p>
        </w:tc>
        <w:tc>
          <w:tcPr>
            <w:tcW w:type="dxa" w:w="2500"/>
          </w:tcPr>
          <w:p>
            <w:pPr>
              <w:keepLines/>
              <w:spacing w:after="0" w:line="276" w:lineRule="auto"/>
            </w:pPr>
            <w:r>
              <w:rPr>
                <w:rFonts w:ascii="Calibri" w:hAnsi="Calibri" w:eastAsia="Microsoft YaHei"/>
                <w:color w:val="0B2545"/>
                <w:sz w:val="14"/>
              </w:rPr>
              <w:t>InDiCA official documentation</w:t>
            </w:r>
          </w:p>
        </w:tc>
        <w:tc>
          <w:tcPr>
            <w:tcW w:type="dxa" w:w="1600"/>
          </w:tcPr>
          <w:p>
            <w:pPr>
              <w:keepLines/>
              <w:spacing w:after="0" w:line="276" w:lineRule="auto"/>
            </w:pPr>
            <w:r>
              <w:rPr>
                <w:rFonts w:ascii="Calibri" w:hAnsi="Calibri" w:eastAsia="Microsoft YaHei"/>
                <w:color w:val="0B2545"/>
                <w:sz w:val="14"/>
              </w:rPr>
              <w:t>原始论文 / 官方来源</w:t>
            </w:r>
          </w:p>
        </w:tc>
        <w:tc>
          <w:tcPr>
            <w:tcW w:type="dxa" w:w="2300"/>
          </w:tcPr>
          <w:p>
            <w:pPr>
              <w:keepLines/>
              <w:spacing w:after="0" w:line="276" w:lineRule="auto"/>
            </w:pPr>
            <w:r>
              <w:rPr>
                <w:rFonts w:ascii="Calibri" w:hAnsi="Calibri" w:eastAsia="Microsoft YaHei"/>
                <w:color w:val="0B2545"/>
                <w:sz w:val="14"/>
              </w:rPr>
              <w:t>official project documentation</w:t>
            </w:r>
          </w:p>
        </w:tc>
        <w:tc>
          <w:tcPr>
            <w:tcW w:type="dxa" w:w="2110"/>
          </w:tcPr>
          <w:p>
            <w:pPr>
              <w:keepLines/>
              <w:spacing w:after="0" w:line="276" w:lineRule="auto"/>
            </w:pPr>
            <w:hyperlink r:id="rId206">
              <w:r>
                <w:rPr>
                  <w:rFonts w:ascii="Calibri" w:hAnsi="Calibri" w:eastAsia="Microsoft YaHei"/>
                  <w:color w:val="008C95"/>
                  <w:u w:val="single"/>
                </w:rPr>
                <w:t>打开原始来源 ↗</w:t>
              </w:r>
            </w:hyperlink>
          </w:p>
        </w:tc>
      </w:tr>
      <w:tr>
        <w:trPr>
          <w:cantSplit/>
        </w:trPr>
        <w:tc>
          <w:tcPr>
            <w:tcW w:type="dxa" w:w="850"/>
          </w:tcPr>
          <w:p>
            <w:pPr>
              <w:keepLines/>
              <w:spacing w:after="0" w:line="276" w:lineRule="auto"/>
            </w:pPr>
            <w:r>
              <w:rPr>
                <w:rFonts w:ascii="Calibri" w:hAnsi="Calibri" w:eastAsia="Microsoft YaHei"/>
                <w:color w:val="0B2545"/>
                <w:sz w:val="14"/>
              </w:rPr>
              <w:t>2026</w:t>
            </w:r>
          </w:p>
        </w:tc>
        <w:tc>
          <w:tcPr>
            <w:tcW w:type="dxa" w:w="2500"/>
          </w:tcPr>
          <w:p>
            <w:pPr>
              <w:keepLines/>
              <w:spacing w:after="0" w:line="276" w:lineRule="auto"/>
            </w:pPr>
            <w:r>
              <w:rPr>
                <w:rFonts w:ascii="Calibri" w:hAnsi="Calibri" w:eastAsia="Microsoft YaHei"/>
                <w:color w:val="0B2545"/>
                <w:sz w:val="14"/>
              </w:rPr>
              <w:t>InDiCA package release</w:t>
            </w:r>
          </w:p>
        </w:tc>
        <w:tc>
          <w:tcPr>
            <w:tcW w:type="dxa" w:w="1600"/>
          </w:tcPr>
          <w:p>
            <w:pPr>
              <w:keepLines/>
              <w:spacing w:after="0" w:line="276" w:lineRule="auto"/>
            </w:pPr>
            <w:r>
              <w:rPr>
                <w:rFonts w:ascii="Calibri" w:hAnsi="Calibri" w:eastAsia="Microsoft YaHei"/>
                <w:color w:val="0B2545"/>
                <w:sz w:val="14"/>
              </w:rPr>
              <w:t>原始论文 / 官方来源</w:t>
            </w:r>
          </w:p>
        </w:tc>
        <w:tc>
          <w:tcPr>
            <w:tcW w:type="dxa" w:w="2300"/>
          </w:tcPr>
          <w:p>
            <w:pPr>
              <w:keepLines/>
              <w:spacing w:after="0" w:line="276" w:lineRule="auto"/>
            </w:pPr>
            <w:r>
              <w:rPr>
                <w:rFonts w:ascii="Calibri" w:hAnsi="Calibri" w:eastAsia="Microsoft YaHei"/>
                <w:color w:val="0B2545"/>
                <w:sz w:val="14"/>
              </w:rPr>
              <w:t>official package registry with verified provenance</w:t>
            </w:r>
          </w:p>
        </w:tc>
        <w:tc>
          <w:tcPr>
            <w:tcW w:type="dxa" w:w="2110"/>
          </w:tcPr>
          <w:p>
            <w:pPr>
              <w:keepLines/>
              <w:spacing w:after="0" w:line="276" w:lineRule="auto"/>
            </w:pPr>
            <w:hyperlink r:id="rId207">
              <w:r>
                <w:rPr>
                  <w:rFonts w:ascii="Calibri" w:hAnsi="Calibri" w:eastAsia="Microsoft YaHei"/>
                  <w:color w:val="008C95"/>
                  <w:u w:val="single"/>
                </w:rPr>
                <w:t>打开原始来源 ↗</w:t>
              </w:r>
            </w:hyperlink>
          </w:p>
        </w:tc>
      </w:tr>
      <w:tr>
        <w:trPr>
          <w:cantSplit/>
        </w:trPr>
        <w:tc>
          <w:tcPr>
            <w:tcW w:type="dxa" w:w="850"/>
          </w:tcPr>
          <w:p>
            <w:pPr>
              <w:keepLines/>
              <w:spacing w:after="0" w:line="276" w:lineRule="auto"/>
            </w:pPr>
            <w:r>
              <w:rPr>
                <w:rFonts w:ascii="Calibri" w:hAnsi="Calibri" w:eastAsia="Microsoft YaHei"/>
                <w:color w:val="0B2545"/>
                <w:sz w:val="14"/>
              </w:rPr>
              <w:t>软件</w:t>
            </w:r>
          </w:p>
        </w:tc>
        <w:tc>
          <w:tcPr>
            <w:tcW w:type="dxa" w:w="2500"/>
          </w:tcPr>
          <w:p>
            <w:pPr>
              <w:keepLines/>
              <w:spacing w:after="0" w:line="276" w:lineRule="auto"/>
            </w:pPr>
            <w:r>
              <w:rPr>
                <w:rFonts w:ascii="Calibri" w:hAnsi="Calibri" w:eastAsia="Microsoft YaHei"/>
                <w:color w:val="0B2545"/>
                <w:sz w:val="14"/>
              </w:rPr>
              <w:t>InDiCA</w:t>
            </w:r>
          </w:p>
        </w:tc>
        <w:tc>
          <w:tcPr>
            <w:tcW w:type="dxa" w:w="1600"/>
          </w:tcPr>
          <w:p>
            <w:pPr>
              <w:keepLines/>
              <w:spacing w:after="0" w:line="276" w:lineRule="auto"/>
            </w:pPr>
            <w:r>
              <w:rPr>
                <w:rFonts w:ascii="Calibri" w:hAnsi="Calibri" w:eastAsia="Microsoft YaHei"/>
                <w:color w:val="0B2545"/>
                <w:sz w:val="14"/>
              </w:rPr>
              <w:t>official-direct</w:t>
            </w:r>
          </w:p>
        </w:tc>
        <w:tc>
          <w:tcPr>
            <w:tcW w:type="dxa" w:w="2300"/>
          </w:tcPr>
          <w:p>
            <w:pPr>
              <w:keepLines/>
              <w:spacing w:after="0" w:line="276" w:lineRule="auto"/>
            </w:pPr>
            <w:r>
              <w:rPr>
                <w:rFonts w:ascii="Calibri" w:hAnsi="Calibri" w:eastAsia="Microsoft YaHei"/>
                <w:color w:val="0B2545"/>
                <w:sz w:val="14"/>
              </w:rPr>
              <w:t>PyPI verified provenance指向的项目官方公开仓库。</w:t>
            </w:r>
          </w:p>
        </w:tc>
        <w:tc>
          <w:tcPr>
            <w:tcW w:type="dxa" w:w="2110"/>
          </w:tcPr>
          <w:p>
            <w:pPr>
              <w:keepLines/>
              <w:spacing w:after="0" w:line="276" w:lineRule="auto"/>
            </w:pPr>
            <w:hyperlink r:id="rId208">
              <w:r>
                <w:rPr>
                  <w:rFonts w:ascii="Calibri" w:hAnsi="Calibri" w:eastAsia="Microsoft YaHei"/>
                  <w:color w:val="008C95"/>
                  <w:u w:val="single"/>
                </w:rPr>
                <w:t>打开原始来源 ↗</w:t>
              </w:r>
            </w:hyperlink>
          </w:p>
        </w:tc>
      </w:tr>
    </w:tbl>
    <w:p>
      <w:pPr>
        <w:spacing w:before="0" w:after="60"/>
      </w:pPr>
    </w:p>
    <w:p>
      <w:pPr>
        <w:pStyle w:val="Heading3"/>
        <w:keepNext/>
      </w:pPr>
      <w:r>
        <w:t>DG10.09  BEAST/MAST 贝叶斯平衡推断与证据交叉验证</w:t>
      </w:r>
    </w:p>
    <w:p>
      <w:pPr>
        <w:keepNext/>
        <w:spacing w:after="80"/>
      </w:pPr>
      <w:r>
        <w:rPr>
          <w:rFonts w:ascii="Calibri" w:hAnsi="Calibri" w:eastAsia="Microsoft YaHei"/>
          <w:i/>
          <w:color w:val="566573"/>
          <w:sz w:val="18"/>
        </w:rPr>
        <w:t>BEAST Bayesian Equilibrium Inference and Evidence Cross-Validation on MAST</w:t>
      </w:r>
    </w:p>
    <w:tbl>
      <w:tblPr>
        <w:tblStyle w:val="TableGrid"/>
        <w:tblW w:type="dxa" w:w="9360"/>
        <w:jc w:val="left"/>
        <w:tblLayout w:type="fixed"/>
        <w:tblLook w:firstColumn="1" w:firstRow="1" w:lastColumn="0" w:lastRow="0" w:noHBand="0" w:noVBand="1" w:val="04A0"/>
        <w:tblInd w:w="120" w:type="dxa"/>
      </w:tblPr>
      <w:tblGrid>
        <w:gridCol w:w="1200"/>
        <w:gridCol w:w="750"/>
        <w:gridCol w:w="750"/>
        <w:gridCol w:w="2100"/>
        <w:gridCol w:w="4560"/>
      </w:tblGrid>
      <w:tr>
        <w:trPr>
          <w:tblHeader w:val="true"/>
        </w:trPr>
        <w:tc>
          <w:tcPr>
            <w:tcW w:type="dxa" w:w="12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工作 ID</w:t>
            </w:r>
          </w:p>
        </w:tc>
        <w:tc>
          <w:tcPr>
            <w:tcW w:type="dxa" w:w="7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证据</w:t>
            </w:r>
          </w:p>
        </w:tc>
        <w:tc>
          <w:tcPr>
            <w:tcW w:type="dxa" w:w="7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部署</w:t>
            </w:r>
          </w:p>
        </w:tc>
        <w:tc>
          <w:tcPr>
            <w:tcW w:type="dxa" w:w="21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技术族</w:t>
            </w:r>
          </w:p>
        </w:tc>
        <w:tc>
          <w:tcPr>
            <w:tcW w:type="dxa" w:w="456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装置</w:t>
            </w:r>
          </w:p>
        </w:tc>
      </w:tr>
      <w:tr>
        <w:trPr>
          <w:cantSplit/>
        </w:trPr>
        <w:tc>
          <w:tcPr>
            <w:tcW w:type="dxa" w:w="1200"/>
          </w:tcPr>
          <w:p>
            <w:pPr>
              <w:keepLines/>
              <w:spacing w:after="0" w:line="276" w:lineRule="auto"/>
            </w:pPr>
            <w:r>
              <w:rPr>
                <w:rFonts w:ascii="Calibri" w:hAnsi="Calibri" w:eastAsia="Microsoft YaHei"/>
                <w:color w:val="0B2545"/>
                <w:sz w:val="15"/>
              </w:rPr>
              <w:t>DSI-030</w:t>
            </w:r>
          </w:p>
        </w:tc>
        <w:tc>
          <w:tcPr>
            <w:tcW w:type="dxa" w:w="750"/>
          </w:tcPr>
          <w:p>
            <w:pPr>
              <w:keepLines/>
              <w:spacing w:after="0" w:line="276" w:lineRule="auto"/>
            </w:pPr>
            <w:r>
              <w:rPr>
                <w:rFonts w:ascii="Calibri" w:hAnsi="Calibri" w:eastAsia="Microsoft YaHei"/>
                <w:color w:val="0B2545"/>
                <w:sz w:val="15"/>
              </w:rPr>
              <w:t>E3</w:t>
            </w:r>
          </w:p>
        </w:tc>
        <w:tc>
          <w:tcPr>
            <w:tcW w:type="dxa" w:w="750"/>
          </w:tcPr>
          <w:p>
            <w:pPr>
              <w:keepLines/>
              <w:spacing w:after="0" w:line="276" w:lineRule="auto"/>
            </w:pPr>
            <w:r>
              <w:rPr>
                <w:rFonts w:ascii="Calibri" w:hAnsi="Calibri" w:eastAsia="Microsoft YaHei"/>
                <w:color w:val="0B2545"/>
                <w:sz w:val="15"/>
              </w:rPr>
              <w:t>D2</w:t>
            </w:r>
          </w:p>
        </w:tc>
        <w:tc>
          <w:tcPr>
            <w:tcW w:type="dxa" w:w="2100"/>
          </w:tcPr>
          <w:p>
            <w:pPr>
              <w:keepLines/>
              <w:spacing w:after="0" w:line="276" w:lineRule="auto"/>
            </w:pPr>
            <w:r>
              <w:rPr>
                <w:rFonts w:ascii="Calibri" w:hAnsi="Calibri" w:eastAsia="Microsoft YaHei"/>
                <w:color w:val="0B2545"/>
                <w:sz w:val="15"/>
              </w:rPr>
              <w:t>MAGNETIC</w:t>
            </w:r>
          </w:p>
        </w:tc>
        <w:tc>
          <w:tcPr>
            <w:tcW w:type="dxa" w:w="4560"/>
          </w:tcPr>
          <w:p>
            <w:pPr>
              <w:keepLines/>
              <w:spacing w:after="0" w:line="276" w:lineRule="auto"/>
            </w:pPr>
            <w:r>
              <w:rPr>
                <w:rFonts w:ascii="Calibri" w:hAnsi="Calibri" w:eastAsia="Microsoft YaHei"/>
                <w:color w:val="0B2545"/>
                <w:sz w:val="15"/>
              </w:rPr>
              <w:t>MAST</w:t>
            </w:r>
          </w:p>
        </w:tc>
      </w:tr>
    </w:tbl>
    <w:p>
      <w:pPr>
        <w:spacing w:before="0" w:after="60"/>
      </w:pPr>
    </w:p>
    <w:p>
      <w:pPr>
        <w:widowControl/>
      </w:pPr>
      <w:r>
        <w:rPr>
          <w:rFonts w:ascii="Calibri" w:hAnsi="Calibri" w:eastAsia="Microsoft YaHei"/>
          <w:b/>
          <w:color w:val="1F4D78"/>
        </w:rPr>
        <w:t>解决问题：</w:t>
      </w:r>
      <w:r>
        <w:rPr>
          <w:rFonts w:ascii="Calibri" w:hAnsi="Calibri" w:eastAsia="Microsoft YaHei"/>
        </w:rPr>
        <w:t>磁探针、磁通环和 MSE 可能失标或异常；单一正则化平衡不给出可靠的不确定度或坏通道诊断。</w:t>
      </w:r>
    </w:p>
    <w:p>
      <w:pPr>
        <w:widowControl/>
      </w:pPr>
      <w:r>
        <w:rPr>
          <w:rFonts w:ascii="Calibri" w:hAnsi="Calibri" w:eastAsia="Microsoft YaHei"/>
          <w:b/>
          <w:color w:val="1F4D78"/>
        </w:rPr>
        <w:t>测量原理：</w:t>
      </w:r>
      <w:r>
        <w:rPr>
          <w:rFonts w:ascii="Calibri" w:hAnsi="Calibri" w:eastAsia="Microsoft YaHei"/>
        </w:rPr>
        <w:t>把等离子体电流离散为轴对称电流束，经 Biot–Savart 预测磁测量，联合 pickup coil、flux loop、MSE 形成后验并用证据识别离群通道。</w:t>
      </w:r>
    </w:p>
    <w:p>
      <w:pPr>
        <w:widowControl/>
      </w:pPr>
      <w:r>
        <w:rPr>
          <w:rFonts w:ascii="Calibri" w:hAnsi="Calibri" w:eastAsia="Microsoft YaHei"/>
          <w:b/>
          <w:color w:val="1F4D78"/>
        </w:rPr>
        <w:t>测量产品：</w:t>
      </w:r>
      <w:r>
        <w:rPr>
          <w:rFonts w:ascii="Calibri" w:hAnsi="Calibri" w:eastAsia="Microsoft YaHei"/>
        </w:rPr>
        <w:t>current density；LCFS；flux surfaces；q profile；Shafranov shift；uncertainty</w:t>
      </w:r>
    </w:p>
    <w:p>
      <w:pPr>
        <w:widowControl/>
      </w:pPr>
      <w:r>
        <w:rPr>
          <w:rFonts w:ascii="Calibri" w:hAnsi="Calibri" w:eastAsia="Microsoft YaHei"/>
          <w:b/>
          <w:color w:val="1F4D78"/>
        </w:rPr>
        <w:t>时空分辨与覆盖：</w:t>
      </w:r>
      <w:r>
        <w:rPr>
          <w:rFonts w:ascii="Calibri" w:hAnsi="Calibri" w:eastAsia="Microsoft YaHei"/>
        </w:rPr>
        <w:t>时间：因装置、采集和分析链而异；原始来源未给出统一数值。；空间：由视线、几何和反演设定；原始来源未给出统一数值。</w:t>
      </w:r>
    </w:p>
    <w:p>
      <w:pPr>
        <w:widowControl/>
      </w:pPr>
      <w:r>
        <w:rPr>
          <w:rFonts w:ascii="Calibri" w:hAnsi="Calibri" w:eastAsia="Microsoft YaHei"/>
          <w:b/>
          <w:color w:val="1F4D78"/>
        </w:rPr>
        <w:t>仪器与传感器：</w:t>
      </w:r>
      <w:r>
        <w:rPr>
          <w:rFonts w:ascii="Calibri" w:hAnsi="Calibri" w:eastAsia="Microsoft YaHei"/>
        </w:rPr>
        <w:t>magnetic pickup coils；flux loops；MSE</w:t>
      </w:r>
    </w:p>
    <w:p>
      <w:pPr>
        <w:widowControl/>
      </w:pPr>
      <w:r>
        <w:rPr>
          <w:rFonts w:ascii="Calibri" w:hAnsi="Calibri" w:eastAsia="Microsoft YaHei"/>
          <w:b/>
          <w:color w:val="1F4D78"/>
        </w:rPr>
        <w:t>标定与质量：</w:t>
      </w:r>
      <w:r>
        <w:rPr>
          <w:rFonts w:ascii="Calibri" w:hAnsi="Calibri" w:eastAsia="Microsoft YaHei"/>
        </w:rPr>
        <w:t>可将失校或故障通道作为离群观测识别；绝对增益、线圈几何和 MSE 偏置仍需先验/干扰参数。</w:t>
      </w:r>
    </w:p>
    <w:p>
      <w:pPr>
        <w:widowControl/>
      </w:pPr>
      <w:r>
        <w:rPr>
          <w:rFonts w:ascii="Calibri" w:hAnsi="Calibri" w:eastAsia="Microsoft YaHei"/>
          <w:b/>
          <w:color w:val="1F4D78"/>
        </w:rPr>
        <w:t>反演与分析：</w:t>
      </w:r>
      <w:r>
        <w:rPr>
          <w:rFonts w:ascii="Calibri" w:hAnsi="Calibri" w:eastAsia="Microsoft YaHei"/>
        </w:rPr>
        <w:t>Bayesian equilibrium；evidence cross-validation；outlier removal</w:t>
      </w:r>
    </w:p>
    <w:p>
      <w:pPr>
        <w:widowControl/>
      </w:pPr>
      <w:r>
        <w:rPr>
          <w:rFonts w:ascii="Calibri" w:hAnsi="Calibri" w:eastAsia="Microsoft YaHei"/>
          <w:b/>
          <w:color w:val="1F4D78"/>
        </w:rPr>
        <w:t>验证与应用：</w:t>
      </w:r>
      <w:r>
        <w:rPr>
          <w:rFonts w:ascii="Calibri" w:hAnsi="Calibri" w:eastAsia="Microsoft YaHei"/>
        </w:rPr>
        <w:t>论文用 MAST 放电数据并与 EFIT++/力平衡等佐证比较，直接预测边界、q 与误差。</w:t>
      </w:r>
    </w:p>
    <w:p>
      <w:pPr>
        <w:widowControl/>
      </w:pPr>
      <w:r>
        <w:rPr>
          <w:rFonts w:ascii="Calibri" w:hAnsi="Calibri" w:eastAsia="Microsoft YaHei"/>
          <w:b/>
          <w:color w:val="1F4D78"/>
        </w:rPr>
        <w:t>局限与边界：</w:t>
      </w:r>
      <w:r>
        <w:rPr>
          <w:rFonts w:ascii="Calibri" w:hAnsi="Calibri" w:eastAsia="Microsoft YaHei"/>
        </w:rPr>
        <w:t>轴对称电流束与先验决定分辨；计算开销和非轴对称/铁磁结构使实时推广困难。</w:t>
      </w:r>
    </w:p>
    <w:tbl>
      <w:tblPr>
        <w:tblStyle w:val="TableGrid"/>
        <w:tblW w:type="dxa" w:w="9360"/>
        <w:jc w:val="left"/>
        <w:tblLayout w:type="fixed"/>
        <w:tblLook w:firstColumn="1" w:firstRow="1" w:lastColumn="0" w:lastRow="0" w:noHBand="0" w:noVBand="1" w:val="04A0"/>
        <w:tblInd w:w="120" w:type="dxa"/>
      </w:tblPr>
      <w:tblGrid>
        <w:gridCol w:w="9360"/>
      </w:tblGrid>
      <w:tr>
        <w:trPr>
          <w:cantSplit/>
        </w:trPr>
        <w:tc>
          <w:tcPr>
            <w:tcW w:type="dxa" w:w="9360"/>
            <w:tcMar>
              <w:top w:w="80" w:type="dxa"/>
              <w:bottom w:w="80" w:type="dxa"/>
              <w:start w:w="120" w:type="dxa"/>
              <w:end w:w="120" w:type="dxa"/>
            </w:tcMar>
            <w:vAlign w:val="center"/>
            <w:shd w:fill="EEF7F7"/>
          </w:tcPr>
          <w:p>
            <w:pPr>
              <w:keepNext/>
              <w:keepLines/>
              <w:spacing w:after="40"/>
            </w:pPr>
            <w:r>
              <w:rPr>
                <w:rFonts w:ascii="Calibri" w:hAnsi="Calibri" w:eastAsia="Microsoft YaHei"/>
                <w:b/>
                <w:color w:val="008C95"/>
                <w:sz w:val="17"/>
              </w:rPr>
              <w:t>DIGITAL-TWIN RELEVANCE</w:t>
            </w:r>
          </w:p>
          <w:p>
            <w:pPr>
              <w:spacing w:after="0"/>
            </w:pPr>
            <w:r>
              <w:rPr>
                <w:rFonts w:ascii="Calibri" w:hAnsi="Calibri" w:eastAsia="Microsoft YaHei"/>
                <w:color w:val="0B2545"/>
                <w:sz w:val="20"/>
              </w:rPr>
              <w:t>展示了平衡孪生应同时输出状态、不确定度和传感器健康，而非只提供一个磁面。</w:t>
            </w:r>
          </w:p>
        </w:tc>
      </w:tr>
    </w:tbl>
    <w:p>
      <w:pPr>
        <w:spacing w:after="40"/>
      </w:pPr>
    </w:p>
    <w:tbl>
      <w:tblPr>
        <w:tblStyle w:val="TableGrid"/>
        <w:tblW w:type="dxa" w:w="9360"/>
        <w:jc w:val="left"/>
        <w:tblLayout w:type="fixed"/>
        <w:tblLook w:firstColumn="1" w:firstRow="1" w:lastColumn="0" w:lastRow="0" w:noHBand="0" w:noVBand="1" w:val="04A0"/>
        <w:tblInd w:w="120" w:type="dxa"/>
      </w:tblPr>
      <w:tblGrid>
        <w:gridCol w:w="850"/>
        <w:gridCol w:w="2500"/>
        <w:gridCol w:w="1600"/>
        <w:gridCol w:w="2300"/>
        <w:gridCol w:w="2110"/>
      </w:tblGrid>
      <w:tr>
        <w:trPr>
          <w:tblHeader w:val="true"/>
        </w:trPr>
        <w:tc>
          <w:tcPr>
            <w:tcW w:type="dxa" w:w="8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年份/类型</w:t>
            </w:r>
          </w:p>
        </w:tc>
        <w:tc>
          <w:tcPr>
            <w:tcW w:type="dxa" w:w="25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论文或软件</w:t>
            </w:r>
          </w:p>
        </w:tc>
        <w:tc>
          <w:tcPr>
            <w:tcW w:type="dxa" w:w="16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期刊/开放性</w:t>
            </w:r>
          </w:p>
        </w:tc>
        <w:tc>
          <w:tcPr>
            <w:tcW w:type="dxa" w:w="23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来源类型/关系</w:t>
            </w:r>
          </w:p>
        </w:tc>
        <w:tc>
          <w:tcPr>
            <w:tcW w:type="dxa" w:w="211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链接</w:t>
            </w:r>
          </w:p>
        </w:tc>
      </w:tr>
      <w:tr>
        <w:trPr>
          <w:cantSplit/>
        </w:trPr>
        <w:tc>
          <w:tcPr>
            <w:tcW w:type="dxa" w:w="850"/>
          </w:tcPr>
          <w:p>
            <w:pPr>
              <w:keepLines/>
              <w:spacing w:after="0" w:line="276" w:lineRule="auto"/>
            </w:pPr>
            <w:r>
              <w:rPr>
                <w:rFonts w:ascii="Calibri" w:hAnsi="Calibri" w:eastAsia="Microsoft YaHei"/>
                <w:color w:val="0B2545"/>
                <w:sz w:val="14"/>
              </w:rPr>
              <w:t>2012</w:t>
            </w:r>
          </w:p>
        </w:tc>
        <w:tc>
          <w:tcPr>
            <w:tcW w:type="dxa" w:w="2500"/>
          </w:tcPr>
          <w:p>
            <w:pPr>
              <w:keepLines/>
              <w:spacing w:after="0" w:line="276" w:lineRule="auto"/>
            </w:pPr>
            <w:r>
              <w:rPr>
                <w:rFonts w:ascii="Calibri" w:hAnsi="Calibri" w:eastAsia="Microsoft YaHei"/>
                <w:color w:val="0B2545"/>
                <w:sz w:val="14"/>
              </w:rPr>
              <w:t>Evidence cross-validation and Bayesian inference of MAST plasma equilibria</w:t>
            </w:r>
          </w:p>
        </w:tc>
        <w:tc>
          <w:tcPr>
            <w:tcW w:type="dxa" w:w="1600"/>
          </w:tcPr>
          <w:p>
            <w:pPr>
              <w:keepLines/>
              <w:spacing w:after="0" w:line="276" w:lineRule="auto"/>
            </w:pPr>
            <w:r>
              <w:rPr>
                <w:rFonts w:ascii="Calibri" w:hAnsi="Calibri" w:eastAsia="Microsoft YaHei"/>
                <w:color w:val="0B2545"/>
                <w:sz w:val="14"/>
              </w:rPr>
              <w:t>Physics of Plasmas</w:t>
            </w:r>
          </w:p>
        </w:tc>
        <w:tc>
          <w:tcPr>
            <w:tcW w:type="dxa" w:w="2300"/>
          </w:tcPr>
          <w:p>
            <w:pPr>
              <w:keepLines/>
              <w:spacing w:after="0" w:line="276" w:lineRule="auto"/>
            </w:pPr>
            <w:r>
              <w:rPr>
                <w:rFonts w:ascii="Calibri" w:hAnsi="Calibri" w:eastAsia="Microsoft YaHei"/>
                <w:color w:val="0B2545"/>
                <w:sz w:val="14"/>
              </w:rPr>
              <w:t>peer-reviewed primary device validation</w:t>
            </w:r>
          </w:p>
        </w:tc>
        <w:tc>
          <w:tcPr>
            <w:tcW w:type="dxa" w:w="2110"/>
          </w:tcPr>
          <w:p>
            <w:pPr>
              <w:keepLines/>
              <w:spacing w:after="0" w:line="276" w:lineRule="auto"/>
            </w:pPr>
            <w:hyperlink r:id="rId209">
              <w:r>
                <w:rPr>
                  <w:rFonts w:ascii="Calibri" w:hAnsi="Calibri" w:eastAsia="Microsoft YaHei"/>
                  <w:color w:val="008C95"/>
                  <w:u w:val="single"/>
                </w:rPr>
                <w:t>打开原始来源 ↗</w:t>
              </w:r>
            </w:hyperlink>
          </w:p>
        </w:tc>
      </w:tr>
      <w:tr>
        <w:trPr>
          <w:cantSplit/>
        </w:trPr>
        <w:tc>
          <w:tcPr>
            <w:tcW w:type="dxa" w:w="850"/>
          </w:tcPr>
          <w:p>
            <w:pPr>
              <w:keepLines/>
              <w:spacing w:after="0" w:line="276" w:lineRule="auto"/>
            </w:pPr>
            <w:r>
              <w:rPr>
                <w:rFonts w:ascii="Calibri" w:hAnsi="Calibri" w:eastAsia="Microsoft YaHei"/>
                <w:color w:val="0B2545"/>
                <w:sz w:val="14"/>
              </w:rPr>
              <w:t>软件</w:t>
            </w:r>
          </w:p>
        </w:tc>
        <w:tc>
          <w:tcPr>
            <w:tcW w:type="dxa" w:w="2500"/>
          </w:tcPr>
          <w:p>
            <w:pPr>
              <w:keepLines/>
              <w:spacing w:after="0" w:line="276" w:lineRule="auto"/>
            </w:pPr>
            <w:r>
              <w:rPr>
                <w:rFonts w:ascii="Calibri" w:hAnsi="Calibri" w:eastAsia="Microsoft YaHei"/>
                <w:color w:val="0B2545"/>
                <w:sz w:val="14"/>
              </w:rPr>
              <w:t>BEAST equilibrium inference code</w:t>
            </w:r>
          </w:p>
        </w:tc>
        <w:tc>
          <w:tcPr>
            <w:tcW w:type="dxa" w:w="1600"/>
          </w:tcPr>
          <w:p>
            <w:pPr>
              <w:keepLines/>
              <w:spacing w:after="0" w:line="276" w:lineRule="auto"/>
            </w:pPr>
            <w:r>
              <w:rPr>
                <w:rFonts w:ascii="Calibri" w:hAnsi="Calibri" w:eastAsia="Microsoft YaHei"/>
                <w:color w:val="0B2545"/>
                <w:sz w:val="14"/>
              </w:rPr>
              <w:t>not-public</w:t>
            </w:r>
          </w:p>
        </w:tc>
        <w:tc>
          <w:tcPr>
            <w:tcW w:type="dxa" w:w="2300"/>
          </w:tcPr>
          <w:p>
            <w:pPr>
              <w:keepLines/>
              <w:spacing w:after="0" w:line="276" w:lineRule="auto"/>
            </w:pPr>
            <w:r>
              <w:rPr>
                <w:rFonts w:ascii="Calibri" w:hAnsi="Calibri" w:eastAsia="Microsoft YaHei"/>
                <w:color w:val="0B2545"/>
                <w:sz w:val="14"/>
              </w:rPr>
              <w:t>论文实现未发现官方公开仓库。</w:t>
            </w:r>
          </w:p>
        </w:tc>
        <w:tc>
          <w:tcPr>
            <w:tcW w:type="dxa" w:w="2110"/>
          </w:tcPr>
          <w:p>
            <w:pPr>
              <w:keepLines/>
              <w:spacing w:after="0" w:line="276" w:lineRule="auto"/>
            </w:pPr>
            <w:r>
              <w:rPr>
                <w:rFonts w:ascii="Calibri" w:hAnsi="Calibri" w:eastAsia="Microsoft YaHei"/>
                <w:color w:val="0B2545"/>
                <w:sz w:val="14"/>
              </w:rPr>
              <w:t>未公开</w:t>
            </w:r>
          </w:p>
        </w:tc>
      </w:tr>
    </w:tbl>
    <w:p>
      <w:pPr>
        <w:spacing w:before="0" w:after="60"/>
      </w:pPr>
    </w:p>
    <w:p>
      <w:pPr>
        <w:pStyle w:val="Heading3"/>
        <w:keepNext/>
      </w:pPr>
      <w:r>
        <w:t>DG10.10  Diag2Diag 多模态诊断超分辨与代理观测</w:t>
      </w:r>
    </w:p>
    <w:p>
      <w:pPr>
        <w:keepNext/>
        <w:spacing w:after="80"/>
      </w:pPr>
      <w:r>
        <w:rPr>
          <w:rFonts w:ascii="Calibri" w:hAnsi="Calibri" w:eastAsia="Microsoft YaHei"/>
          <w:i/>
          <w:color w:val="566573"/>
          <w:sz w:val="18"/>
        </w:rPr>
        <w:t>Diag2Diag Multimodal Diagnostic Super-Resolution</w:t>
      </w:r>
    </w:p>
    <w:tbl>
      <w:tblPr>
        <w:tblStyle w:val="TableGrid"/>
        <w:tblW w:type="dxa" w:w="9360"/>
        <w:jc w:val="left"/>
        <w:tblLayout w:type="fixed"/>
        <w:tblLook w:firstColumn="1" w:firstRow="1" w:lastColumn="0" w:lastRow="0" w:noHBand="0" w:noVBand="1" w:val="04A0"/>
        <w:tblInd w:w="120" w:type="dxa"/>
      </w:tblPr>
      <w:tblGrid>
        <w:gridCol w:w="1200"/>
        <w:gridCol w:w="750"/>
        <w:gridCol w:w="750"/>
        <w:gridCol w:w="2100"/>
        <w:gridCol w:w="4560"/>
      </w:tblGrid>
      <w:tr>
        <w:trPr>
          <w:tblHeader w:val="true"/>
        </w:trPr>
        <w:tc>
          <w:tcPr>
            <w:tcW w:type="dxa" w:w="12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工作 ID</w:t>
            </w:r>
          </w:p>
        </w:tc>
        <w:tc>
          <w:tcPr>
            <w:tcW w:type="dxa" w:w="7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证据</w:t>
            </w:r>
          </w:p>
        </w:tc>
        <w:tc>
          <w:tcPr>
            <w:tcW w:type="dxa" w:w="7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部署</w:t>
            </w:r>
          </w:p>
        </w:tc>
        <w:tc>
          <w:tcPr>
            <w:tcW w:type="dxa" w:w="21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技术族</w:t>
            </w:r>
          </w:p>
        </w:tc>
        <w:tc>
          <w:tcPr>
            <w:tcW w:type="dxa" w:w="456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装置</w:t>
            </w:r>
          </w:p>
        </w:tc>
      </w:tr>
      <w:tr>
        <w:trPr>
          <w:cantSplit/>
        </w:trPr>
        <w:tc>
          <w:tcPr>
            <w:tcW w:type="dxa" w:w="1200"/>
          </w:tcPr>
          <w:p>
            <w:pPr>
              <w:keepLines/>
              <w:spacing w:after="0" w:line="276" w:lineRule="auto"/>
            </w:pPr>
            <w:r>
              <w:rPr>
                <w:rFonts w:ascii="Calibri" w:hAnsi="Calibri" w:eastAsia="Microsoft YaHei"/>
                <w:color w:val="0B2545"/>
                <w:sz w:val="15"/>
              </w:rPr>
              <w:t>DSI-034</w:t>
            </w:r>
          </w:p>
        </w:tc>
        <w:tc>
          <w:tcPr>
            <w:tcW w:type="dxa" w:w="750"/>
          </w:tcPr>
          <w:p>
            <w:pPr>
              <w:keepLines/>
              <w:spacing w:after="0" w:line="276" w:lineRule="auto"/>
            </w:pPr>
            <w:r>
              <w:rPr>
                <w:rFonts w:ascii="Calibri" w:hAnsi="Calibri" w:eastAsia="Microsoft YaHei"/>
                <w:color w:val="0B2545"/>
                <w:sz w:val="15"/>
              </w:rPr>
              <w:t>E3</w:t>
            </w:r>
          </w:p>
        </w:tc>
        <w:tc>
          <w:tcPr>
            <w:tcW w:type="dxa" w:w="750"/>
          </w:tcPr>
          <w:p>
            <w:pPr>
              <w:keepLines/>
              <w:spacing w:after="0" w:line="276" w:lineRule="auto"/>
            </w:pPr>
            <w:r>
              <w:rPr>
                <w:rFonts w:ascii="Calibri" w:hAnsi="Calibri" w:eastAsia="Microsoft YaHei"/>
                <w:color w:val="0B2545"/>
                <w:sz w:val="15"/>
              </w:rPr>
              <w:t>D2</w:t>
            </w:r>
          </w:p>
        </w:tc>
        <w:tc>
          <w:tcPr>
            <w:tcW w:type="dxa" w:w="2100"/>
          </w:tcPr>
          <w:p>
            <w:pPr>
              <w:keepLines/>
              <w:spacing w:after="0" w:line="276" w:lineRule="auto"/>
            </w:pPr>
            <w:r>
              <w:rPr>
                <w:rFonts w:ascii="Calibri" w:hAnsi="Calibri" w:eastAsia="Microsoft YaHei"/>
                <w:color w:val="0B2545"/>
                <w:sz w:val="15"/>
              </w:rPr>
              <w:t>COMPUTATIONAL</w:t>
            </w:r>
          </w:p>
        </w:tc>
        <w:tc>
          <w:tcPr>
            <w:tcW w:type="dxa" w:w="4560"/>
          </w:tcPr>
          <w:p>
            <w:pPr>
              <w:keepLines/>
              <w:spacing w:after="0" w:line="276" w:lineRule="auto"/>
            </w:pPr>
            <w:r>
              <w:rPr>
                <w:rFonts w:ascii="Calibri" w:hAnsi="Calibri" w:eastAsia="Microsoft YaHei"/>
                <w:color w:val="0B2545"/>
                <w:sz w:val="15"/>
              </w:rPr>
              <w:t>DIII-D</w:t>
            </w:r>
          </w:p>
        </w:tc>
      </w:tr>
    </w:tbl>
    <w:p>
      <w:pPr>
        <w:spacing w:before="0" w:after="60"/>
      </w:pPr>
    </w:p>
    <w:p>
      <w:pPr>
        <w:widowControl/>
      </w:pPr>
      <w:r>
        <w:rPr>
          <w:rFonts w:ascii="Calibri" w:hAnsi="Calibri" w:eastAsia="Microsoft YaHei"/>
          <w:b/>
          <w:color w:val="1F4D78"/>
        </w:rPr>
        <w:t>解决问题：</w:t>
      </w:r>
      <w:r>
        <w:rPr>
          <w:rFonts w:ascii="Calibri" w:hAnsi="Calibri" w:eastAsia="Microsoft YaHei"/>
        </w:rPr>
        <w:t>高分辨诊断往往覆盖窄、采样慢或停机，而互补诊断连续但信息贫化；需要从相关模态恢复可用代理。</w:t>
      </w:r>
    </w:p>
    <w:p>
      <w:pPr>
        <w:widowControl/>
      </w:pPr>
      <w:r>
        <w:rPr>
          <w:rFonts w:ascii="Calibri" w:hAnsi="Calibri" w:eastAsia="Microsoft YaHei"/>
          <w:b/>
          <w:color w:val="1F4D78"/>
        </w:rPr>
        <w:t>测量原理：</w:t>
      </w:r>
      <w:r>
        <w:rPr>
          <w:rFonts w:ascii="Calibri" w:hAnsi="Calibri" w:eastAsia="Microsoft YaHei"/>
        </w:rPr>
        <w:t>从同步的多诊断数据学习低分辨/替代输入到目标诊断高分辨表示的映射，并用保留实验验证。</w:t>
      </w:r>
    </w:p>
    <w:p>
      <w:pPr>
        <w:widowControl/>
      </w:pPr>
      <w:r>
        <w:rPr>
          <w:rFonts w:ascii="Calibri" w:hAnsi="Calibri" w:eastAsia="Microsoft YaHei"/>
          <w:b/>
          <w:color w:val="1F4D78"/>
        </w:rPr>
        <w:t>测量产品：</w:t>
      </w:r>
      <w:r>
        <w:rPr>
          <w:rFonts w:ascii="Calibri" w:hAnsi="Calibri" w:eastAsia="Microsoft YaHei"/>
        </w:rPr>
        <w:t>super-resolved diagnostic signal/image；prediction uncertainty proxies；latent multimodal features</w:t>
      </w:r>
    </w:p>
    <w:p>
      <w:pPr>
        <w:widowControl/>
      </w:pPr>
      <w:r>
        <w:rPr>
          <w:rFonts w:ascii="Calibri" w:hAnsi="Calibri" w:eastAsia="Microsoft YaHei"/>
          <w:b/>
          <w:color w:val="1F4D78"/>
        </w:rPr>
        <w:t>时空分辨与覆盖：</w:t>
      </w:r>
      <w:r>
        <w:rPr>
          <w:rFonts w:ascii="Calibri" w:hAnsi="Calibri" w:eastAsia="Microsoft YaHei"/>
        </w:rPr>
        <w:t>时间：因装置、采集和分析链而异；原始来源未给出统一数值。；空间：由视线、几何和反演设定；原始来源未给出统一数值。</w:t>
      </w:r>
    </w:p>
    <w:p>
      <w:pPr>
        <w:widowControl/>
      </w:pPr>
      <w:r>
        <w:rPr>
          <w:rFonts w:ascii="Calibri" w:hAnsi="Calibri" w:eastAsia="Microsoft YaHei"/>
          <w:b/>
          <w:color w:val="1F4D78"/>
        </w:rPr>
        <w:t>仪器与传感器：</w:t>
      </w:r>
      <w:r>
        <w:rPr>
          <w:rFonts w:ascii="Calibri" w:hAnsi="Calibri" w:eastAsia="Microsoft YaHei"/>
        </w:rPr>
        <w:t>training GPUs；existing diagnostics</w:t>
      </w:r>
    </w:p>
    <w:p>
      <w:pPr>
        <w:widowControl/>
      </w:pPr>
      <w:r>
        <w:rPr>
          <w:rFonts w:ascii="Calibri" w:hAnsi="Calibri" w:eastAsia="Microsoft YaHei"/>
          <w:b/>
          <w:color w:val="1F4D78"/>
        </w:rPr>
        <w:t>标定与质量：</w:t>
      </w:r>
      <w:r>
        <w:rPr>
          <w:rFonts w:ascii="Calibri" w:hAnsi="Calibri" w:eastAsia="Microsoft YaHei"/>
        </w:rPr>
        <w:t>训练前必须时间/空间注册和强度标定；模型输出不能获得超出训练域的计量溯源。</w:t>
      </w:r>
    </w:p>
    <w:p>
      <w:pPr>
        <w:widowControl/>
      </w:pPr>
      <w:r>
        <w:rPr>
          <w:rFonts w:ascii="Calibri" w:hAnsi="Calibri" w:eastAsia="Microsoft YaHei"/>
          <w:b/>
          <w:color w:val="1F4D78"/>
        </w:rPr>
        <w:t>反演与分析：</w:t>
      </w:r>
      <w:r>
        <w:rPr>
          <w:rFonts w:ascii="Calibri" w:hAnsi="Calibri" w:eastAsia="Microsoft YaHei"/>
        </w:rPr>
        <w:t>multimodal reconstruction；super-resolution；surrogate diagnostic</w:t>
      </w:r>
    </w:p>
    <w:p>
      <w:pPr>
        <w:widowControl/>
      </w:pPr>
      <w:r>
        <w:rPr>
          <w:rFonts w:ascii="Calibri" w:hAnsi="Calibri" w:eastAsia="Microsoft YaHei"/>
          <w:b/>
          <w:color w:val="1F4D78"/>
        </w:rPr>
        <w:t>验证与应用：</w:t>
      </w:r>
      <w:r>
        <w:rPr>
          <w:rFonts w:ascii="Calibri" w:hAnsi="Calibri" w:eastAsia="Microsoft YaHei"/>
        </w:rPr>
        <w:t>Nature Communications 论文在 DIII-D 多模态数据上展示隐藏物理与诊断超分辨，并公开项目代码。</w:t>
      </w:r>
    </w:p>
    <w:p>
      <w:pPr>
        <w:widowControl/>
      </w:pPr>
      <w:r>
        <w:rPr>
          <w:rFonts w:ascii="Calibri" w:hAnsi="Calibri" w:eastAsia="Microsoft YaHei"/>
          <w:b/>
          <w:color w:val="1F4D78"/>
        </w:rPr>
        <w:t>局限与边界：</w:t>
      </w:r>
      <w:r>
        <w:rPr>
          <w:rFonts w:ascii="Calibri" w:hAnsi="Calibri" w:eastAsia="Microsoft YaHei"/>
        </w:rPr>
        <w:t>可能生成貌似真实但物理错误的细节；跨工况/硬件升级 OOD、置信校准和实时延迟尚不足以替代权威诊断。</w:t>
      </w:r>
    </w:p>
    <w:tbl>
      <w:tblPr>
        <w:tblStyle w:val="TableGrid"/>
        <w:tblW w:type="dxa" w:w="9360"/>
        <w:jc w:val="left"/>
        <w:tblLayout w:type="fixed"/>
        <w:tblLook w:firstColumn="1" w:firstRow="1" w:lastColumn="0" w:lastRow="0" w:noHBand="0" w:noVBand="1" w:val="04A0"/>
        <w:tblInd w:w="120" w:type="dxa"/>
      </w:tblPr>
      <w:tblGrid>
        <w:gridCol w:w="9360"/>
      </w:tblGrid>
      <w:tr>
        <w:trPr>
          <w:cantSplit/>
        </w:trPr>
        <w:tc>
          <w:tcPr>
            <w:tcW w:type="dxa" w:w="9360"/>
            <w:tcMar>
              <w:top w:w="80" w:type="dxa"/>
              <w:bottom w:w="80" w:type="dxa"/>
              <w:start w:w="120" w:type="dxa"/>
              <w:end w:w="120" w:type="dxa"/>
            </w:tcMar>
            <w:vAlign w:val="center"/>
            <w:shd w:fill="EEF7F7"/>
          </w:tcPr>
          <w:p>
            <w:pPr>
              <w:keepNext/>
              <w:keepLines/>
              <w:spacing w:after="40"/>
            </w:pPr>
            <w:r>
              <w:rPr>
                <w:rFonts w:ascii="Calibri" w:hAnsi="Calibri" w:eastAsia="Microsoft YaHei"/>
                <w:b/>
                <w:color w:val="008C95"/>
                <w:sz w:val="17"/>
              </w:rPr>
              <w:t>DIGITAL-TWIN RELEVANCE</w:t>
            </w:r>
          </w:p>
          <w:p>
            <w:pPr>
              <w:spacing w:after="0"/>
            </w:pPr>
            <w:r>
              <w:rPr>
                <w:rFonts w:ascii="Calibri" w:hAnsi="Calibri" w:eastAsia="Microsoft YaHei"/>
                <w:color w:val="0B2545"/>
                <w:sz w:val="20"/>
              </w:rPr>
              <w:t>适合填充孪生观测空洞和构建虚拟传感器，但只能作为带质量位的估计，不得覆盖原始证据。</w:t>
            </w:r>
          </w:p>
        </w:tc>
      </w:tr>
    </w:tbl>
    <w:p>
      <w:pPr>
        <w:spacing w:after="40"/>
      </w:pPr>
    </w:p>
    <w:tbl>
      <w:tblPr>
        <w:tblStyle w:val="TableGrid"/>
        <w:tblW w:type="dxa" w:w="9360"/>
        <w:jc w:val="left"/>
        <w:tblLayout w:type="fixed"/>
        <w:tblLook w:firstColumn="1" w:firstRow="1" w:lastColumn="0" w:lastRow="0" w:noHBand="0" w:noVBand="1" w:val="04A0"/>
        <w:tblInd w:w="120" w:type="dxa"/>
      </w:tblPr>
      <w:tblGrid>
        <w:gridCol w:w="850"/>
        <w:gridCol w:w="2500"/>
        <w:gridCol w:w="1600"/>
        <w:gridCol w:w="2300"/>
        <w:gridCol w:w="2110"/>
      </w:tblGrid>
      <w:tr>
        <w:trPr>
          <w:tblHeader w:val="true"/>
        </w:trPr>
        <w:tc>
          <w:tcPr>
            <w:tcW w:type="dxa" w:w="8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年份/类型</w:t>
            </w:r>
          </w:p>
        </w:tc>
        <w:tc>
          <w:tcPr>
            <w:tcW w:type="dxa" w:w="25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论文或软件</w:t>
            </w:r>
          </w:p>
        </w:tc>
        <w:tc>
          <w:tcPr>
            <w:tcW w:type="dxa" w:w="16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期刊/开放性</w:t>
            </w:r>
          </w:p>
        </w:tc>
        <w:tc>
          <w:tcPr>
            <w:tcW w:type="dxa" w:w="23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来源类型/关系</w:t>
            </w:r>
          </w:p>
        </w:tc>
        <w:tc>
          <w:tcPr>
            <w:tcW w:type="dxa" w:w="211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链接</w:t>
            </w:r>
          </w:p>
        </w:tc>
      </w:tr>
      <w:tr>
        <w:trPr>
          <w:cantSplit/>
        </w:trPr>
        <w:tc>
          <w:tcPr>
            <w:tcW w:type="dxa" w:w="850"/>
          </w:tcPr>
          <w:p>
            <w:pPr>
              <w:keepLines/>
              <w:spacing w:after="0" w:line="276" w:lineRule="auto"/>
            </w:pPr>
            <w:r>
              <w:rPr>
                <w:rFonts w:ascii="Calibri" w:hAnsi="Calibri" w:eastAsia="Microsoft YaHei"/>
                <w:color w:val="0B2545"/>
                <w:sz w:val="14"/>
              </w:rPr>
              <w:t>2025</w:t>
            </w:r>
          </w:p>
        </w:tc>
        <w:tc>
          <w:tcPr>
            <w:tcW w:type="dxa" w:w="2500"/>
          </w:tcPr>
          <w:p>
            <w:pPr>
              <w:keepLines/>
              <w:spacing w:after="0" w:line="276" w:lineRule="auto"/>
            </w:pPr>
            <w:r>
              <w:rPr>
                <w:rFonts w:ascii="Calibri" w:hAnsi="Calibri" w:eastAsia="Microsoft YaHei"/>
                <w:color w:val="0B2545"/>
                <w:sz w:val="14"/>
              </w:rPr>
              <w:t>Multimodal super-resolution: discovering hidden physics and its application to fusion plasmas</w:t>
            </w:r>
          </w:p>
        </w:tc>
        <w:tc>
          <w:tcPr>
            <w:tcW w:type="dxa" w:w="1600"/>
          </w:tcPr>
          <w:p>
            <w:pPr>
              <w:keepLines/>
              <w:spacing w:after="0" w:line="276" w:lineRule="auto"/>
            </w:pPr>
            <w:r>
              <w:rPr>
                <w:rFonts w:ascii="Calibri" w:hAnsi="Calibri" w:eastAsia="Microsoft YaHei"/>
                <w:color w:val="0B2545"/>
                <w:sz w:val="14"/>
              </w:rPr>
              <w:t>Nature Communications</w:t>
            </w:r>
          </w:p>
        </w:tc>
        <w:tc>
          <w:tcPr>
            <w:tcW w:type="dxa" w:w="2300"/>
          </w:tcPr>
          <w:p>
            <w:pPr>
              <w:keepLines/>
              <w:spacing w:after="0" w:line="276" w:lineRule="auto"/>
            </w:pPr>
            <w:r>
              <w:rPr>
                <w:rFonts w:ascii="Calibri" w:hAnsi="Calibri" w:eastAsia="Microsoft YaHei"/>
                <w:color w:val="0B2545"/>
                <w:sz w:val="14"/>
              </w:rPr>
              <w:t>peer-reviewed primary device validation</w:t>
            </w:r>
          </w:p>
        </w:tc>
        <w:tc>
          <w:tcPr>
            <w:tcW w:type="dxa" w:w="2110"/>
          </w:tcPr>
          <w:p>
            <w:pPr>
              <w:keepLines/>
              <w:spacing w:after="0" w:line="276" w:lineRule="auto"/>
            </w:pPr>
            <w:hyperlink r:id="rId210">
              <w:r>
                <w:rPr>
                  <w:rFonts w:ascii="Calibri" w:hAnsi="Calibri" w:eastAsia="Microsoft YaHei"/>
                  <w:color w:val="008C95"/>
                  <w:u w:val="single"/>
                </w:rPr>
                <w:t>打开原始来源 ↗</w:t>
              </w:r>
            </w:hyperlink>
          </w:p>
        </w:tc>
      </w:tr>
      <w:tr>
        <w:trPr>
          <w:cantSplit/>
        </w:trPr>
        <w:tc>
          <w:tcPr>
            <w:tcW w:type="dxa" w:w="850"/>
          </w:tcPr>
          <w:p>
            <w:pPr>
              <w:keepLines/>
              <w:spacing w:after="0" w:line="276" w:lineRule="auto"/>
            </w:pPr>
            <w:r>
              <w:rPr>
                <w:rFonts w:ascii="Calibri" w:hAnsi="Calibri" w:eastAsia="Microsoft YaHei"/>
                <w:color w:val="0B2545"/>
                <w:sz w:val="14"/>
              </w:rPr>
              <w:t>软件</w:t>
            </w:r>
          </w:p>
        </w:tc>
        <w:tc>
          <w:tcPr>
            <w:tcW w:type="dxa" w:w="2500"/>
          </w:tcPr>
          <w:p>
            <w:pPr>
              <w:keepLines/>
              <w:spacing w:after="0" w:line="276" w:lineRule="auto"/>
            </w:pPr>
            <w:r>
              <w:rPr>
                <w:rFonts w:ascii="Calibri" w:hAnsi="Calibri" w:eastAsia="Microsoft YaHei"/>
                <w:color w:val="0B2545"/>
                <w:sz w:val="14"/>
              </w:rPr>
              <w:t>Diag2Diag-SRTS</w:t>
            </w:r>
          </w:p>
        </w:tc>
        <w:tc>
          <w:tcPr>
            <w:tcW w:type="dxa" w:w="1600"/>
          </w:tcPr>
          <w:p>
            <w:pPr>
              <w:keepLines/>
              <w:spacing w:after="0" w:line="276" w:lineRule="auto"/>
            </w:pPr>
            <w:r>
              <w:rPr>
                <w:rFonts w:ascii="Calibri" w:hAnsi="Calibri" w:eastAsia="Microsoft YaHei"/>
                <w:color w:val="0B2545"/>
                <w:sz w:val="14"/>
              </w:rPr>
              <w:t>official-direct</w:t>
            </w:r>
          </w:p>
        </w:tc>
        <w:tc>
          <w:tcPr>
            <w:tcW w:type="dxa" w:w="2300"/>
          </w:tcPr>
          <w:p>
            <w:pPr>
              <w:keepLines/>
              <w:spacing w:after="0" w:line="276" w:lineRule="auto"/>
            </w:pPr>
            <w:r>
              <w:rPr>
                <w:rFonts w:ascii="Calibri" w:hAnsi="Calibri" w:eastAsia="Microsoft YaHei"/>
                <w:color w:val="0B2545"/>
                <w:sz w:val="14"/>
              </w:rPr>
              <w:t>论文团队公开的模型与实验代码仓库。</w:t>
            </w:r>
          </w:p>
        </w:tc>
        <w:tc>
          <w:tcPr>
            <w:tcW w:type="dxa" w:w="2110"/>
          </w:tcPr>
          <w:p>
            <w:pPr>
              <w:keepLines/>
              <w:spacing w:after="0" w:line="276" w:lineRule="auto"/>
            </w:pPr>
            <w:hyperlink r:id="rId211">
              <w:r>
                <w:rPr>
                  <w:rFonts w:ascii="Calibri" w:hAnsi="Calibri" w:eastAsia="Microsoft YaHei"/>
                  <w:color w:val="008C95"/>
                  <w:u w:val="single"/>
                </w:rPr>
                <w:t>打开原始来源 ↗</w:t>
              </w:r>
            </w:hyperlink>
          </w:p>
        </w:tc>
      </w:tr>
    </w:tbl>
    <w:p>
      <w:pPr>
        <w:spacing w:before="0" w:after="60"/>
      </w:pPr>
    </w:p>
    <w:p>
      <w:pPr>
        <w:pStyle w:val="Heading2"/>
      </w:pPr>
      <w:r>
        <w:t>关联工作速查</w:t>
      </w:r>
    </w:p>
    <w:tbl>
      <w:tblPr>
        <w:tblStyle w:val="TableGrid"/>
        <w:tblW w:type="dxa" w:w="9360"/>
        <w:jc w:val="left"/>
        <w:tblLayout w:type="fixed"/>
        <w:tblLook w:firstColumn="1" w:firstRow="1" w:lastColumn="0" w:lastRow="0" w:noHBand="0" w:noVBand="1" w:val="04A0"/>
        <w:tblInd w:w="120" w:type="dxa"/>
      </w:tblPr>
      <w:tblGrid>
        <w:gridCol w:w="1000"/>
        <w:gridCol w:w="900"/>
        <w:gridCol w:w="3760"/>
        <w:gridCol w:w="800"/>
        <w:gridCol w:w="2900"/>
      </w:tblGrid>
      <w:tr>
        <w:trPr>
          <w:tblHeader w:val="true"/>
        </w:trPr>
        <w:tc>
          <w:tcPr>
            <w:tcW w:type="dxa" w:w="1000"/>
            <w:tcMar>
              <w:top w:w="55" w:type="dxa"/>
              <w:bottom w:w="55" w:type="dxa"/>
              <w:start w:w="100" w:type="dxa"/>
              <w:end w:w="100" w:type="dxa"/>
            </w:tcMar>
            <w:vAlign w:val="center"/>
            <w:shd w:fill="E8EEF5"/>
          </w:tcPr>
          <w:p>
            <w:pPr>
              <w:keepNext/>
              <w:spacing w:after="0"/>
              <w:jc w:val="center"/>
            </w:pPr>
            <w:r>
              <w:rPr>
                <w:rFonts w:ascii="Calibri" w:hAnsi="Calibri" w:eastAsia="Microsoft YaHei"/>
                <w:b/>
                <w:color w:val="0B2545"/>
                <w:sz w:val="14"/>
              </w:rPr>
              <w:t>ID</w:t>
            </w:r>
          </w:p>
        </w:tc>
        <w:tc>
          <w:tcPr>
            <w:tcW w:type="dxa" w:w="900"/>
            <w:tcMar>
              <w:top w:w="55" w:type="dxa"/>
              <w:bottom w:w="55" w:type="dxa"/>
              <w:start w:w="100" w:type="dxa"/>
              <w:end w:w="100" w:type="dxa"/>
            </w:tcMar>
            <w:vAlign w:val="center"/>
            <w:shd w:fill="E8EEF5"/>
          </w:tcPr>
          <w:p>
            <w:pPr>
              <w:keepNext/>
              <w:spacing w:after="0"/>
              <w:jc w:val="center"/>
            </w:pPr>
            <w:r>
              <w:rPr>
                <w:rFonts w:ascii="Calibri" w:hAnsi="Calibri" w:eastAsia="Microsoft YaHei"/>
                <w:b/>
                <w:color w:val="0B2545"/>
                <w:sz w:val="14"/>
              </w:rPr>
              <w:t>主任务</w:t>
            </w:r>
          </w:p>
        </w:tc>
        <w:tc>
          <w:tcPr>
            <w:tcW w:type="dxa" w:w="3760"/>
            <w:tcMar>
              <w:top w:w="55" w:type="dxa"/>
              <w:bottom w:w="55" w:type="dxa"/>
              <w:start w:w="100" w:type="dxa"/>
              <w:end w:w="100" w:type="dxa"/>
            </w:tcMar>
            <w:vAlign w:val="center"/>
            <w:shd w:fill="E8EEF5"/>
          </w:tcPr>
          <w:p>
            <w:pPr>
              <w:keepNext/>
              <w:spacing w:after="0"/>
              <w:jc w:val="center"/>
            </w:pPr>
            <w:r>
              <w:rPr>
                <w:rFonts w:ascii="Calibri" w:hAnsi="Calibri" w:eastAsia="Microsoft YaHei"/>
                <w:b/>
                <w:color w:val="0B2545"/>
                <w:sz w:val="14"/>
              </w:rPr>
              <w:t>标题</w:t>
            </w:r>
          </w:p>
        </w:tc>
        <w:tc>
          <w:tcPr>
            <w:tcW w:type="dxa" w:w="800"/>
            <w:tcMar>
              <w:top w:w="55" w:type="dxa"/>
              <w:bottom w:w="55" w:type="dxa"/>
              <w:start w:w="100" w:type="dxa"/>
              <w:end w:w="100" w:type="dxa"/>
            </w:tcMar>
            <w:vAlign w:val="center"/>
            <w:shd w:fill="E8EEF5"/>
          </w:tcPr>
          <w:p>
            <w:pPr>
              <w:keepNext/>
              <w:spacing w:after="0"/>
              <w:jc w:val="center"/>
            </w:pPr>
            <w:r>
              <w:rPr>
                <w:rFonts w:ascii="Calibri" w:hAnsi="Calibri" w:eastAsia="Microsoft YaHei"/>
                <w:b/>
                <w:color w:val="0B2545"/>
                <w:sz w:val="14"/>
              </w:rPr>
              <w:t>证据</w:t>
            </w:r>
          </w:p>
        </w:tc>
        <w:tc>
          <w:tcPr>
            <w:tcW w:type="dxa" w:w="2900"/>
            <w:tcMar>
              <w:top w:w="55" w:type="dxa"/>
              <w:bottom w:w="55" w:type="dxa"/>
              <w:start w:w="100" w:type="dxa"/>
              <w:end w:w="100" w:type="dxa"/>
            </w:tcMar>
            <w:vAlign w:val="center"/>
            <w:shd w:fill="E8EEF5"/>
          </w:tcPr>
          <w:p>
            <w:pPr>
              <w:keepNext/>
              <w:spacing w:after="0"/>
              <w:jc w:val="center"/>
            </w:pPr>
            <w:r>
              <w:rPr>
                <w:rFonts w:ascii="Calibri" w:hAnsi="Calibri" w:eastAsia="Microsoft YaHei"/>
                <w:b/>
                <w:color w:val="0B2545"/>
                <w:sz w:val="14"/>
              </w:rPr>
              <w:t>装置</w:t>
            </w:r>
          </w:p>
        </w:tc>
      </w:tr>
      <w:tr>
        <w:trPr>
          <w:cantSplit/>
        </w:trPr>
        <w:tc>
          <w:tcPr>
            <w:tcW w:type="dxa" w:w="1000"/>
            <w:tcMar>
              <w:top w:w="45" w:type="dxa"/>
              <w:bottom w:w="45" w:type="dxa"/>
              <w:start w:w="100" w:type="dxa"/>
              <w:end w:w="100" w:type="dxa"/>
            </w:tcMar>
          </w:tcPr>
          <w:p>
            <w:pPr>
              <w:keepLines/>
              <w:spacing w:after="0" w:line="252" w:lineRule="auto"/>
            </w:pPr>
            <w:r>
              <w:rPr>
                <w:rFonts w:ascii="Calibri" w:hAnsi="Calibri" w:eastAsia="Microsoft YaHei"/>
                <w:color w:val="0B2545"/>
                <w:sz w:val="14"/>
              </w:rPr>
              <w:t>DSI-001</w:t>
            </w:r>
          </w:p>
        </w:tc>
        <w:tc>
          <w:tcPr>
            <w:tcW w:type="dxa" w:w="900"/>
            <w:tcMar>
              <w:top w:w="45" w:type="dxa"/>
              <w:bottom w:w="45" w:type="dxa"/>
              <w:start w:w="100" w:type="dxa"/>
              <w:end w:w="100" w:type="dxa"/>
            </w:tcMar>
          </w:tcPr>
          <w:p>
            <w:pPr>
              <w:keepLines/>
              <w:spacing w:after="0" w:line="252" w:lineRule="auto"/>
            </w:pPr>
            <w:r>
              <w:rPr>
                <w:rFonts w:ascii="Calibri" w:hAnsi="Calibri" w:eastAsia="Microsoft YaHei"/>
                <w:color w:val="0B2545"/>
                <w:sz w:val="14"/>
              </w:rPr>
              <w:t>DG0</w:t>
            </w:r>
          </w:p>
        </w:tc>
        <w:tc>
          <w:tcPr>
            <w:tcW w:type="dxa" w:w="3760"/>
            <w:tcMar>
              <w:top w:w="45" w:type="dxa"/>
              <w:bottom w:w="45" w:type="dxa"/>
              <w:start w:w="100" w:type="dxa"/>
              <w:end w:w="100" w:type="dxa"/>
            </w:tcMar>
          </w:tcPr>
          <w:p>
            <w:pPr>
              <w:keepLines/>
              <w:spacing w:after="0" w:line="252" w:lineRule="auto"/>
            </w:pPr>
            <w:r>
              <w:rPr>
                <w:rFonts w:ascii="Calibri" w:hAnsi="Calibri" w:eastAsia="Microsoft YaHei"/>
                <w:color w:val="0B2545"/>
                <w:sz w:val="14"/>
              </w:rPr>
              <w:t>IMAS 接口数据结构与数据字典</w:t>
            </w:r>
          </w:p>
        </w:tc>
        <w:tc>
          <w:tcPr>
            <w:tcW w:type="dxa" w:w="800"/>
            <w:tcMar>
              <w:top w:w="45" w:type="dxa"/>
              <w:bottom w:w="45" w:type="dxa"/>
              <w:start w:w="100" w:type="dxa"/>
              <w:end w:w="100" w:type="dxa"/>
            </w:tcMar>
          </w:tcPr>
          <w:p>
            <w:pPr>
              <w:keepLines/>
              <w:spacing w:after="0" w:line="252" w:lineRule="auto"/>
            </w:pPr>
            <w:r>
              <w:rPr>
                <w:rFonts w:ascii="Calibri" w:hAnsi="Calibri" w:eastAsia="Microsoft YaHei"/>
                <w:color w:val="0B2545"/>
                <w:sz w:val="14"/>
              </w:rPr>
              <w:t>E3</w:t>
            </w:r>
          </w:p>
        </w:tc>
        <w:tc>
          <w:tcPr>
            <w:tcW w:type="dxa" w:w="2900"/>
            <w:tcMar>
              <w:top w:w="45" w:type="dxa"/>
              <w:bottom w:w="45" w:type="dxa"/>
              <w:start w:w="100" w:type="dxa"/>
              <w:end w:w="100" w:type="dxa"/>
            </w:tcMar>
          </w:tcPr>
          <w:p>
            <w:pPr>
              <w:keepLines/>
              <w:spacing w:after="0" w:line="252" w:lineRule="auto"/>
            </w:pPr>
            <w:r>
              <w:rPr>
                <w:rFonts w:ascii="Calibri" w:hAnsi="Calibri" w:eastAsia="Microsoft YaHei"/>
                <w:color w:val="0B2545"/>
                <w:sz w:val="14"/>
              </w:rPr>
              <w:t>ITER；EUROfusion devices；JET；ASDEX Upgrade；WEST；TCV；W7-X</w:t>
            </w:r>
          </w:p>
        </w:tc>
      </w:tr>
      <w:tr>
        <w:trPr>
          <w:cantSplit/>
        </w:trPr>
        <w:tc>
          <w:tcPr>
            <w:tcW w:type="dxa" w:w="1000"/>
            <w:tcMar>
              <w:top w:w="45" w:type="dxa"/>
              <w:bottom w:w="45" w:type="dxa"/>
              <w:start w:w="100" w:type="dxa"/>
              <w:end w:w="100" w:type="dxa"/>
            </w:tcMar>
          </w:tcPr>
          <w:p>
            <w:pPr>
              <w:keepLines/>
              <w:spacing w:after="0" w:line="252" w:lineRule="auto"/>
            </w:pPr>
            <w:r>
              <w:rPr>
                <w:rFonts w:ascii="Calibri" w:hAnsi="Calibri" w:eastAsia="Microsoft YaHei"/>
                <w:color w:val="0B2545"/>
                <w:sz w:val="14"/>
              </w:rPr>
              <w:t>DSI-003</w:t>
            </w:r>
          </w:p>
        </w:tc>
        <w:tc>
          <w:tcPr>
            <w:tcW w:type="dxa" w:w="900"/>
            <w:tcMar>
              <w:top w:w="45" w:type="dxa"/>
              <w:bottom w:w="45" w:type="dxa"/>
              <w:start w:w="100" w:type="dxa"/>
              <w:end w:w="100" w:type="dxa"/>
            </w:tcMar>
          </w:tcPr>
          <w:p>
            <w:pPr>
              <w:keepLines/>
              <w:spacing w:after="0" w:line="252" w:lineRule="auto"/>
            </w:pPr>
            <w:r>
              <w:rPr>
                <w:rFonts w:ascii="Calibri" w:hAnsi="Calibri" w:eastAsia="Microsoft YaHei"/>
                <w:color w:val="0B2545"/>
                <w:sz w:val="14"/>
              </w:rPr>
              <w:t>DG0</w:t>
            </w:r>
          </w:p>
        </w:tc>
        <w:tc>
          <w:tcPr>
            <w:tcW w:type="dxa" w:w="3760"/>
            <w:tcMar>
              <w:top w:w="45" w:type="dxa"/>
              <w:bottom w:w="45" w:type="dxa"/>
              <w:start w:w="100" w:type="dxa"/>
              <w:end w:w="100" w:type="dxa"/>
            </w:tcMar>
          </w:tcPr>
          <w:p>
            <w:pPr>
              <w:keepLines/>
              <w:spacing w:after="0" w:line="252" w:lineRule="auto"/>
            </w:pPr>
            <w:r>
              <w:rPr>
                <w:rFonts w:ascii="Calibri" w:hAnsi="Calibri" w:eastAsia="Microsoft YaHei"/>
                <w:color w:val="0B2545"/>
                <w:sz w:val="14"/>
              </w:rPr>
              <w:t>UDA 统一数据访问层</w:t>
            </w:r>
          </w:p>
        </w:tc>
        <w:tc>
          <w:tcPr>
            <w:tcW w:type="dxa" w:w="800"/>
            <w:tcMar>
              <w:top w:w="45" w:type="dxa"/>
              <w:bottom w:w="45" w:type="dxa"/>
              <w:start w:w="100" w:type="dxa"/>
              <w:end w:w="100" w:type="dxa"/>
            </w:tcMar>
          </w:tcPr>
          <w:p>
            <w:pPr>
              <w:keepLines/>
              <w:spacing w:after="0" w:line="252" w:lineRule="auto"/>
            </w:pPr>
            <w:r>
              <w:rPr>
                <w:rFonts w:ascii="Calibri" w:hAnsi="Calibri" w:eastAsia="Microsoft YaHei"/>
                <w:color w:val="0B2545"/>
                <w:sz w:val="14"/>
              </w:rPr>
              <w:t>E3</w:t>
            </w:r>
          </w:p>
        </w:tc>
        <w:tc>
          <w:tcPr>
            <w:tcW w:type="dxa" w:w="2900"/>
            <w:tcMar>
              <w:top w:w="45" w:type="dxa"/>
              <w:bottom w:w="45" w:type="dxa"/>
              <w:start w:w="100" w:type="dxa"/>
              <w:end w:w="100" w:type="dxa"/>
            </w:tcMar>
          </w:tcPr>
          <w:p>
            <w:pPr>
              <w:keepLines/>
              <w:spacing w:after="0" w:line="252" w:lineRule="auto"/>
            </w:pPr>
            <w:r>
              <w:rPr>
                <w:rFonts w:ascii="Calibri" w:hAnsi="Calibri" w:eastAsia="Microsoft YaHei"/>
                <w:color w:val="0B2545"/>
                <w:sz w:val="14"/>
              </w:rPr>
              <w:t>JET；MAST Upgrade；ITER/IMAS workflows；UKAEA facilities</w:t>
            </w:r>
          </w:p>
        </w:tc>
      </w:tr>
      <w:tr>
        <w:trPr>
          <w:cantSplit/>
        </w:trPr>
        <w:tc>
          <w:tcPr>
            <w:tcW w:type="dxa" w:w="1000"/>
            <w:tcMar>
              <w:top w:w="45" w:type="dxa"/>
              <w:bottom w:w="45" w:type="dxa"/>
              <w:start w:w="100" w:type="dxa"/>
              <w:end w:w="100" w:type="dxa"/>
            </w:tcMar>
          </w:tcPr>
          <w:p>
            <w:pPr>
              <w:keepLines/>
              <w:spacing w:after="0" w:line="252" w:lineRule="auto"/>
            </w:pPr>
            <w:r>
              <w:rPr>
                <w:rFonts w:ascii="Calibri" w:hAnsi="Calibri" w:eastAsia="Microsoft YaHei"/>
                <w:color w:val="0B2545"/>
                <w:sz w:val="14"/>
              </w:rPr>
              <w:t>DSI-004</w:t>
            </w:r>
          </w:p>
        </w:tc>
        <w:tc>
          <w:tcPr>
            <w:tcW w:type="dxa" w:w="900"/>
            <w:tcMar>
              <w:top w:w="45" w:type="dxa"/>
              <w:bottom w:w="45" w:type="dxa"/>
              <w:start w:w="100" w:type="dxa"/>
              <w:end w:w="100" w:type="dxa"/>
            </w:tcMar>
          </w:tcPr>
          <w:p>
            <w:pPr>
              <w:keepLines/>
              <w:spacing w:after="0" w:line="252" w:lineRule="auto"/>
            </w:pPr>
            <w:r>
              <w:rPr>
                <w:rFonts w:ascii="Calibri" w:hAnsi="Calibri" w:eastAsia="Microsoft YaHei"/>
                <w:color w:val="0B2545"/>
                <w:sz w:val="14"/>
              </w:rPr>
              <w:t>DG0</w:t>
            </w:r>
          </w:p>
        </w:tc>
        <w:tc>
          <w:tcPr>
            <w:tcW w:type="dxa" w:w="3760"/>
            <w:tcMar>
              <w:top w:w="45" w:type="dxa"/>
              <w:bottom w:w="45" w:type="dxa"/>
              <w:start w:w="100" w:type="dxa"/>
              <w:end w:w="100" w:type="dxa"/>
            </w:tcMar>
          </w:tcPr>
          <w:p>
            <w:pPr>
              <w:keepLines/>
              <w:spacing w:after="0" w:line="252" w:lineRule="auto"/>
            </w:pPr>
            <w:r>
              <w:rPr>
                <w:rFonts w:ascii="Calibri" w:hAnsi="Calibri" w:eastAsia="Microsoft YaHei"/>
                <w:color w:val="0B2545"/>
                <w:sz w:val="14"/>
              </w:rPr>
              <w:t>OMAS：轻量 IMAS 兼容数据对象与装置映射</w:t>
            </w:r>
          </w:p>
        </w:tc>
        <w:tc>
          <w:tcPr>
            <w:tcW w:type="dxa" w:w="800"/>
            <w:tcMar>
              <w:top w:w="45" w:type="dxa"/>
              <w:bottom w:w="45" w:type="dxa"/>
              <w:start w:w="100" w:type="dxa"/>
              <w:end w:w="100" w:type="dxa"/>
            </w:tcMar>
          </w:tcPr>
          <w:p>
            <w:pPr>
              <w:keepLines/>
              <w:spacing w:after="0" w:line="252" w:lineRule="auto"/>
            </w:pPr>
            <w:r>
              <w:rPr>
                <w:rFonts w:ascii="Calibri" w:hAnsi="Calibri" w:eastAsia="Microsoft YaHei"/>
                <w:color w:val="0B2545"/>
                <w:sz w:val="14"/>
              </w:rPr>
              <w:t>E2</w:t>
            </w:r>
          </w:p>
        </w:tc>
        <w:tc>
          <w:tcPr>
            <w:tcW w:type="dxa" w:w="2900"/>
            <w:tcMar>
              <w:top w:w="45" w:type="dxa"/>
              <w:bottom w:w="45" w:type="dxa"/>
              <w:start w:w="100" w:type="dxa"/>
              <w:end w:w="100" w:type="dxa"/>
            </w:tcMar>
          </w:tcPr>
          <w:p>
            <w:pPr>
              <w:keepLines/>
              <w:spacing w:after="0" w:line="252" w:lineRule="auto"/>
            </w:pPr>
            <w:r>
              <w:rPr>
                <w:rFonts w:ascii="Calibri" w:hAnsi="Calibri" w:eastAsia="Microsoft YaHei"/>
                <w:color w:val="0B2545"/>
                <w:sz w:val="14"/>
              </w:rPr>
              <w:t>DIII-D；NSTX-U；ITER scenario studies；GA workflows</w:t>
            </w:r>
          </w:p>
        </w:tc>
      </w:tr>
      <w:tr>
        <w:trPr>
          <w:cantSplit/>
        </w:trPr>
        <w:tc>
          <w:tcPr>
            <w:tcW w:type="dxa" w:w="1000"/>
            <w:tcMar>
              <w:top w:w="45" w:type="dxa"/>
              <w:bottom w:w="45" w:type="dxa"/>
              <w:start w:w="100" w:type="dxa"/>
              <w:end w:w="100" w:type="dxa"/>
            </w:tcMar>
          </w:tcPr>
          <w:p>
            <w:pPr>
              <w:keepLines/>
              <w:spacing w:after="0" w:line="252" w:lineRule="auto"/>
            </w:pPr>
            <w:r>
              <w:rPr>
                <w:rFonts w:ascii="Calibri" w:hAnsi="Calibri" w:eastAsia="Microsoft YaHei"/>
                <w:color w:val="0B2545"/>
                <w:sz w:val="14"/>
              </w:rPr>
              <w:t>DSI-005</w:t>
            </w:r>
          </w:p>
        </w:tc>
        <w:tc>
          <w:tcPr>
            <w:tcW w:type="dxa" w:w="900"/>
            <w:tcMar>
              <w:top w:w="45" w:type="dxa"/>
              <w:bottom w:w="45" w:type="dxa"/>
              <w:start w:w="100" w:type="dxa"/>
              <w:end w:w="100" w:type="dxa"/>
            </w:tcMar>
          </w:tcPr>
          <w:p>
            <w:pPr>
              <w:keepLines/>
              <w:spacing w:after="0" w:line="252" w:lineRule="auto"/>
            </w:pPr>
            <w:r>
              <w:rPr>
                <w:rFonts w:ascii="Calibri" w:hAnsi="Calibri" w:eastAsia="Microsoft YaHei"/>
                <w:color w:val="0B2545"/>
                <w:sz w:val="14"/>
              </w:rPr>
              <w:t>DG0</w:t>
            </w:r>
          </w:p>
        </w:tc>
        <w:tc>
          <w:tcPr>
            <w:tcW w:type="dxa" w:w="3760"/>
            <w:tcMar>
              <w:top w:w="45" w:type="dxa"/>
              <w:bottom w:w="45" w:type="dxa"/>
              <w:start w:w="100" w:type="dxa"/>
              <w:end w:w="100" w:type="dxa"/>
            </w:tcMar>
          </w:tcPr>
          <w:p>
            <w:pPr>
              <w:keepLines/>
              <w:spacing w:after="0" w:line="252" w:lineRule="auto"/>
            </w:pPr>
            <w:r>
              <w:rPr>
                <w:rFonts w:ascii="Calibri" w:hAnsi="Calibri" w:eastAsia="Microsoft YaHei"/>
                <w:color w:val="0B2545"/>
                <w:sz w:val="14"/>
              </w:rPr>
              <w:t>FAIR4Fusion 数据治理蓝图</w:t>
            </w:r>
          </w:p>
        </w:tc>
        <w:tc>
          <w:tcPr>
            <w:tcW w:type="dxa" w:w="800"/>
            <w:tcMar>
              <w:top w:w="45" w:type="dxa"/>
              <w:bottom w:w="45" w:type="dxa"/>
              <w:start w:w="100" w:type="dxa"/>
              <w:end w:w="100" w:type="dxa"/>
            </w:tcMar>
          </w:tcPr>
          <w:p>
            <w:pPr>
              <w:keepLines/>
              <w:spacing w:after="0" w:line="252" w:lineRule="auto"/>
            </w:pPr>
            <w:r>
              <w:rPr>
                <w:rFonts w:ascii="Calibri" w:hAnsi="Calibri" w:eastAsia="Microsoft YaHei"/>
                <w:color w:val="0B2545"/>
                <w:sz w:val="14"/>
              </w:rPr>
              <w:t>E1</w:t>
            </w:r>
          </w:p>
        </w:tc>
        <w:tc>
          <w:tcPr>
            <w:tcW w:type="dxa" w:w="2900"/>
            <w:tcMar>
              <w:top w:w="45" w:type="dxa"/>
              <w:bottom w:w="45" w:type="dxa"/>
              <w:start w:w="100" w:type="dxa"/>
              <w:end w:w="100" w:type="dxa"/>
            </w:tcMar>
          </w:tcPr>
          <w:p>
            <w:pPr>
              <w:keepLines/>
              <w:spacing w:after="0" w:line="252" w:lineRule="auto"/>
            </w:pPr>
            <w:r>
              <w:rPr>
                <w:rFonts w:ascii="Calibri" w:hAnsi="Calibri" w:eastAsia="Microsoft YaHei"/>
                <w:color w:val="0B2545"/>
                <w:sz w:val="14"/>
              </w:rPr>
              <w:t>EUROfusion facilities；ITER-adjacent research ecosystem</w:t>
            </w:r>
          </w:p>
        </w:tc>
      </w:tr>
      <w:tr>
        <w:trPr>
          <w:cantSplit/>
        </w:trPr>
        <w:tc>
          <w:tcPr>
            <w:tcW w:type="dxa" w:w="1000"/>
            <w:tcMar>
              <w:top w:w="45" w:type="dxa"/>
              <w:bottom w:w="45" w:type="dxa"/>
              <w:start w:w="100" w:type="dxa"/>
              <w:end w:w="100" w:type="dxa"/>
            </w:tcMar>
          </w:tcPr>
          <w:p>
            <w:pPr>
              <w:keepLines/>
              <w:spacing w:after="0" w:line="252" w:lineRule="auto"/>
            </w:pPr>
            <w:r>
              <w:rPr>
                <w:rFonts w:ascii="Calibri" w:hAnsi="Calibri" w:eastAsia="Microsoft YaHei"/>
                <w:color w:val="0B2545"/>
                <w:sz w:val="14"/>
              </w:rPr>
              <w:t>DG1-001</w:t>
            </w:r>
          </w:p>
        </w:tc>
        <w:tc>
          <w:tcPr>
            <w:tcW w:type="dxa" w:w="900"/>
            <w:tcMar>
              <w:top w:w="45" w:type="dxa"/>
              <w:bottom w:w="45" w:type="dxa"/>
              <w:start w:w="100" w:type="dxa"/>
              <w:end w:w="100" w:type="dxa"/>
            </w:tcMar>
          </w:tcPr>
          <w:p>
            <w:pPr>
              <w:keepLines/>
              <w:spacing w:after="0" w:line="252" w:lineRule="auto"/>
            </w:pPr>
            <w:r>
              <w:rPr>
                <w:rFonts w:ascii="Calibri" w:hAnsi="Calibri" w:eastAsia="Microsoft YaHei"/>
                <w:color w:val="0B2545"/>
                <w:sz w:val="14"/>
              </w:rPr>
              <w:t>DG1</w:t>
            </w:r>
          </w:p>
        </w:tc>
        <w:tc>
          <w:tcPr>
            <w:tcW w:type="dxa" w:w="3760"/>
            <w:tcMar>
              <w:top w:w="45" w:type="dxa"/>
              <w:bottom w:w="45" w:type="dxa"/>
              <w:start w:w="100" w:type="dxa"/>
              <w:end w:w="100" w:type="dxa"/>
            </w:tcMar>
          </w:tcPr>
          <w:p>
            <w:pPr>
              <w:keepLines/>
              <w:spacing w:after="0" w:line="252" w:lineRule="auto"/>
            </w:pPr>
            <w:r>
              <w:rPr>
                <w:rFonts w:ascii="Calibri" w:hAnsi="Calibri" w:eastAsia="Microsoft YaHei"/>
                <w:color w:val="0B2545"/>
                <w:sz w:val="14"/>
              </w:rPr>
              <w:t>感应式磁测量：磁通环、拾取线圈与罗戈夫斯基线圈</w:t>
            </w:r>
          </w:p>
        </w:tc>
        <w:tc>
          <w:tcPr>
            <w:tcW w:type="dxa" w:w="800"/>
            <w:tcMar>
              <w:top w:w="45" w:type="dxa"/>
              <w:bottom w:w="45" w:type="dxa"/>
              <w:start w:w="100" w:type="dxa"/>
              <w:end w:w="100" w:type="dxa"/>
            </w:tcMar>
          </w:tcPr>
          <w:p>
            <w:pPr>
              <w:keepLines/>
              <w:spacing w:after="0" w:line="252" w:lineRule="auto"/>
            </w:pPr>
            <w:r>
              <w:rPr>
                <w:rFonts w:ascii="Calibri" w:hAnsi="Calibri" w:eastAsia="Microsoft YaHei"/>
                <w:color w:val="0B2545"/>
                <w:sz w:val="14"/>
              </w:rPr>
              <w:t>E1</w:t>
            </w:r>
          </w:p>
        </w:tc>
        <w:tc>
          <w:tcPr>
            <w:tcW w:type="dxa" w:w="2900"/>
            <w:tcMar>
              <w:top w:w="45" w:type="dxa"/>
              <w:bottom w:w="45" w:type="dxa"/>
              <w:start w:w="100" w:type="dxa"/>
              <w:end w:w="100" w:type="dxa"/>
            </w:tcMar>
          </w:tcPr>
          <w:p>
            <w:pPr>
              <w:keepLines/>
              <w:spacing w:after="0" w:line="252" w:lineRule="auto"/>
            </w:pPr>
            <w:r>
              <w:rPr>
                <w:rFonts w:ascii="Calibri" w:hAnsi="Calibri" w:eastAsia="Microsoft YaHei"/>
                <w:color w:val="0B2545"/>
                <w:sz w:val="14"/>
              </w:rPr>
              <w:t>ITER；DIII-D；EAST；JET</w:t>
            </w:r>
          </w:p>
        </w:tc>
      </w:tr>
      <w:tr>
        <w:trPr>
          <w:cantSplit/>
        </w:trPr>
        <w:tc>
          <w:tcPr>
            <w:tcW w:type="dxa" w:w="1000"/>
            <w:tcMar>
              <w:top w:w="45" w:type="dxa"/>
              <w:bottom w:w="45" w:type="dxa"/>
              <w:start w:w="100" w:type="dxa"/>
              <w:end w:w="100" w:type="dxa"/>
            </w:tcMar>
          </w:tcPr>
          <w:p>
            <w:pPr>
              <w:keepLines/>
              <w:spacing w:after="0" w:line="252" w:lineRule="auto"/>
            </w:pPr>
            <w:r>
              <w:rPr>
                <w:rFonts w:ascii="Calibri" w:hAnsi="Calibri" w:eastAsia="Microsoft YaHei"/>
                <w:color w:val="0B2545"/>
                <w:sz w:val="14"/>
              </w:rPr>
              <w:t>DG1-004</w:t>
            </w:r>
          </w:p>
        </w:tc>
        <w:tc>
          <w:tcPr>
            <w:tcW w:type="dxa" w:w="900"/>
            <w:tcMar>
              <w:top w:w="45" w:type="dxa"/>
              <w:bottom w:w="45" w:type="dxa"/>
              <w:start w:w="100" w:type="dxa"/>
              <w:end w:w="100" w:type="dxa"/>
            </w:tcMar>
          </w:tcPr>
          <w:p>
            <w:pPr>
              <w:keepLines/>
              <w:spacing w:after="0" w:line="252" w:lineRule="auto"/>
            </w:pPr>
            <w:r>
              <w:rPr>
                <w:rFonts w:ascii="Calibri" w:hAnsi="Calibri" w:eastAsia="Microsoft YaHei"/>
                <w:color w:val="0B2545"/>
                <w:sz w:val="14"/>
              </w:rPr>
              <w:t>DG1</w:t>
            </w:r>
          </w:p>
        </w:tc>
        <w:tc>
          <w:tcPr>
            <w:tcW w:type="dxa" w:w="3760"/>
            <w:tcMar>
              <w:top w:w="45" w:type="dxa"/>
              <w:bottom w:w="45" w:type="dxa"/>
              <w:start w:w="100" w:type="dxa"/>
              <w:end w:w="100" w:type="dxa"/>
            </w:tcMar>
          </w:tcPr>
          <w:p>
            <w:pPr>
              <w:keepLines/>
              <w:spacing w:after="0" w:line="252" w:lineRule="auto"/>
            </w:pPr>
            <w:r>
              <w:rPr>
                <w:rFonts w:ascii="Calibri" w:hAnsi="Calibri" w:eastAsia="Microsoft YaHei"/>
                <w:color w:val="0B2545"/>
                <w:sz w:val="14"/>
              </w:rPr>
              <w:t>动生斯塔克效应：内部磁场与电流密度剖面</w:t>
            </w:r>
          </w:p>
        </w:tc>
        <w:tc>
          <w:tcPr>
            <w:tcW w:type="dxa" w:w="800"/>
            <w:tcMar>
              <w:top w:w="45" w:type="dxa"/>
              <w:bottom w:w="45" w:type="dxa"/>
              <w:start w:w="100" w:type="dxa"/>
              <w:end w:w="100" w:type="dxa"/>
            </w:tcMar>
          </w:tcPr>
          <w:p>
            <w:pPr>
              <w:keepLines/>
              <w:spacing w:after="0" w:line="252" w:lineRule="auto"/>
            </w:pPr>
            <w:r>
              <w:rPr>
                <w:rFonts w:ascii="Calibri" w:hAnsi="Calibri" w:eastAsia="Microsoft YaHei"/>
                <w:color w:val="0B2545"/>
                <w:sz w:val="14"/>
              </w:rPr>
              <w:t>E4</w:t>
            </w:r>
          </w:p>
        </w:tc>
        <w:tc>
          <w:tcPr>
            <w:tcW w:type="dxa" w:w="2900"/>
            <w:tcMar>
              <w:top w:w="45" w:type="dxa"/>
              <w:bottom w:w="45" w:type="dxa"/>
              <w:start w:w="100" w:type="dxa"/>
              <w:end w:w="100" w:type="dxa"/>
            </w:tcMar>
          </w:tcPr>
          <w:p>
            <w:pPr>
              <w:keepLines/>
              <w:spacing w:after="0" w:line="252" w:lineRule="auto"/>
            </w:pPr>
            <w:r>
              <w:rPr>
                <w:rFonts w:ascii="Calibri" w:hAnsi="Calibri" w:eastAsia="Microsoft YaHei"/>
                <w:color w:val="0B2545"/>
                <w:sz w:val="14"/>
              </w:rPr>
              <w:t>DIII-D；MST；KSTAR</w:t>
            </w:r>
          </w:p>
        </w:tc>
      </w:tr>
      <w:tr>
        <w:trPr>
          <w:cantSplit/>
        </w:trPr>
        <w:tc>
          <w:tcPr>
            <w:tcW w:type="dxa" w:w="1000"/>
            <w:tcMar>
              <w:top w:w="45" w:type="dxa"/>
              <w:bottom w:w="45" w:type="dxa"/>
              <w:start w:w="100" w:type="dxa"/>
              <w:end w:w="100" w:type="dxa"/>
            </w:tcMar>
          </w:tcPr>
          <w:p>
            <w:pPr>
              <w:keepLines/>
              <w:spacing w:after="0" w:line="252" w:lineRule="auto"/>
            </w:pPr>
            <w:r>
              <w:rPr>
                <w:rFonts w:ascii="Calibri" w:hAnsi="Calibri" w:eastAsia="Microsoft YaHei"/>
                <w:color w:val="0B2545"/>
                <w:sz w:val="14"/>
              </w:rPr>
              <w:t>DG1-005</w:t>
            </w:r>
          </w:p>
        </w:tc>
        <w:tc>
          <w:tcPr>
            <w:tcW w:type="dxa" w:w="900"/>
            <w:tcMar>
              <w:top w:w="45" w:type="dxa"/>
              <w:bottom w:w="45" w:type="dxa"/>
              <w:start w:w="100" w:type="dxa"/>
              <w:end w:w="100" w:type="dxa"/>
            </w:tcMar>
          </w:tcPr>
          <w:p>
            <w:pPr>
              <w:keepLines/>
              <w:spacing w:after="0" w:line="252" w:lineRule="auto"/>
            </w:pPr>
            <w:r>
              <w:rPr>
                <w:rFonts w:ascii="Calibri" w:hAnsi="Calibri" w:eastAsia="Microsoft YaHei"/>
                <w:color w:val="0B2545"/>
                <w:sz w:val="14"/>
              </w:rPr>
              <w:t>DG1</w:t>
            </w:r>
          </w:p>
        </w:tc>
        <w:tc>
          <w:tcPr>
            <w:tcW w:type="dxa" w:w="3760"/>
            <w:tcMar>
              <w:top w:w="45" w:type="dxa"/>
              <w:bottom w:w="45" w:type="dxa"/>
              <w:start w:w="100" w:type="dxa"/>
              <w:end w:w="100" w:type="dxa"/>
            </w:tcMar>
          </w:tcPr>
          <w:p>
            <w:pPr>
              <w:keepLines/>
              <w:spacing w:after="0" w:line="252" w:lineRule="auto"/>
            </w:pPr>
            <w:r>
              <w:rPr>
                <w:rFonts w:ascii="Calibri" w:hAnsi="Calibri" w:eastAsia="Microsoft YaHei"/>
                <w:color w:val="0B2545"/>
                <w:sz w:val="14"/>
              </w:rPr>
              <w:t>实时磁平衡重建：rtEFIT与GPU实现</w:t>
            </w:r>
          </w:p>
        </w:tc>
        <w:tc>
          <w:tcPr>
            <w:tcW w:type="dxa" w:w="800"/>
            <w:tcMar>
              <w:top w:w="45" w:type="dxa"/>
              <w:bottom w:w="45" w:type="dxa"/>
              <w:start w:w="100" w:type="dxa"/>
              <w:end w:w="100" w:type="dxa"/>
            </w:tcMar>
          </w:tcPr>
          <w:p>
            <w:pPr>
              <w:keepLines/>
              <w:spacing w:after="0" w:line="252" w:lineRule="auto"/>
            </w:pPr>
            <w:r>
              <w:rPr>
                <w:rFonts w:ascii="Calibri" w:hAnsi="Calibri" w:eastAsia="Microsoft YaHei"/>
                <w:color w:val="0B2545"/>
                <w:sz w:val="14"/>
              </w:rPr>
              <w:t>E4</w:t>
            </w:r>
          </w:p>
        </w:tc>
        <w:tc>
          <w:tcPr>
            <w:tcW w:type="dxa" w:w="2900"/>
            <w:tcMar>
              <w:top w:w="45" w:type="dxa"/>
              <w:bottom w:w="45" w:type="dxa"/>
              <w:start w:w="100" w:type="dxa"/>
              <w:end w:w="100" w:type="dxa"/>
            </w:tcMar>
          </w:tcPr>
          <w:p>
            <w:pPr>
              <w:keepLines/>
              <w:spacing w:after="0" w:line="252" w:lineRule="auto"/>
            </w:pPr>
            <w:r>
              <w:rPr>
                <w:rFonts w:ascii="Calibri" w:hAnsi="Calibri" w:eastAsia="Microsoft YaHei"/>
                <w:color w:val="0B2545"/>
                <w:sz w:val="14"/>
              </w:rPr>
              <w:t>DIII-D；HL-2A；EAST；KSTAR</w:t>
            </w:r>
          </w:p>
        </w:tc>
      </w:tr>
      <w:tr>
        <w:trPr>
          <w:cantSplit/>
        </w:trPr>
        <w:tc>
          <w:tcPr>
            <w:tcW w:type="dxa" w:w="1000"/>
            <w:tcMar>
              <w:top w:w="45" w:type="dxa"/>
              <w:bottom w:w="45" w:type="dxa"/>
              <w:start w:w="100" w:type="dxa"/>
              <w:end w:w="100" w:type="dxa"/>
            </w:tcMar>
          </w:tcPr>
          <w:p>
            <w:pPr>
              <w:keepLines/>
              <w:spacing w:after="0" w:line="252" w:lineRule="auto"/>
            </w:pPr>
            <w:r>
              <w:rPr>
                <w:rFonts w:ascii="Calibri" w:hAnsi="Calibri" w:eastAsia="Microsoft YaHei"/>
                <w:color w:val="0B2545"/>
                <w:sz w:val="14"/>
              </w:rPr>
              <w:t>DG2-006</w:t>
            </w:r>
          </w:p>
        </w:tc>
        <w:tc>
          <w:tcPr>
            <w:tcW w:type="dxa" w:w="900"/>
            <w:tcMar>
              <w:top w:w="45" w:type="dxa"/>
              <w:bottom w:w="45" w:type="dxa"/>
              <w:start w:w="100" w:type="dxa"/>
              <w:end w:w="100" w:type="dxa"/>
            </w:tcMar>
          </w:tcPr>
          <w:p>
            <w:pPr>
              <w:keepLines/>
              <w:spacing w:after="0" w:line="252" w:lineRule="auto"/>
            </w:pPr>
            <w:r>
              <w:rPr>
                <w:rFonts w:ascii="Calibri" w:hAnsi="Calibri" w:eastAsia="Microsoft YaHei"/>
                <w:color w:val="0B2545"/>
                <w:sz w:val="14"/>
              </w:rPr>
              <w:t>DG2</w:t>
            </w:r>
          </w:p>
        </w:tc>
        <w:tc>
          <w:tcPr>
            <w:tcW w:type="dxa" w:w="3760"/>
            <w:tcMar>
              <w:top w:w="45" w:type="dxa"/>
              <w:bottom w:w="45" w:type="dxa"/>
              <w:start w:w="100" w:type="dxa"/>
              <w:end w:w="100" w:type="dxa"/>
            </w:tcMar>
          </w:tcPr>
          <w:p>
            <w:pPr>
              <w:keepLines/>
              <w:spacing w:after="0" w:line="252" w:lineRule="auto"/>
            </w:pPr>
            <w:r>
              <w:rPr>
                <w:rFonts w:ascii="Calibri" w:hAnsi="Calibri" w:eastAsia="Microsoft YaHei"/>
                <w:color w:val="0B2545"/>
                <w:sz w:val="14"/>
              </w:rPr>
              <w:t>多点汤姆逊散射：核心与边缘电子剖面</w:t>
            </w:r>
          </w:p>
        </w:tc>
        <w:tc>
          <w:tcPr>
            <w:tcW w:type="dxa" w:w="800"/>
            <w:tcMar>
              <w:top w:w="45" w:type="dxa"/>
              <w:bottom w:w="45" w:type="dxa"/>
              <w:start w:w="100" w:type="dxa"/>
              <w:end w:w="100" w:type="dxa"/>
            </w:tcMar>
          </w:tcPr>
          <w:p>
            <w:pPr>
              <w:keepLines/>
              <w:spacing w:after="0" w:line="252" w:lineRule="auto"/>
            </w:pPr>
            <w:r>
              <w:rPr>
                <w:rFonts w:ascii="Calibri" w:hAnsi="Calibri" w:eastAsia="Microsoft YaHei"/>
                <w:color w:val="0B2545"/>
                <w:sz w:val="14"/>
              </w:rPr>
              <w:t>E3</w:t>
            </w:r>
          </w:p>
        </w:tc>
        <w:tc>
          <w:tcPr>
            <w:tcW w:type="dxa" w:w="2900"/>
            <w:tcMar>
              <w:top w:w="45" w:type="dxa"/>
              <w:bottom w:w="45" w:type="dxa"/>
              <w:start w:w="100" w:type="dxa"/>
              <w:end w:w="100" w:type="dxa"/>
            </w:tcMar>
          </w:tcPr>
          <w:p>
            <w:pPr>
              <w:keepLines/>
              <w:spacing w:after="0" w:line="252" w:lineRule="auto"/>
            </w:pPr>
            <w:r>
              <w:rPr>
                <w:rFonts w:ascii="Calibri" w:hAnsi="Calibri" w:eastAsia="Microsoft YaHei"/>
                <w:color w:val="0B2545"/>
                <w:sz w:val="14"/>
              </w:rPr>
              <w:t>DIII-D；EAST；Globus-M2；ITER</w:t>
            </w:r>
          </w:p>
        </w:tc>
      </w:tr>
      <w:tr>
        <w:trPr>
          <w:cantSplit/>
        </w:trPr>
        <w:tc>
          <w:tcPr>
            <w:tcW w:type="dxa" w:w="1000"/>
            <w:tcMar>
              <w:top w:w="45" w:type="dxa"/>
              <w:bottom w:w="45" w:type="dxa"/>
              <w:start w:w="100" w:type="dxa"/>
              <w:end w:w="100" w:type="dxa"/>
            </w:tcMar>
          </w:tcPr>
          <w:p>
            <w:pPr>
              <w:keepLines/>
              <w:spacing w:after="0" w:line="252" w:lineRule="auto"/>
            </w:pPr>
            <w:r>
              <w:rPr>
                <w:rFonts w:ascii="Calibri" w:hAnsi="Calibri" w:eastAsia="Microsoft YaHei"/>
                <w:color w:val="0B2545"/>
                <w:sz w:val="14"/>
              </w:rPr>
              <w:t>DG2-007</w:t>
            </w:r>
          </w:p>
        </w:tc>
        <w:tc>
          <w:tcPr>
            <w:tcW w:type="dxa" w:w="900"/>
            <w:tcMar>
              <w:top w:w="45" w:type="dxa"/>
              <w:bottom w:w="45" w:type="dxa"/>
              <w:start w:w="100" w:type="dxa"/>
              <w:end w:w="100" w:type="dxa"/>
            </w:tcMar>
          </w:tcPr>
          <w:p>
            <w:pPr>
              <w:keepLines/>
              <w:spacing w:after="0" w:line="252" w:lineRule="auto"/>
            </w:pPr>
            <w:r>
              <w:rPr>
                <w:rFonts w:ascii="Calibri" w:hAnsi="Calibri" w:eastAsia="Microsoft YaHei"/>
                <w:color w:val="0B2545"/>
                <w:sz w:val="14"/>
              </w:rPr>
              <w:t>DG2</w:t>
            </w:r>
          </w:p>
        </w:tc>
        <w:tc>
          <w:tcPr>
            <w:tcW w:type="dxa" w:w="3760"/>
            <w:tcMar>
              <w:top w:w="45" w:type="dxa"/>
              <w:bottom w:w="45" w:type="dxa"/>
              <w:start w:w="100" w:type="dxa"/>
              <w:end w:w="100" w:type="dxa"/>
            </w:tcMar>
          </w:tcPr>
          <w:p>
            <w:pPr>
              <w:keepLines/>
              <w:spacing w:after="0" w:line="252" w:lineRule="auto"/>
            </w:pPr>
            <w:r>
              <w:rPr>
                <w:rFonts w:ascii="Calibri" w:hAnsi="Calibri" w:eastAsia="Microsoft YaHei"/>
                <w:color w:val="0B2545"/>
                <w:sz w:val="14"/>
              </w:rPr>
              <w:t>LIDAR汤姆逊散射：JET长光程电子剖面</w:t>
            </w:r>
          </w:p>
        </w:tc>
        <w:tc>
          <w:tcPr>
            <w:tcW w:type="dxa" w:w="800"/>
            <w:tcMar>
              <w:top w:w="45" w:type="dxa"/>
              <w:bottom w:w="45" w:type="dxa"/>
              <w:start w:w="100" w:type="dxa"/>
              <w:end w:w="100" w:type="dxa"/>
            </w:tcMar>
          </w:tcPr>
          <w:p>
            <w:pPr>
              <w:keepLines/>
              <w:spacing w:after="0" w:line="252" w:lineRule="auto"/>
            </w:pPr>
            <w:r>
              <w:rPr>
                <w:rFonts w:ascii="Calibri" w:hAnsi="Calibri" w:eastAsia="Microsoft YaHei"/>
                <w:color w:val="0B2545"/>
                <w:sz w:val="14"/>
              </w:rPr>
              <w:t>E4</w:t>
            </w:r>
          </w:p>
        </w:tc>
        <w:tc>
          <w:tcPr>
            <w:tcW w:type="dxa" w:w="2900"/>
            <w:tcMar>
              <w:top w:w="45" w:type="dxa"/>
              <w:bottom w:w="45" w:type="dxa"/>
              <w:start w:w="100" w:type="dxa"/>
              <w:end w:w="100" w:type="dxa"/>
            </w:tcMar>
          </w:tcPr>
          <w:p>
            <w:pPr>
              <w:keepLines/>
              <w:spacing w:after="0" w:line="252" w:lineRule="auto"/>
            </w:pPr>
            <w:r>
              <w:rPr>
                <w:rFonts w:ascii="Calibri" w:hAnsi="Calibri" w:eastAsia="Microsoft YaHei"/>
                <w:color w:val="0B2545"/>
                <w:sz w:val="14"/>
              </w:rPr>
              <w:t>JET</w:t>
            </w:r>
          </w:p>
        </w:tc>
      </w:tr>
      <w:tr>
        <w:trPr>
          <w:cantSplit/>
        </w:trPr>
        <w:tc>
          <w:tcPr>
            <w:tcW w:type="dxa" w:w="1000"/>
            <w:tcMar>
              <w:top w:w="45" w:type="dxa"/>
              <w:bottom w:w="45" w:type="dxa"/>
              <w:start w:w="100" w:type="dxa"/>
              <w:end w:w="100" w:type="dxa"/>
            </w:tcMar>
          </w:tcPr>
          <w:p>
            <w:pPr>
              <w:keepLines/>
              <w:spacing w:after="0" w:line="252" w:lineRule="auto"/>
            </w:pPr>
            <w:r>
              <w:rPr>
                <w:rFonts w:ascii="Calibri" w:hAnsi="Calibri" w:eastAsia="Microsoft YaHei"/>
                <w:color w:val="0B2545"/>
                <w:sz w:val="14"/>
              </w:rPr>
              <w:t>DG2-008</w:t>
            </w:r>
          </w:p>
        </w:tc>
        <w:tc>
          <w:tcPr>
            <w:tcW w:type="dxa" w:w="900"/>
            <w:tcMar>
              <w:top w:w="45" w:type="dxa"/>
              <w:bottom w:w="45" w:type="dxa"/>
              <w:start w:w="100" w:type="dxa"/>
              <w:end w:w="100" w:type="dxa"/>
            </w:tcMar>
          </w:tcPr>
          <w:p>
            <w:pPr>
              <w:keepLines/>
              <w:spacing w:after="0" w:line="252" w:lineRule="auto"/>
            </w:pPr>
            <w:r>
              <w:rPr>
                <w:rFonts w:ascii="Calibri" w:hAnsi="Calibri" w:eastAsia="Microsoft YaHei"/>
                <w:color w:val="0B2545"/>
                <w:sz w:val="14"/>
              </w:rPr>
              <w:t>DG2</w:t>
            </w:r>
          </w:p>
        </w:tc>
        <w:tc>
          <w:tcPr>
            <w:tcW w:type="dxa" w:w="3760"/>
            <w:tcMar>
              <w:top w:w="45" w:type="dxa"/>
              <w:bottom w:w="45" w:type="dxa"/>
              <w:start w:w="100" w:type="dxa"/>
              <w:end w:w="100" w:type="dxa"/>
            </w:tcMar>
          </w:tcPr>
          <w:p>
            <w:pPr>
              <w:keepLines/>
              <w:spacing w:after="0" w:line="252" w:lineRule="auto"/>
            </w:pPr>
            <w:r>
              <w:rPr>
                <w:rFonts w:ascii="Calibri" w:hAnsi="Calibri" w:eastAsia="Microsoft YaHei"/>
                <w:color w:val="0B2545"/>
                <w:sz w:val="14"/>
              </w:rPr>
              <w:t>多色干涉/偏振测量：ITER环向干涉偏振仪</w:t>
            </w:r>
          </w:p>
        </w:tc>
        <w:tc>
          <w:tcPr>
            <w:tcW w:type="dxa" w:w="800"/>
            <w:tcMar>
              <w:top w:w="45" w:type="dxa"/>
              <w:bottom w:w="45" w:type="dxa"/>
              <w:start w:w="100" w:type="dxa"/>
              <w:end w:w="100" w:type="dxa"/>
            </w:tcMar>
          </w:tcPr>
          <w:p>
            <w:pPr>
              <w:keepLines/>
              <w:spacing w:after="0" w:line="252" w:lineRule="auto"/>
            </w:pPr>
            <w:r>
              <w:rPr>
                <w:rFonts w:ascii="Calibri" w:hAnsi="Calibri" w:eastAsia="Microsoft YaHei"/>
                <w:color w:val="0B2545"/>
                <w:sz w:val="14"/>
              </w:rPr>
              <w:t>E3</w:t>
            </w:r>
          </w:p>
        </w:tc>
        <w:tc>
          <w:tcPr>
            <w:tcW w:type="dxa" w:w="2900"/>
            <w:tcMar>
              <w:top w:w="45" w:type="dxa"/>
              <w:bottom w:w="45" w:type="dxa"/>
              <w:start w:w="100" w:type="dxa"/>
              <w:end w:w="100" w:type="dxa"/>
            </w:tcMar>
          </w:tcPr>
          <w:p>
            <w:pPr>
              <w:keepLines/>
              <w:spacing w:after="0" w:line="252" w:lineRule="auto"/>
            </w:pPr>
            <w:r>
              <w:rPr>
                <w:rFonts w:ascii="Calibri" w:hAnsi="Calibri" w:eastAsia="Microsoft YaHei"/>
                <w:color w:val="0B2545"/>
                <w:sz w:val="14"/>
              </w:rPr>
              <w:t>ITER；DIII-D；EAST；KSTAR</w:t>
            </w:r>
          </w:p>
        </w:tc>
      </w:tr>
      <w:tr>
        <w:trPr>
          <w:cantSplit/>
        </w:trPr>
        <w:tc>
          <w:tcPr>
            <w:tcW w:type="dxa" w:w="1000"/>
            <w:tcMar>
              <w:top w:w="45" w:type="dxa"/>
              <w:bottom w:w="45" w:type="dxa"/>
              <w:start w:w="100" w:type="dxa"/>
              <w:end w:w="100" w:type="dxa"/>
            </w:tcMar>
          </w:tcPr>
          <w:p>
            <w:pPr>
              <w:keepLines/>
              <w:spacing w:after="0" w:line="252" w:lineRule="auto"/>
            </w:pPr>
            <w:r>
              <w:rPr>
                <w:rFonts w:ascii="Calibri" w:hAnsi="Calibri" w:eastAsia="Microsoft YaHei"/>
                <w:color w:val="0B2545"/>
                <w:sz w:val="14"/>
              </w:rPr>
              <w:t>DG3-011</w:t>
            </w:r>
          </w:p>
        </w:tc>
        <w:tc>
          <w:tcPr>
            <w:tcW w:type="dxa" w:w="900"/>
            <w:tcMar>
              <w:top w:w="45" w:type="dxa"/>
              <w:bottom w:w="45" w:type="dxa"/>
              <w:start w:w="100" w:type="dxa"/>
              <w:end w:w="100" w:type="dxa"/>
            </w:tcMar>
          </w:tcPr>
          <w:p>
            <w:pPr>
              <w:keepLines/>
              <w:spacing w:after="0" w:line="252" w:lineRule="auto"/>
            </w:pPr>
            <w:r>
              <w:rPr>
                <w:rFonts w:ascii="Calibri" w:hAnsi="Calibri" w:eastAsia="Microsoft YaHei"/>
                <w:color w:val="0B2545"/>
                <w:sz w:val="14"/>
              </w:rPr>
              <w:t>DG3</w:t>
            </w:r>
          </w:p>
        </w:tc>
        <w:tc>
          <w:tcPr>
            <w:tcW w:type="dxa" w:w="3760"/>
            <w:tcMar>
              <w:top w:w="45" w:type="dxa"/>
              <w:bottom w:w="45" w:type="dxa"/>
              <w:start w:w="100" w:type="dxa"/>
              <w:end w:w="100" w:type="dxa"/>
            </w:tcMar>
          </w:tcPr>
          <w:p>
            <w:pPr>
              <w:keepLines/>
              <w:spacing w:after="0" w:line="252" w:lineRule="auto"/>
            </w:pPr>
            <w:r>
              <w:rPr>
                <w:rFonts w:ascii="Calibri" w:hAnsi="Calibri" w:eastAsia="Microsoft YaHei"/>
                <w:color w:val="0B2545"/>
                <w:sz w:val="14"/>
              </w:rPr>
              <w:t>电荷交换复合谱：离子温度与转动</w:t>
            </w:r>
          </w:p>
        </w:tc>
        <w:tc>
          <w:tcPr>
            <w:tcW w:type="dxa" w:w="800"/>
            <w:tcMar>
              <w:top w:w="45" w:type="dxa"/>
              <w:bottom w:w="45" w:type="dxa"/>
              <w:start w:w="100" w:type="dxa"/>
              <w:end w:w="100" w:type="dxa"/>
            </w:tcMar>
          </w:tcPr>
          <w:p>
            <w:pPr>
              <w:keepLines/>
              <w:spacing w:after="0" w:line="252" w:lineRule="auto"/>
            </w:pPr>
            <w:r>
              <w:rPr>
                <w:rFonts w:ascii="Calibri" w:hAnsi="Calibri" w:eastAsia="Microsoft YaHei"/>
                <w:color w:val="0B2545"/>
                <w:sz w:val="14"/>
              </w:rPr>
              <w:t>E4</w:t>
            </w:r>
          </w:p>
        </w:tc>
        <w:tc>
          <w:tcPr>
            <w:tcW w:type="dxa" w:w="2900"/>
            <w:tcMar>
              <w:top w:w="45" w:type="dxa"/>
              <w:bottom w:w="45" w:type="dxa"/>
              <w:start w:w="100" w:type="dxa"/>
              <w:end w:w="100" w:type="dxa"/>
            </w:tcMar>
          </w:tcPr>
          <w:p>
            <w:pPr>
              <w:keepLines/>
              <w:spacing w:after="0" w:line="252" w:lineRule="auto"/>
            </w:pPr>
            <w:r>
              <w:rPr>
                <w:rFonts w:ascii="Calibri" w:hAnsi="Calibri" w:eastAsia="Microsoft YaHei"/>
                <w:color w:val="0B2545"/>
                <w:sz w:val="14"/>
              </w:rPr>
              <w:t>DIII-D；HL-2A；JET；KSTAR</w:t>
            </w:r>
          </w:p>
        </w:tc>
      </w:tr>
      <w:tr>
        <w:trPr>
          <w:cantSplit/>
        </w:trPr>
        <w:tc>
          <w:tcPr>
            <w:tcW w:type="dxa" w:w="1000"/>
            <w:tcMar>
              <w:top w:w="45" w:type="dxa"/>
              <w:bottom w:w="45" w:type="dxa"/>
              <w:start w:w="100" w:type="dxa"/>
              <w:end w:w="100" w:type="dxa"/>
            </w:tcMar>
          </w:tcPr>
          <w:p>
            <w:pPr>
              <w:keepLines/>
              <w:spacing w:after="0" w:line="252" w:lineRule="auto"/>
            </w:pPr>
            <w:r>
              <w:rPr>
                <w:rFonts w:ascii="Calibri" w:hAnsi="Calibri" w:eastAsia="Microsoft YaHei"/>
                <w:color w:val="0B2545"/>
                <w:sz w:val="14"/>
              </w:rPr>
              <w:t>DG3-012</w:t>
            </w:r>
          </w:p>
        </w:tc>
        <w:tc>
          <w:tcPr>
            <w:tcW w:type="dxa" w:w="900"/>
            <w:tcMar>
              <w:top w:w="45" w:type="dxa"/>
              <w:bottom w:w="45" w:type="dxa"/>
              <w:start w:w="100" w:type="dxa"/>
              <w:end w:w="100" w:type="dxa"/>
            </w:tcMar>
          </w:tcPr>
          <w:p>
            <w:pPr>
              <w:keepLines/>
              <w:spacing w:after="0" w:line="252" w:lineRule="auto"/>
            </w:pPr>
            <w:r>
              <w:rPr>
                <w:rFonts w:ascii="Calibri" w:hAnsi="Calibri" w:eastAsia="Microsoft YaHei"/>
                <w:color w:val="0B2545"/>
                <w:sz w:val="14"/>
              </w:rPr>
              <w:t>DG3</w:t>
            </w:r>
          </w:p>
        </w:tc>
        <w:tc>
          <w:tcPr>
            <w:tcW w:type="dxa" w:w="3760"/>
            <w:tcMar>
              <w:top w:w="45" w:type="dxa"/>
              <w:bottom w:w="45" w:type="dxa"/>
              <w:start w:w="100" w:type="dxa"/>
              <w:end w:w="100" w:type="dxa"/>
            </w:tcMar>
          </w:tcPr>
          <w:p>
            <w:pPr>
              <w:keepLines/>
              <w:spacing w:after="0" w:line="252" w:lineRule="auto"/>
            </w:pPr>
            <w:r>
              <w:rPr>
                <w:rFonts w:ascii="Calibri" w:hAnsi="Calibri" w:eastAsia="Microsoft YaHei"/>
                <w:color w:val="0B2545"/>
                <w:sz w:val="14"/>
              </w:rPr>
              <w:t>成像X射线晶体谱：二维离子温度、流速与杂质</w:t>
            </w:r>
          </w:p>
        </w:tc>
        <w:tc>
          <w:tcPr>
            <w:tcW w:type="dxa" w:w="800"/>
            <w:tcMar>
              <w:top w:w="45" w:type="dxa"/>
              <w:bottom w:w="45" w:type="dxa"/>
              <w:start w:w="100" w:type="dxa"/>
              <w:end w:w="100" w:type="dxa"/>
            </w:tcMar>
          </w:tcPr>
          <w:p>
            <w:pPr>
              <w:keepLines/>
              <w:spacing w:after="0" w:line="252" w:lineRule="auto"/>
            </w:pPr>
            <w:r>
              <w:rPr>
                <w:rFonts w:ascii="Calibri" w:hAnsi="Calibri" w:eastAsia="Microsoft YaHei"/>
                <w:color w:val="0B2545"/>
                <w:sz w:val="14"/>
              </w:rPr>
              <w:t>E4</w:t>
            </w:r>
          </w:p>
        </w:tc>
        <w:tc>
          <w:tcPr>
            <w:tcW w:type="dxa" w:w="2900"/>
            <w:tcMar>
              <w:top w:w="45" w:type="dxa"/>
              <w:bottom w:w="45" w:type="dxa"/>
              <w:start w:w="100" w:type="dxa"/>
              <w:end w:w="100" w:type="dxa"/>
            </w:tcMar>
          </w:tcPr>
          <w:p>
            <w:pPr>
              <w:keepLines/>
              <w:spacing w:after="0" w:line="252" w:lineRule="auto"/>
            </w:pPr>
            <w:r>
              <w:rPr>
                <w:rFonts w:ascii="Calibri" w:hAnsi="Calibri" w:eastAsia="Microsoft YaHei"/>
                <w:color w:val="0B2545"/>
                <w:sz w:val="14"/>
              </w:rPr>
              <w:t>EAST；KSTAR；SPARC；W7-X</w:t>
            </w:r>
          </w:p>
        </w:tc>
      </w:tr>
      <w:tr>
        <w:trPr>
          <w:cantSplit/>
        </w:trPr>
        <w:tc>
          <w:tcPr>
            <w:tcW w:type="dxa" w:w="1000"/>
            <w:tcMar>
              <w:top w:w="45" w:type="dxa"/>
              <w:bottom w:w="45" w:type="dxa"/>
              <w:start w:w="100" w:type="dxa"/>
              <w:end w:w="100" w:type="dxa"/>
            </w:tcMar>
          </w:tcPr>
          <w:p>
            <w:pPr>
              <w:keepLines/>
              <w:spacing w:after="0" w:line="252" w:lineRule="auto"/>
            </w:pPr>
            <w:r>
              <w:rPr>
                <w:rFonts w:ascii="Calibri" w:hAnsi="Calibri" w:eastAsia="Microsoft YaHei"/>
                <w:color w:val="0B2545"/>
                <w:sz w:val="14"/>
              </w:rPr>
              <w:t>DG3-014</w:t>
            </w:r>
          </w:p>
        </w:tc>
        <w:tc>
          <w:tcPr>
            <w:tcW w:type="dxa" w:w="900"/>
            <w:tcMar>
              <w:top w:w="45" w:type="dxa"/>
              <w:bottom w:w="45" w:type="dxa"/>
              <w:start w:w="100" w:type="dxa"/>
              <w:end w:w="100" w:type="dxa"/>
            </w:tcMar>
          </w:tcPr>
          <w:p>
            <w:pPr>
              <w:keepLines/>
              <w:spacing w:after="0" w:line="252" w:lineRule="auto"/>
            </w:pPr>
            <w:r>
              <w:rPr>
                <w:rFonts w:ascii="Calibri" w:hAnsi="Calibri" w:eastAsia="Microsoft YaHei"/>
                <w:color w:val="0B2545"/>
                <w:sz w:val="14"/>
              </w:rPr>
              <w:t>DG3</w:t>
            </w:r>
          </w:p>
        </w:tc>
        <w:tc>
          <w:tcPr>
            <w:tcW w:type="dxa" w:w="3760"/>
            <w:tcMar>
              <w:top w:w="45" w:type="dxa"/>
              <w:bottom w:w="45" w:type="dxa"/>
              <w:start w:w="100" w:type="dxa"/>
              <w:end w:w="100" w:type="dxa"/>
            </w:tcMar>
          </w:tcPr>
          <w:p>
            <w:pPr>
              <w:keepLines/>
              <w:spacing w:after="0" w:line="252" w:lineRule="auto"/>
            </w:pPr>
            <w:r>
              <w:rPr>
                <w:rFonts w:ascii="Calibri" w:hAnsi="Calibri" w:eastAsia="Microsoft YaHei"/>
                <w:color w:val="0B2545"/>
                <w:sz w:val="14"/>
              </w:rPr>
              <w:t>主离子电荷交换谱：DIII-D氢同位素比例</w:t>
            </w:r>
          </w:p>
        </w:tc>
        <w:tc>
          <w:tcPr>
            <w:tcW w:type="dxa" w:w="800"/>
            <w:tcMar>
              <w:top w:w="45" w:type="dxa"/>
              <w:bottom w:w="45" w:type="dxa"/>
              <w:start w:w="100" w:type="dxa"/>
              <w:end w:w="100" w:type="dxa"/>
            </w:tcMar>
          </w:tcPr>
          <w:p>
            <w:pPr>
              <w:keepLines/>
              <w:spacing w:after="0" w:line="252" w:lineRule="auto"/>
            </w:pPr>
            <w:r>
              <w:rPr>
                <w:rFonts w:ascii="Calibri" w:hAnsi="Calibri" w:eastAsia="Microsoft YaHei"/>
                <w:color w:val="0B2545"/>
                <w:sz w:val="14"/>
              </w:rPr>
              <w:t>E3</w:t>
            </w:r>
          </w:p>
        </w:tc>
        <w:tc>
          <w:tcPr>
            <w:tcW w:type="dxa" w:w="2900"/>
            <w:tcMar>
              <w:top w:w="45" w:type="dxa"/>
              <w:bottom w:w="45" w:type="dxa"/>
              <w:start w:w="100" w:type="dxa"/>
              <w:end w:w="100" w:type="dxa"/>
            </w:tcMar>
          </w:tcPr>
          <w:p>
            <w:pPr>
              <w:keepLines/>
              <w:spacing w:after="0" w:line="252" w:lineRule="auto"/>
            </w:pPr>
            <w:r>
              <w:rPr>
                <w:rFonts w:ascii="Calibri" w:hAnsi="Calibri" w:eastAsia="Microsoft YaHei"/>
                <w:color w:val="0B2545"/>
                <w:sz w:val="14"/>
              </w:rPr>
              <w:t>DIII-D；JET relevance；ITER relevance</w:t>
            </w:r>
          </w:p>
        </w:tc>
      </w:tr>
      <w:tr>
        <w:trPr>
          <w:cantSplit/>
        </w:trPr>
        <w:tc>
          <w:tcPr>
            <w:tcW w:type="dxa" w:w="1000"/>
            <w:tcMar>
              <w:top w:w="45" w:type="dxa"/>
              <w:bottom w:w="45" w:type="dxa"/>
              <w:start w:w="100" w:type="dxa"/>
              <w:end w:w="100" w:type="dxa"/>
            </w:tcMar>
          </w:tcPr>
          <w:p>
            <w:pPr>
              <w:keepLines/>
              <w:spacing w:after="0" w:line="252" w:lineRule="auto"/>
            </w:pPr>
            <w:r>
              <w:rPr>
                <w:rFonts w:ascii="Calibri" w:hAnsi="Calibri" w:eastAsia="Microsoft YaHei"/>
                <w:color w:val="0B2545"/>
                <w:sz w:val="14"/>
              </w:rPr>
              <w:t>DG4-016</w:t>
            </w:r>
          </w:p>
        </w:tc>
        <w:tc>
          <w:tcPr>
            <w:tcW w:type="dxa" w:w="900"/>
            <w:tcMar>
              <w:top w:w="45" w:type="dxa"/>
              <w:bottom w:w="45" w:type="dxa"/>
              <w:start w:w="100" w:type="dxa"/>
              <w:end w:w="100" w:type="dxa"/>
            </w:tcMar>
          </w:tcPr>
          <w:p>
            <w:pPr>
              <w:keepLines/>
              <w:spacing w:after="0" w:line="252" w:lineRule="auto"/>
            </w:pPr>
            <w:r>
              <w:rPr>
                <w:rFonts w:ascii="Calibri" w:hAnsi="Calibri" w:eastAsia="Microsoft YaHei"/>
                <w:color w:val="0B2545"/>
                <w:sz w:val="14"/>
              </w:rPr>
              <w:t>DG4</w:t>
            </w:r>
          </w:p>
        </w:tc>
        <w:tc>
          <w:tcPr>
            <w:tcW w:type="dxa" w:w="3760"/>
            <w:tcMar>
              <w:top w:w="45" w:type="dxa"/>
              <w:bottom w:w="45" w:type="dxa"/>
              <w:start w:w="100" w:type="dxa"/>
              <w:end w:w="100" w:type="dxa"/>
            </w:tcMar>
          </w:tcPr>
          <w:p>
            <w:pPr>
              <w:keepLines/>
              <w:spacing w:after="0" w:line="252" w:lineRule="auto"/>
            </w:pPr>
            <w:r>
              <w:rPr>
                <w:rFonts w:ascii="Calibri" w:hAnsi="Calibri" w:eastAsia="Microsoft YaHei"/>
                <w:color w:val="0B2545"/>
                <w:sz w:val="14"/>
              </w:rPr>
              <w:t>测辐射热计：总辐射功率与功率平衡</w:t>
            </w:r>
          </w:p>
        </w:tc>
        <w:tc>
          <w:tcPr>
            <w:tcW w:type="dxa" w:w="800"/>
            <w:tcMar>
              <w:top w:w="45" w:type="dxa"/>
              <w:bottom w:w="45" w:type="dxa"/>
              <w:start w:w="100" w:type="dxa"/>
              <w:end w:w="100" w:type="dxa"/>
            </w:tcMar>
          </w:tcPr>
          <w:p>
            <w:pPr>
              <w:keepLines/>
              <w:spacing w:after="0" w:line="252" w:lineRule="auto"/>
            </w:pPr>
            <w:r>
              <w:rPr>
                <w:rFonts w:ascii="Calibri" w:hAnsi="Calibri" w:eastAsia="Microsoft YaHei"/>
                <w:color w:val="0B2545"/>
                <w:sz w:val="14"/>
              </w:rPr>
              <w:t>E2</w:t>
            </w:r>
          </w:p>
        </w:tc>
        <w:tc>
          <w:tcPr>
            <w:tcW w:type="dxa" w:w="2900"/>
            <w:tcMar>
              <w:top w:w="45" w:type="dxa"/>
              <w:bottom w:w="45" w:type="dxa"/>
              <w:start w:w="100" w:type="dxa"/>
              <w:end w:w="100" w:type="dxa"/>
            </w:tcMar>
          </w:tcPr>
          <w:p>
            <w:pPr>
              <w:keepLines/>
              <w:spacing w:after="0" w:line="252" w:lineRule="auto"/>
            </w:pPr>
            <w:r>
              <w:rPr>
                <w:rFonts w:ascii="Calibri" w:hAnsi="Calibri" w:eastAsia="Microsoft YaHei"/>
                <w:color w:val="0B2545"/>
                <w:sz w:val="14"/>
              </w:rPr>
              <w:t>ITER；JET；ASDEX Upgrade；EAST</w:t>
            </w:r>
          </w:p>
        </w:tc>
      </w:tr>
      <w:tr>
        <w:trPr>
          <w:cantSplit/>
        </w:trPr>
        <w:tc>
          <w:tcPr>
            <w:tcW w:type="dxa" w:w="1000"/>
            <w:tcMar>
              <w:top w:w="45" w:type="dxa"/>
              <w:bottom w:w="45" w:type="dxa"/>
              <w:start w:w="100" w:type="dxa"/>
              <w:end w:w="100" w:type="dxa"/>
            </w:tcMar>
          </w:tcPr>
          <w:p>
            <w:pPr>
              <w:keepLines/>
              <w:spacing w:after="0" w:line="252" w:lineRule="auto"/>
            </w:pPr>
            <w:r>
              <w:rPr>
                <w:rFonts w:ascii="Calibri" w:hAnsi="Calibri" w:eastAsia="Microsoft YaHei"/>
                <w:color w:val="0B2545"/>
                <w:sz w:val="14"/>
              </w:rPr>
              <w:t>DG4-017</w:t>
            </w:r>
          </w:p>
        </w:tc>
        <w:tc>
          <w:tcPr>
            <w:tcW w:type="dxa" w:w="900"/>
            <w:tcMar>
              <w:top w:w="45" w:type="dxa"/>
              <w:bottom w:w="45" w:type="dxa"/>
              <w:start w:w="100" w:type="dxa"/>
              <w:end w:w="100" w:type="dxa"/>
            </w:tcMar>
          </w:tcPr>
          <w:p>
            <w:pPr>
              <w:keepLines/>
              <w:spacing w:after="0" w:line="252" w:lineRule="auto"/>
            </w:pPr>
            <w:r>
              <w:rPr>
                <w:rFonts w:ascii="Calibri" w:hAnsi="Calibri" w:eastAsia="Microsoft YaHei"/>
                <w:color w:val="0B2545"/>
                <w:sz w:val="14"/>
              </w:rPr>
              <w:t>DG4</w:t>
            </w:r>
          </w:p>
        </w:tc>
        <w:tc>
          <w:tcPr>
            <w:tcW w:type="dxa" w:w="3760"/>
            <w:tcMar>
              <w:top w:w="45" w:type="dxa"/>
              <w:bottom w:w="45" w:type="dxa"/>
              <w:start w:w="100" w:type="dxa"/>
              <w:end w:w="100" w:type="dxa"/>
            </w:tcMar>
          </w:tcPr>
          <w:p>
            <w:pPr>
              <w:keepLines/>
              <w:spacing w:after="0" w:line="252" w:lineRule="auto"/>
            </w:pPr>
            <w:r>
              <w:rPr>
                <w:rFonts w:ascii="Calibri" w:hAnsi="Calibri" w:eastAsia="Microsoft YaHei"/>
                <w:color w:val="0B2545"/>
                <w:sz w:val="14"/>
              </w:rPr>
              <w:t>软X射线阵列与快速层析</w:t>
            </w:r>
          </w:p>
        </w:tc>
        <w:tc>
          <w:tcPr>
            <w:tcW w:type="dxa" w:w="800"/>
            <w:tcMar>
              <w:top w:w="45" w:type="dxa"/>
              <w:bottom w:w="45" w:type="dxa"/>
              <w:start w:w="100" w:type="dxa"/>
              <w:end w:w="100" w:type="dxa"/>
            </w:tcMar>
          </w:tcPr>
          <w:p>
            <w:pPr>
              <w:keepLines/>
              <w:spacing w:after="0" w:line="252" w:lineRule="auto"/>
            </w:pPr>
            <w:r>
              <w:rPr>
                <w:rFonts w:ascii="Calibri" w:hAnsi="Calibri" w:eastAsia="Microsoft YaHei"/>
                <w:color w:val="0B2545"/>
                <w:sz w:val="14"/>
              </w:rPr>
              <w:t>E4</w:t>
            </w:r>
          </w:p>
        </w:tc>
        <w:tc>
          <w:tcPr>
            <w:tcW w:type="dxa" w:w="2900"/>
            <w:tcMar>
              <w:top w:w="45" w:type="dxa"/>
              <w:bottom w:w="45" w:type="dxa"/>
              <w:start w:w="100" w:type="dxa"/>
              <w:end w:w="100" w:type="dxa"/>
            </w:tcMar>
          </w:tcPr>
          <w:p>
            <w:pPr>
              <w:keepLines/>
              <w:spacing w:after="0" w:line="252" w:lineRule="auto"/>
            </w:pPr>
            <w:r>
              <w:rPr>
                <w:rFonts w:ascii="Calibri" w:hAnsi="Calibri" w:eastAsia="Microsoft YaHei"/>
                <w:color w:val="0B2545"/>
                <w:sz w:val="14"/>
              </w:rPr>
              <w:t>DIII-D；ASDEX Upgrade；SPARC；EAST</w:t>
            </w:r>
          </w:p>
        </w:tc>
      </w:tr>
      <w:tr>
        <w:trPr>
          <w:cantSplit/>
        </w:trPr>
        <w:tc>
          <w:tcPr>
            <w:tcW w:type="dxa" w:w="1000"/>
            <w:tcMar>
              <w:top w:w="45" w:type="dxa"/>
              <w:bottom w:w="45" w:type="dxa"/>
              <w:start w:w="100" w:type="dxa"/>
              <w:end w:w="100" w:type="dxa"/>
            </w:tcMar>
          </w:tcPr>
          <w:p>
            <w:pPr>
              <w:keepLines/>
              <w:spacing w:after="0" w:line="252" w:lineRule="auto"/>
            </w:pPr>
            <w:r>
              <w:rPr>
                <w:rFonts w:ascii="Calibri" w:hAnsi="Calibri" w:eastAsia="Microsoft YaHei"/>
                <w:color w:val="0B2545"/>
                <w:sz w:val="14"/>
              </w:rPr>
              <w:t>DG4-018</w:t>
            </w:r>
          </w:p>
        </w:tc>
        <w:tc>
          <w:tcPr>
            <w:tcW w:type="dxa" w:w="900"/>
            <w:tcMar>
              <w:top w:w="45" w:type="dxa"/>
              <w:bottom w:w="45" w:type="dxa"/>
              <w:start w:w="100" w:type="dxa"/>
              <w:end w:w="100" w:type="dxa"/>
            </w:tcMar>
          </w:tcPr>
          <w:p>
            <w:pPr>
              <w:keepLines/>
              <w:spacing w:after="0" w:line="252" w:lineRule="auto"/>
            </w:pPr>
            <w:r>
              <w:rPr>
                <w:rFonts w:ascii="Calibri" w:hAnsi="Calibri" w:eastAsia="Microsoft YaHei"/>
                <w:color w:val="0B2545"/>
                <w:sz w:val="14"/>
              </w:rPr>
              <w:t>DG4</w:t>
            </w:r>
          </w:p>
        </w:tc>
        <w:tc>
          <w:tcPr>
            <w:tcW w:type="dxa" w:w="3760"/>
            <w:tcMar>
              <w:top w:w="45" w:type="dxa"/>
              <w:bottom w:w="45" w:type="dxa"/>
              <w:start w:w="100" w:type="dxa"/>
              <w:end w:w="100" w:type="dxa"/>
            </w:tcMar>
          </w:tcPr>
          <w:p>
            <w:pPr>
              <w:keepLines/>
              <w:spacing w:after="0" w:line="252" w:lineRule="auto"/>
            </w:pPr>
            <w:r>
              <w:rPr>
                <w:rFonts w:ascii="Calibri" w:hAnsi="Calibri" w:eastAsia="Microsoft YaHei"/>
                <w:color w:val="0B2545"/>
                <w:sz w:val="14"/>
              </w:rPr>
              <w:t>真空紫外杂质谱：电荷态与杂质输运</w:t>
            </w:r>
          </w:p>
        </w:tc>
        <w:tc>
          <w:tcPr>
            <w:tcW w:type="dxa" w:w="800"/>
            <w:tcMar>
              <w:top w:w="45" w:type="dxa"/>
              <w:bottom w:w="45" w:type="dxa"/>
              <w:start w:w="100" w:type="dxa"/>
              <w:end w:w="100" w:type="dxa"/>
            </w:tcMar>
          </w:tcPr>
          <w:p>
            <w:pPr>
              <w:keepLines/>
              <w:spacing w:after="0" w:line="252" w:lineRule="auto"/>
            </w:pPr>
            <w:r>
              <w:rPr>
                <w:rFonts w:ascii="Calibri" w:hAnsi="Calibri" w:eastAsia="Microsoft YaHei"/>
                <w:color w:val="0B2545"/>
                <w:sz w:val="14"/>
              </w:rPr>
              <w:t>E3</w:t>
            </w:r>
          </w:p>
        </w:tc>
        <w:tc>
          <w:tcPr>
            <w:tcW w:type="dxa" w:w="2900"/>
            <w:tcMar>
              <w:top w:w="45" w:type="dxa"/>
              <w:bottom w:w="45" w:type="dxa"/>
              <w:start w:w="100" w:type="dxa"/>
              <w:end w:w="100" w:type="dxa"/>
            </w:tcMar>
          </w:tcPr>
          <w:p>
            <w:pPr>
              <w:keepLines/>
              <w:spacing w:after="0" w:line="252" w:lineRule="auto"/>
            </w:pPr>
            <w:r>
              <w:rPr>
                <w:rFonts w:ascii="Calibri" w:hAnsi="Calibri" w:eastAsia="Microsoft YaHei"/>
                <w:color w:val="0B2545"/>
                <w:sz w:val="14"/>
              </w:rPr>
              <w:t>KSTAR；ITER；EAST；JET</w:t>
            </w:r>
          </w:p>
        </w:tc>
      </w:tr>
      <w:tr>
        <w:trPr>
          <w:cantSplit/>
        </w:trPr>
        <w:tc>
          <w:tcPr>
            <w:tcW w:type="dxa" w:w="1000"/>
            <w:tcMar>
              <w:top w:w="45" w:type="dxa"/>
              <w:bottom w:w="45" w:type="dxa"/>
              <w:start w:w="100" w:type="dxa"/>
              <w:end w:w="100" w:type="dxa"/>
            </w:tcMar>
          </w:tcPr>
          <w:p>
            <w:pPr>
              <w:keepLines/>
              <w:spacing w:after="0" w:line="252" w:lineRule="auto"/>
            </w:pPr>
            <w:r>
              <w:rPr>
                <w:rFonts w:ascii="Calibri" w:hAnsi="Calibri" w:eastAsia="Microsoft YaHei"/>
                <w:color w:val="0B2545"/>
                <w:sz w:val="14"/>
              </w:rPr>
              <w:t>DG4-019</w:t>
            </w:r>
          </w:p>
        </w:tc>
        <w:tc>
          <w:tcPr>
            <w:tcW w:type="dxa" w:w="900"/>
            <w:tcMar>
              <w:top w:w="45" w:type="dxa"/>
              <w:bottom w:w="45" w:type="dxa"/>
              <w:start w:w="100" w:type="dxa"/>
              <w:end w:w="100" w:type="dxa"/>
            </w:tcMar>
          </w:tcPr>
          <w:p>
            <w:pPr>
              <w:keepLines/>
              <w:spacing w:after="0" w:line="252" w:lineRule="auto"/>
            </w:pPr>
            <w:r>
              <w:rPr>
                <w:rFonts w:ascii="Calibri" w:hAnsi="Calibri" w:eastAsia="Microsoft YaHei"/>
                <w:color w:val="0B2545"/>
                <w:sz w:val="14"/>
              </w:rPr>
              <w:t>DG4</w:t>
            </w:r>
          </w:p>
        </w:tc>
        <w:tc>
          <w:tcPr>
            <w:tcW w:type="dxa" w:w="3760"/>
            <w:tcMar>
              <w:top w:w="45" w:type="dxa"/>
              <w:bottom w:w="45" w:type="dxa"/>
              <w:start w:w="100" w:type="dxa"/>
              <w:end w:w="100" w:type="dxa"/>
            </w:tcMar>
          </w:tcPr>
          <w:p>
            <w:pPr>
              <w:keepLines/>
              <w:spacing w:after="0" w:line="252" w:lineRule="auto"/>
            </w:pPr>
            <w:r>
              <w:rPr>
                <w:rFonts w:ascii="Calibri" w:hAnsi="Calibri" w:eastAsia="Microsoft YaHei"/>
                <w:color w:val="0B2545"/>
                <w:sz w:val="14"/>
              </w:rPr>
              <w:t>可见光杂质/燃料谱：Zeff、流入与回收</w:t>
            </w:r>
          </w:p>
        </w:tc>
        <w:tc>
          <w:tcPr>
            <w:tcW w:type="dxa" w:w="800"/>
            <w:tcMar>
              <w:top w:w="45" w:type="dxa"/>
              <w:bottom w:w="45" w:type="dxa"/>
              <w:start w:w="100" w:type="dxa"/>
              <w:end w:w="100" w:type="dxa"/>
            </w:tcMar>
          </w:tcPr>
          <w:p>
            <w:pPr>
              <w:keepLines/>
              <w:spacing w:after="0" w:line="252" w:lineRule="auto"/>
            </w:pPr>
            <w:r>
              <w:rPr>
                <w:rFonts w:ascii="Calibri" w:hAnsi="Calibri" w:eastAsia="Microsoft YaHei"/>
                <w:color w:val="0B2545"/>
                <w:sz w:val="14"/>
              </w:rPr>
              <w:t>E4</w:t>
            </w:r>
          </w:p>
        </w:tc>
        <w:tc>
          <w:tcPr>
            <w:tcW w:type="dxa" w:w="2900"/>
            <w:tcMar>
              <w:top w:w="45" w:type="dxa"/>
              <w:bottom w:w="45" w:type="dxa"/>
              <w:start w:w="100" w:type="dxa"/>
              <w:end w:w="100" w:type="dxa"/>
            </w:tcMar>
          </w:tcPr>
          <w:p>
            <w:pPr>
              <w:keepLines/>
              <w:spacing w:after="0" w:line="252" w:lineRule="auto"/>
            </w:pPr>
            <w:r>
              <w:rPr>
                <w:rFonts w:ascii="Calibri" w:hAnsi="Calibri" w:eastAsia="Microsoft YaHei"/>
                <w:color w:val="0B2545"/>
                <w:sz w:val="14"/>
              </w:rPr>
              <w:t>JET；EAST；DIII-D；ITER</w:t>
            </w:r>
          </w:p>
        </w:tc>
      </w:tr>
      <w:tr>
        <w:trPr>
          <w:cantSplit/>
        </w:trPr>
        <w:tc>
          <w:tcPr>
            <w:tcW w:type="dxa" w:w="1000"/>
            <w:tcMar>
              <w:top w:w="45" w:type="dxa"/>
              <w:bottom w:w="45" w:type="dxa"/>
              <w:start w:w="100" w:type="dxa"/>
              <w:end w:w="100" w:type="dxa"/>
            </w:tcMar>
          </w:tcPr>
          <w:p>
            <w:pPr>
              <w:keepLines/>
              <w:spacing w:after="0" w:line="252" w:lineRule="auto"/>
            </w:pPr>
            <w:r>
              <w:rPr>
                <w:rFonts w:ascii="Calibri" w:hAnsi="Calibri" w:eastAsia="Microsoft YaHei"/>
                <w:color w:val="0B2545"/>
                <w:sz w:val="14"/>
              </w:rPr>
              <w:t>DG5-022</w:t>
            </w:r>
          </w:p>
        </w:tc>
        <w:tc>
          <w:tcPr>
            <w:tcW w:type="dxa" w:w="900"/>
            <w:tcMar>
              <w:top w:w="45" w:type="dxa"/>
              <w:bottom w:w="45" w:type="dxa"/>
              <w:start w:w="100" w:type="dxa"/>
              <w:end w:w="100" w:type="dxa"/>
            </w:tcMar>
          </w:tcPr>
          <w:p>
            <w:pPr>
              <w:keepLines/>
              <w:spacing w:after="0" w:line="252" w:lineRule="auto"/>
            </w:pPr>
            <w:r>
              <w:rPr>
                <w:rFonts w:ascii="Calibri" w:hAnsi="Calibri" w:eastAsia="Microsoft YaHei"/>
                <w:color w:val="0B2545"/>
                <w:sz w:val="14"/>
              </w:rPr>
              <w:t>DG5</w:t>
            </w:r>
          </w:p>
        </w:tc>
        <w:tc>
          <w:tcPr>
            <w:tcW w:type="dxa" w:w="3760"/>
            <w:tcMar>
              <w:top w:w="45" w:type="dxa"/>
              <w:bottom w:w="45" w:type="dxa"/>
              <w:start w:w="100" w:type="dxa"/>
              <w:end w:w="100" w:type="dxa"/>
            </w:tcMar>
          </w:tcPr>
          <w:p>
            <w:pPr>
              <w:keepLines/>
              <w:spacing w:after="0" w:line="252" w:lineRule="auto"/>
            </w:pPr>
            <w:r>
              <w:rPr>
                <w:rFonts w:ascii="Calibri" w:hAnsi="Calibri" w:eastAsia="Microsoft YaHei"/>
                <w:color w:val="0B2545"/>
                <w:sz w:val="14"/>
              </w:rPr>
              <w:t>径向中子相机：聚变反应率剖面</w:t>
            </w:r>
          </w:p>
        </w:tc>
        <w:tc>
          <w:tcPr>
            <w:tcW w:type="dxa" w:w="800"/>
            <w:tcMar>
              <w:top w:w="45" w:type="dxa"/>
              <w:bottom w:w="45" w:type="dxa"/>
              <w:start w:w="100" w:type="dxa"/>
              <w:end w:w="100" w:type="dxa"/>
            </w:tcMar>
          </w:tcPr>
          <w:p>
            <w:pPr>
              <w:keepLines/>
              <w:spacing w:after="0" w:line="252" w:lineRule="auto"/>
            </w:pPr>
            <w:r>
              <w:rPr>
                <w:rFonts w:ascii="Calibri" w:hAnsi="Calibri" w:eastAsia="Microsoft YaHei"/>
                <w:color w:val="0B2545"/>
                <w:sz w:val="14"/>
              </w:rPr>
              <w:t>E3</w:t>
            </w:r>
          </w:p>
        </w:tc>
        <w:tc>
          <w:tcPr>
            <w:tcW w:type="dxa" w:w="2900"/>
            <w:tcMar>
              <w:top w:w="45" w:type="dxa"/>
              <w:bottom w:w="45" w:type="dxa"/>
              <w:start w:w="100" w:type="dxa"/>
              <w:end w:w="100" w:type="dxa"/>
            </w:tcMar>
          </w:tcPr>
          <w:p>
            <w:pPr>
              <w:keepLines/>
              <w:spacing w:after="0" w:line="252" w:lineRule="auto"/>
            </w:pPr>
            <w:r>
              <w:rPr>
                <w:rFonts w:ascii="Calibri" w:hAnsi="Calibri" w:eastAsia="Microsoft YaHei"/>
                <w:color w:val="0B2545"/>
                <w:sz w:val="14"/>
              </w:rPr>
              <w:t>ITER；JET；DIII-D</w:t>
            </w:r>
          </w:p>
        </w:tc>
      </w:tr>
      <w:tr>
        <w:trPr>
          <w:cantSplit/>
        </w:trPr>
        <w:tc>
          <w:tcPr>
            <w:tcW w:type="dxa" w:w="1000"/>
            <w:tcMar>
              <w:top w:w="45" w:type="dxa"/>
              <w:bottom w:w="45" w:type="dxa"/>
              <w:start w:w="100" w:type="dxa"/>
              <w:end w:w="100" w:type="dxa"/>
            </w:tcMar>
          </w:tcPr>
          <w:p>
            <w:pPr>
              <w:keepLines/>
              <w:spacing w:after="0" w:line="252" w:lineRule="auto"/>
            </w:pPr>
            <w:r>
              <w:rPr>
                <w:rFonts w:ascii="Calibri" w:hAnsi="Calibri" w:eastAsia="Microsoft YaHei"/>
                <w:color w:val="0B2545"/>
                <w:sz w:val="14"/>
              </w:rPr>
              <w:t>DG5-026</w:t>
            </w:r>
          </w:p>
        </w:tc>
        <w:tc>
          <w:tcPr>
            <w:tcW w:type="dxa" w:w="900"/>
            <w:tcMar>
              <w:top w:w="45" w:type="dxa"/>
              <w:bottom w:w="45" w:type="dxa"/>
              <w:start w:w="100" w:type="dxa"/>
              <w:end w:w="100" w:type="dxa"/>
            </w:tcMar>
          </w:tcPr>
          <w:p>
            <w:pPr>
              <w:keepLines/>
              <w:spacing w:after="0" w:line="252" w:lineRule="auto"/>
            </w:pPr>
            <w:r>
              <w:rPr>
                <w:rFonts w:ascii="Calibri" w:hAnsi="Calibri" w:eastAsia="Microsoft YaHei"/>
                <w:color w:val="0B2545"/>
                <w:sz w:val="14"/>
              </w:rPr>
              <w:t>DG5</w:t>
            </w:r>
          </w:p>
        </w:tc>
        <w:tc>
          <w:tcPr>
            <w:tcW w:type="dxa" w:w="3760"/>
            <w:tcMar>
              <w:top w:w="45" w:type="dxa"/>
              <w:bottom w:w="45" w:type="dxa"/>
              <w:start w:w="100" w:type="dxa"/>
              <w:end w:w="100" w:type="dxa"/>
            </w:tcMar>
          </w:tcPr>
          <w:p>
            <w:pPr>
              <w:keepLines/>
              <w:spacing w:after="0" w:line="252" w:lineRule="auto"/>
            </w:pPr>
            <w:r>
              <w:rPr>
                <w:rFonts w:ascii="Calibri" w:hAnsi="Calibri" w:eastAsia="Microsoft YaHei"/>
                <w:color w:val="0B2545"/>
                <w:sz w:val="14"/>
              </w:rPr>
              <w:t>FIDA与成像FIDA：快离子相空间</w:t>
            </w:r>
          </w:p>
        </w:tc>
        <w:tc>
          <w:tcPr>
            <w:tcW w:type="dxa" w:w="800"/>
            <w:tcMar>
              <w:top w:w="45" w:type="dxa"/>
              <w:bottom w:w="45" w:type="dxa"/>
              <w:start w:w="100" w:type="dxa"/>
              <w:end w:w="100" w:type="dxa"/>
            </w:tcMar>
          </w:tcPr>
          <w:p>
            <w:pPr>
              <w:keepLines/>
              <w:spacing w:after="0" w:line="252" w:lineRule="auto"/>
            </w:pPr>
            <w:r>
              <w:rPr>
                <w:rFonts w:ascii="Calibri" w:hAnsi="Calibri" w:eastAsia="Microsoft YaHei"/>
                <w:color w:val="0B2545"/>
                <w:sz w:val="14"/>
              </w:rPr>
              <w:t>E4</w:t>
            </w:r>
          </w:p>
        </w:tc>
        <w:tc>
          <w:tcPr>
            <w:tcW w:type="dxa" w:w="2900"/>
            <w:tcMar>
              <w:top w:w="45" w:type="dxa"/>
              <w:bottom w:w="45" w:type="dxa"/>
              <w:start w:w="100" w:type="dxa"/>
              <w:end w:w="100" w:type="dxa"/>
            </w:tcMar>
          </w:tcPr>
          <w:p>
            <w:pPr>
              <w:keepLines/>
              <w:spacing w:after="0" w:line="252" w:lineRule="auto"/>
            </w:pPr>
            <w:r>
              <w:rPr>
                <w:rFonts w:ascii="Calibri" w:hAnsi="Calibri" w:eastAsia="Microsoft YaHei"/>
                <w:color w:val="0B2545"/>
                <w:sz w:val="14"/>
              </w:rPr>
              <w:t>DIII-D；MAST；ASDEX Upgrade；LHD</w:t>
            </w:r>
          </w:p>
        </w:tc>
      </w:tr>
      <w:tr>
        <w:trPr>
          <w:cantSplit/>
        </w:trPr>
        <w:tc>
          <w:tcPr>
            <w:tcW w:type="dxa" w:w="1000"/>
            <w:tcMar>
              <w:top w:w="45" w:type="dxa"/>
              <w:bottom w:w="45" w:type="dxa"/>
              <w:start w:w="100" w:type="dxa"/>
              <w:end w:w="100" w:type="dxa"/>
            </w:tcMar>
          </w:tcPr>
          <w:p>
            <w:pPr>
              <w:keepLines/>
              <w:spacing w:after="0" w:line="252" w:lineRule="auto"/>
            </w:pPr>
            <w:r>
              <w:rPr>
                <w:rFonts w:ascii="Calibri" w:hAnsi="Calibri" w:eastAsia="Microsoft YaHei"/>
                <w:color w:val="0B2545"/>
                <w:sz w:val="14"/>
              </w:rPr>
              <w:t>DG6-030</w:t>
            </w:r>
          </w:p>
        </w:tc>
        <w:tc>
          <w:tcPr>
            <w:tcW w:type="dxa" w:w="900"/>
            <w:tcMar>
              <w:top w:w="45" w:type="dxa"/>
              <w:bottom w:w="45" w:type="dxa"/>
              <w:start w:w="100" w:type="dxa"/>
              <w:end w:w="100" w:type="dxa"/>
            </w:tcMar>
          </w:tcPr>
          <w:p>
            <w:pPr>
              <w:keepLines/>
              <w:spacing w:after="0" w:line="252" w:lineRule="auto"/>
            </w:pPr>
            <w:r>
              <w:rPr>
                <w:rFonts w:ascii="Calibri" w:hAnsi="Calibri" w:eastAsia="Microsoft YaHei"/>
                <w:color w:val="0B2545"/>
                <w:sz w:val="14"/>
              </w:rPr>
              <w:t>DG6</w:t>
            </w:r>
          </w:p>
        </w:tc>
        <w:tc>
          <w:tcPr>
            <w:tcW w:type="dxa" w:w="3760"/>
            <w:tcMar>
              <w:top w:w="45" w:type="dxa"/>
              <w:bottom w:w="45" w:type="dxa"/>
              <w:start w:w="100" w:type="dxa"/>
              <w:end w:w="100" w:type="dxa"/>
            </w:tcMar>
          </w:tcPr>
          <w:p>
            <w:pPr>
              <w:keepLines/>
              <w:spacing w:after="0" w:line="252" w:lineRule="auto"/>
            </w:pPr>
            <w:r>
              <w:rPr>
                <w:rFonts w:ascii="Calibri" w:hAnsi="Calibri" w:eastAsia="Microsoft YaHei"/>
                <w:color w:val="0B2545"/>
                <w:sz w:val="14"/>
              </w:rPr>
              <w:t>二维电子回旋辐射成像：磁岛与湍流</w:t>
            </w:r>
          </w:p>
        </w:tc>
        <w:tc>
          <w:tcPr>
            <w:tcW w:type="dxa" w:w="800"/>
            <w:tcMar>
              <w:top w:w="45" w:type="dxa"/>
              <w:bottom w:w="45" w:type="dxa"/>
              <w:start w:w="100" w:type="dxa"/>
              <w:end w:w="100" w:type="dxa"/>
            </w:tcMar>
          </w:tcPr>
          <w:p>
            <w:pPr>
              <w:keepLines/>
              <w:spacing w:after="0" w:line="252" w:lineRule="auto"/>
            </w:pPr>
            <w:r>
              <w:rPr>
                <w:rFonts w:ascii="Calibri" w:hAnsi="Calibri" w:eastAsia="Microsoft YaHei"/>
                <w:color w:val="0B2545"/>
                <w:sz w:val="14"/>
              </w:rPr>
              <w:t>E4</w:t>
            </w:r>
          </w:p>
        </w:tc>
        <w:tc>
          <w:tcPr>
            <w:tcW w:type="dxa" w:w="2900"/>
            <w:tcMar>
              <w:top w:w="45" w:type="dxa"/>
              <w:bottom w:w="45" w:type="dxa"/>
              <w:start w:w="100" w:type="dxa"/>
              <w:end w:w="100" w:type="dxa"/>
            </w:tcMar>
          </w:tcPr>
          <w:p>
            <w:pPr>
              <w:keepLines/>
              <w:spacing w:after="0" w:line="252" w:lineRule="auto"/>
            </w:pPr>
            <w:r>
              <w:rPr>
                <w:rFonts w:ascii="Calibri" w:hAnsi="Calibri" w:eastAsia="Microsoft YaHei"/>
                <w:color w:val="0B2545"/>
                <w:sz w:val="14"/>
              </w:rPr>
              <w:t>KSTAR；DIII-D；EAST</w:t>
            </w:r>
          </w:p>
        </w:tc>
      </w:tr>
      <w:tr>
        <w:trPr>
          <w:cantSplit/>
        </w:trPr>
        <w:tc>
          <w:tcPr>
            <w:tcW w:type="dxa" w:w="1000"/>
            <w:tcMar>
              <w:top w:w="45" w:type="dxa"/>
              <w:bottom w:w="45" w:type="dxa"/>
              <w:start w:w="100" w:type="dxa"/>
              <w:end w:w="100" w:type="dxa"/>
            </w:tcMar>
          </w:tcPr>
          <w:p>
            <w:pPr>
              <w:keepLines/>
              <w:spacing w:after="0" w:line="252" w:lineRule="auto"/>
            </w:pPr>
            <w:r>
              <w:rPr>
                <w:rFonts w:ascii="Calibri" w:hAnsi="Calibri" w:eastAsia="Microsoft YaHei"/>
                <w:color w:val="0B2545"/>
                <w:sz w:val="14"/>
              </w:rPr>
              <w:t>DG6-031</w:t>
            </w:r>
          </w:p>
        </w:tc>
        <w:tc>
          <w:tcPr>
            <w:tcW w:type="dxa" w:w="900"/>
            <w:tcMar>
              <w:top w:w="45" w:type="dxa"/>
              <w:bottom w:w="45" w:type="dxa"/>
              <w:start w:w="100" w:type="dxa"/>
              <w:end w:w="100" w:type="dxa"/>
            </w:tcMar>
          </w:tcPr>
          <w:p>
            <w:pPr>
              <w:keepLines/>
              <w:spacing w:after="0" w:line="252" w:lineRule="auto"/>
            </w:pPr>
            <w:r>
              <w:rPr>
                <w:rFonts w:ascii="Calibri" w:hAnsi="Calibri" w:eastAsia="Microsoft YaHei"/>
                <w:color w:val="0B2545"/>
                <w:sz w:val="14"/>
              </w:rPr>
              <w:t>DG6</w:t>
            </w:r>
          </w:p>
        </w:tc>
        <w:tc>
          <w:tcPr>
            <w:tcW w:type="dxa" w:w="3760"/>
            <w:tcMar>
              <w:top w:w="45" w:type="dxa"/>
              <w:bottom w:w="45" w:type="dxa"/>
              <w:start w:w="100" w:type="dxa"/>
              <w:end w:w="100" w:type="dxa"/>
            </w:tcMar>
          </w:tcPr>
          <w:p>
            <w:pPr>
              <w:keepLines/>
              <w:spacing w:after="0" w:line="252" w:lineRule="auto"/>
            </w:pPr>
            <w:r>
              <w:rPr>
                <w:rFonts w:ascii="Calibri" w:hAnsi="Calibri" w:eastAsia="Microsoft YaHei"/>
                <w:color w:val="0B2545"/>
                <w:sz w:val="14"/>
              </w:rPr>
              <w:t>束发射光谱：密度湍流与径向相关</w:t>
            </w:r>
          </w:p>
        </w:tc>
        <w:tc>
          <w:tcPr>
            <w:tcW w:type="dxa" w:w="800"/>
            <w:tcMar>
              <w:top w:w="45" w:type="dxa"/>
              <w:bottom w:w="45" w:type="dxa"/>
              <w:start w:w="100" w:type="dxa"/>
              <w:end w:w="100" w:type="dxa"/>
            </w:tcMar>
          </w:tcPr>
          <w:p>
            <w:pPr>
              <w:keepLines/>
              <w:spacing w:after="0" w:line="252" w:lineRule="auto"/>
            </w:pPr>
            <w:r>
              <w:rPr>
                <w:rFonts w:ascii="Calibri" w:hAnsi="Calibri" w:eastAsia="Microsoft YaHei"/>
                <w:color w:val="0B2545"/>
                <w:sz w:val="14"/>
              </w:rPr>
              <w:t>E4</w:t>
            </w:r>
          </w:p>
        </w:tc>
        <w:tc>
          <w:tcPr>
            <w:tcW w:type="dxa" w:w="2900"/>
            <w:tcMar>
              <w:top w:w="45" w:type="dxa"/>
              <w:bottom w:w="45" w:type="dxa"/>
              <w:start w:w="100" w:type="dxa"/>
              <w:end w:w="100" w:type="dxa"/>
            </w:tcMar>
          </w:tcPr>
          <w:p>
            <w:pPr>
              <w:keepLines/>
              <w:spacing w:after="0" w:line="252" w:lineRule="auto"/>
            </w:pPr>
            <w:r>
              <w:rPr>
                <w:rFonts w:ascii="Calibri" w:hAnsi="Calibri" w:eastAsia="Microsoft YaHei"/>
                <w:color w:val="0B2545"/>
                <w:sz w:val="14"/>
              </w:rPr>
              <w:t>DIII-D；MAST；NSTX</w:t>
            </w:r>
          </w:p>
        </w:tc>
      </w:tr>
      <w:tr>
        <w:trPr>
          <w:cantSplit/>
        </w:trPr>
        <w:tc>
          <w:tcPr>
            <w:tcW w:type="dxa" w:w="1000"/>
            <w:tcMar>
              <w:top w:w="45" w:type="dxa"/>
              <w:bottom w:w="45" w:type="dxa"/>
              <w:start w:w="100" w:type="dxa"/>
              <w:end w:w="100" w:type="dxa"/>
            </w:tcMar>
          </w:tcPr>
          <w:p>
            <w:pPr>
              <w:keepLines/>
              <w:spacing w:after="0" w:line="252" w:lineRule="auto"/>
            </w:pPr>
            <w:r>
              <w:rPr>
                <w:rFonts w:ascii="Calibri" w:hAnsi="Calibri" w:eastAsia="Microsoft YaHei"/>
                <w:color w:val="0B2545"/>
                <w:sz w:val="14"/>
              </w:rPr>
              <w:t>DG6-034</w:t>
            </w:r>
          </w:p>
        </w:tc>
        <w:tc>
          <w:tcPr>
            <w:tcW w:type="dxa" w:w="900"/>
            <w:tcMar>
              <w:top w:w="45" w:type="dxa"/>
              <w:bottom w:w="45" w:type="dxa"/>
              <w:start w:w="100" w:type="dxa"/>
              <w:end w:w="100" w:type="dxa"/>
            </w:tcMar>
          </w:tcPr>
          <w:p>
            <w:pPr>
              <w:keepLines/>
              <w:spacing w:after="0" w:line="252" w:lineRule="auto"/>
            </w:pPr>
            <w:r>
              <w:rPr>
                <w:rFonts w:ascii="Calibri" w:hAnsi="Calibri" w:eastAsia="Microsoft YaHei"/>
                <w:color w:val="0B2545"/>
                <w:sz w:val="14"/>
              </w:rPr>
              <w:t>DG6</w:t>
            </w:r>
          </w:p>
        </w:tc>
        <w:tc>
          <w:tcPr>
            <w:tcW w:type="dxa" w:w="3760"/>
            <w:tcMar>
              <w:top w:w="45" w:type="dxa"/>
              <w:bottom w:w="45" w:type="dxa"/>
              <w:start w:w="100" w:type="dxa"/>
              <w:end w:w="100" w:type="dxa"/>
            </w:tcMar>
          </w:tcPr>
          <w:p>
            <w:pPr>
              <w:keepLines/>
              <w:spacing w:after="0" w:line="252" w:lineRule="auto"/>
            </w:pPr>
            <w:r>
              <w:rPr>
                <w:rFonts w:ascii="Calibri" w:hAnsi="Calibri" w:eastAsia="Microsoft YaHei"/>
                <w:color w:val="0B2545"/>
                <w:sz w:val="14"/>
              </w:rPr>
              <w:t>重离子束探针：电势、密度与涨落</w:t>
            </w:r>
          </w:p>
        </w:tc>
        <w:tc>
          <w:tcPr>
            <w:tcW w:type="dxa" w:w="800"/>
            <w:tcMar>
              <w:top w:w="45" w:type="dxa"/>
              <w:bottom w:w="45" w:type="dxa"/>
              <w:start w:w="100" w:type="dxa"/>
              <w:end w:w="100" w:type="dxa"/>
            </w:tcMar>
          </w:tcPr>
          <w:p>
            <w:pPr>
              <w:keepLines/>
              <w:spacing w:after="0" w:line="252" w:lineRule="auto"/>
            </w:pPr>
            <w:r>
              <w:rPr>
                <w:rFonts w:ascii="Calibri" w:hAnsi="Calibri" w:eastAsia="Microsoft YaHei"/>
                <w:color w:val="0B2545"/>
                <w:sz w:val="14"/>
              </w:rPr>
              <w:t>E3</w:t>
            </w:r>
          </w:p>
        </w:tc>
        <w:tc>
          <w:tcPr>
            <w:tcW w:type="dxa" w:w="2900"/>
            <w:tcMar>
              <w:top w:w="45" w:type="dxa"/>
              <w:bottom w:w="45" w:type="dxa"/>
              <w:start w:w="100" w:type="dxa"/>
              <w:end w:w="100" w:type="dxa"/>
            </w:tcMar>
          </w:tcPr>
          <w:p>
            <w:pPr>
              <w:keepLines/>
              <w:spacing w:after="0" w:line="252" w:lineRule="auto"/>
            </w:pPr>
            <w:r>
              <w:rPr>
                <w:rFonts w:ascii="Calibri" w:hAnsi="Calibri" w:eastAsia="Microsoft YaHei"/>
                <w:color w:val="0B2545"/>
                <w:sz w:val="14"/>
              </w:rPr>
              <w:t>QUEST；JIPP T-IIU；T-10；TJ-II</w:t>
            </w:r>
          </w:p>
        </w:tc>
      </w:tr>
      <w:tr>
        <w:trPr>
          <w:cantSplit/>
        </w:trPr>
        <w:tc>
          <w:tcPr>
            <w:tcW w:type="dxa" w:w="1000"/>
            <w:tcMar>
              <w:top w:w="45" w:type="dxa"/>
              <w:bottom w:w="45" w:type="dxa"/>
              <w:start w:w="100" w:type="dxa"/>
              <w:end w:w="100" w:type="dxa"/>
            </w:tcMar>
          </w:tcPr>
          <w:p>
            <w:pPr>
              <w:keepLines/>
              <w:spacing w:after="0" w:line="252" w:lineRule="auto"/>
            </w:pPr>
            <w:r>
              <w:rPr>
                <w:rFonts w:ascii="Calibri" w:hAnsi="Calibri" w:eastAsia="Microsoft YaHei"/>
                <w:color w:val="0B2545"/>
                <w:sz w:val="14"/>
              </w:rPr>
              <w:t>DG6-035</w:t>
            </w:r>
          </w:p>
        </w:tc>
        <w:tc>
          <w:tcPr>
            <w:tcW w:type="dxa" w:w="900"/>
            <w:tcMar>
              <w:top w:w="45" w:type="dxa"/>
              <w:bottom w:w="45" w:type="dxa"/>
              <w:start w:w="100" w:type="dxa"/>
              <w:end w:w="100" w:type="dxa"/>
            </w:tcMar>
          </w:tcPr>
          <w:p>
            <w:pPr>
              <w:keepLines/>
              <w:spacing w:after="0" w:line="252" w:lineRule="auto"/>
            </w:pPr>
            <w:r>
              <w:rPr>
                <w:rFonts w:ascii="Calibri" w:hAnsi="Calibri" w:eastAsia="Microsoft YaHei"/>
                <w:color w:val="0B2545"/>
                <w:sz w:val="14"/>
              </w:rPr>
              <w:t>DG6</w:t>
            </w:r>
          </w:p>
        </w:tc>
        <w:tc>
          <w:tcPr>
            <w:tcW w:type="dxa" w:w="3760"/>
            <w:tcMar>
              <w:top w:w="45" w:type="dxa"/>
              <w:bottom w:w="45" w:type="dxa"/>
              <w:start w:w="100" w:type="dxa"/>
              <w:end w:w="100" w:type="dxa"/>
            </w:tcMar>
          </w:tcPr>
          <w:p>
            <w:pPr>
              <w:keepLines/>
              <w:spacing w:after="0" w:line="252" w:lineRule="auto"/>
            </w:pPr>
            <w:r>
              <w:rPr>
                <w:rFonts w:ascii="Calibri" w:hAnsi="Calibri" w:eastAsia="Microsoft YaHei"/>
                <w:color w:val="0B2545"/>
                <w:sz w:val="14"/>
              </w:rPr>
              <w:t>气体喷注成像：边缘丝状体与湍流</w:t>
            </w:r>
          </w:p>
        </w:tc>
        <w:tc>
          <w:tcPr>
            <w:tcW w:type="dxa" w:w="800"/>
            <w:tcMar>
              <w:top w:w="45" w:type="dxa"/>
              <w:bottom w:w="45" w:type="dxa"/>
              <w:start w:w="100" w:type="dxa"/>
              <w:end w:w="100" w:type="dxa"/>
            </w:tcMar>
          </w:tcPr>
          <w:p>
            <w:pPr>
              <w:keepLines/>
              <w:spacing w:after="0" w:line="252" w:lineRule="auto"/>
            </w:pPr>
            <w:r>
              <w:rPr>
                <w:rFonts w:ascii="Calibri" w:hAnsi="Calibri" w:eastAsia="Microsoft YaHei"/>
                <w:color w:val="0B2545"/>
                <w:sz w:val="14"/>
              </w:rPr>
              <w:t>E4</w:t>
            </w:r>
          </w:p>
        </w:tc>
        <w:tc>
          <w:tcPr>
            <w:tcW w:type="dxa" w:w="2900"/>
            <w:tcMar>
              <w:top w:w="45" w:type="dxa"/>
              <w:bottom w:w="45" w:type="dxa"/>
              <w:start w:w="100" w:type="dxa"/>
              <w:end w:w="100" w:type="dxa"/>
            </w:tcMar>
          </w:tcPr>
          <w:p>
            <w:pPr>
              <w:keepLines/>
              <w:spacing w:after="0" w:line="252" w:lineRule="auto"/>
            </w:pPr>
            <w:r>
              <w:rPr>
                <w:rFonts w:ascii="Calibri" w:hAnsi="Calibri" w:eastAsia="Microsoft YaHei"/>
                <w:color w:val="0B2545"/>
                <w:sz w:val="14"/>
              </w:rPr>
              <w:t>TCV；Alcator C-Mod；NSTX；DIII-D</w:t>
            </w:r>
          </w:p>
        </w:tc>
      </w:tr>
      <w:tr>
        <w:trPr>
          <w:cantSplit/>
        </w:trPr>
        <w:tc>
          <w:tcPr>
            <w:tcW w:type="dxa" w:w="1000"/>
            <w:tcMar>
              <w:top w:w="45" w:type="dxa"/>
              <w:bottom w:w="45" w:type="dxa"/>
              <w:start w:w="100" w:type="dxa"/>
              <w:end w:w="100" w:type="dxa"/>
            </w:tcMar>
          </w:tcPr>
          <w:p>
            <w:pPr>
              <w:keepLines/>
              <w:spacing w:after="0" w:line="252" w:lineRule="auto"/>
            </w:pPr>
            <w:r>
              <w:rPr>
                <w:rFonts w:ascii="Calibri" w:hAnsi="Calibri" w:eastAsia="Microsoft YaHei"/>
                <w:color w:val="0B2545"/>
                <w:sz w:val="14"/>
              </w:rPr>
              <w:t>DG7-038</w:t>
            </w:r>
          </w:p>
        </w:tc>
        <w:tc>
          <w:tcPr>
            <w:tcW w:type="dxa" w:w="900"/>
            <w:tcMar>
              <w:top w:w="45" w:type="dxa"/>
              <w:bottom w:w="45" w:type="dxa"/>
              <w:start w:w="100" w:type="dxa"/>
              <w:end w:w="100" w:type="dxa"/>
            </w:tcMar>
          </w:tcPr>
          <w:p>
            <w:pPr>
              <w:keepLines/>
              <w:spacing w:after="0" w:line="252" w:lineRule="auto"/>
            </w:pPr>
            <w:r>
              <w:rPr>
                <w:rFonts w:ascii="Calibri" w:hAnsi="Calibri" w:eastAsia="Microsoft YaHei"/>
                <w:color w:val="0B2545"/>
                <w:sz w:val="14"/>
              </w:rPr>
              <w:t>DG7</w:t>
            </w:r>
          </w:p>
        </w:tc>
        <w:tc>
          <w:tcPr>
            <w:tcW w:type="dxa" w:w="3760"/>
            <w:tcMar>
              <w:top w:w="45" w:type="dxa"/>
              <w:bottom w:w="45" w:type="dxa"/>
              <w:start w:w="100" w:type="dxa"/>
              <w:end w:w="100" w:type="dxa"/>
            </w:tcMar>
          </w:tcPr>
          <w:p>
            <w:pPr>
              <w:keepLines/>
              <w:spacing w:after="0" w:line="252" w:lineRule="auto"/>
            </w:pPr>
            <w:r>
              <w:rPr>
                <w:rFonts w:ascii="Calibri" w:hAnsi="Calibri" w:eastAsia="Microsoft YaHei"/>
                <w:color w:val="0B2545"/>
                <w:sz w:val="14"/>
              </w:rPr>
              <w:t>偏滤器汤姆逊散射：脱靶区电子参数</w:t>
            </w:r>
          </w:p>
        </w:tc>
        <w:tc>
          <w:tcPr>
            <w:tcW w:type="dxa" w:w="800"/>
            <w:tcMar>
              <w:top w:w="45" w:type="dxa"/>
              <w:bottom w:w="45" w:type="dxa"/>
              <w:start w:w="100" w:type="dxa"/>
              <w:end w:w="100" w:type="dxa"/>
            </w:tcMar>
          </w:tcPr>
          <w:p>
            <w:pPr>
              <w:keepLines/>
              <w:spacing w:after="0" w:line="252" w:lineRule="auto"/>
            </w:pPr>
            <w:r>
              <w:rPr>
                <w:rFonts w:ascii="Calibri" w:hAnsi="Calibri" w:eastAsia="Microsoft YaHei"/>
                <w:color w:val="0B2545"/>
                <w:sz w:val="14"/>
              </w:rPr>
              <w:t>E3</w:t>
            </w:r>
          </w:p>
        </w:tc>
        <w:tc>
          <w:tcPr>
            <w:tcW w:type="dxa" w:w="2900"/>
            <w:tcMar>
              <w:top w:w="45" w:type="dxa"/>
              <w:bottom w:w="45" w:type="dxa"/>
              <w:start w:w="100" w:type="dxa"/>
              <w:end w:w="100" w:type="dxa"/>
            </w:tcMar>
          </w:tcPr>
          <w:p>
            <w:pPr>
              <w:keepLines/>
              <w:spacing w:after="0" w:line="252" w:lineRule="auto"/>
            </w:pPr>
            <w:r>
              <w:rPr>
                <w:rFonts w:ascii="Calibri" w:hAnsi="Calibri" w:eastAsia="Microsoft YaHei"/>
                <w:color w:val="0B2545"/>
                <w:sz w:val="14"/>
              </w:rPr>
              <w:t>DIII-D；KSTAR；ITER design</w:t>
            </w:r>
          </w:p>
        </w:tc>
      </w:tr>
      <w:tr>
        <w:trPr>
          <w:cantSplit/>
        </w:trPr>
        <w:tc>
          <w:tcPr>
            <w:tcW w:type="dxa" w:w="1000"/>
            <w:tcMar>
              <w:top w:w="45" w:type="dxa"/>
              <w:bottom w:w="45" w:type="dxa"/>
              <w:start w:w="100" w:type="dxa"/>
              <w:end w:w="100" w:type="dxa"/>
            </w:tcMar>
          </w:tcPr>
          <w:p>
            <w:pPr>
              <w:keepLines/>
              <w:spacing w:after="0" w:line="252" w:lineRule="auto"/>
            </w:pPr>
            <w:r>
              <w:rPr>
                <w:rFonts w:ascii="Calibri" w:hAnsi="Calibri" w:eastAsia="Microsoft YaHei"/>
                <w:color w:val="0B2545"/>
                <w:sz w:val="14"/>
              </w:rPr>
              <w:t>DG7-039</w:t>
            </w:r>
          </w:p>
        </w:tc>
        <w:tc>
          <w:tcPr>
            <w:tcW w:type="dxa" w:w="900"/>
            <w:tcMar>
              <w:top w:w="45" w:type="dxa"/>
              <w:bottom w:w="45" w:type="dxa"/>
              <w:start w:w="100" w:type="dxa"/>
              <w:end w:w="100" w:type="dxa"/>
            </w:tcMar>
          </w:tcPr>
          <w:p>
            <w:pPr>
              <w:keepLines/>
              <w:spacing w:after="0" w:line="252" w:lineRule="auto"/>
            </w:pPr>
            <w:r>
              <w:rPr>
                <w:rFonts w:ascii="Calibri" w:hAnsi="Calibri" w:eastAsia="Microsoft YaHei"/>
                <w:color w:val="0B2545"/>
                <w:sz w:val="14"/>
              </w:rPr>
              <w:t>DG7</w:t>
            </w:r>
          </w:p>
        </w:tc>
        <w:tc>
          <w:tcPr>
            <w:tcW w:type="dxa" w:w="3760"/>
            <w:tcMar>
              <w:top w:w="45" w:type="dxa"/>
              <w:bottom w:w="45" w:type="dxa"/>
              <w:start w:w="100" w:type="dxa"/>
              <w:end w:w="100" w:type="dxa"/>
            </w:tcMar>
          </w:tcPr>
          <w:p>
            <w:pPr>
              <w:keepLines/>
              <w:spacing w:after="0" w:line="252" w:lineRule="auto"/>
            </w:pPr>
            <w:r>
              <w:rPr>
                <w:rFonts w:ascii="Calibri" w:hAnsi="Calibri" w:eastAsia="Microsoft YaHei"/>
                <w:color w:val="0B2545"/>
                <w:sz w:val="14"/>
              </w:rPr>
              <w:t>Balmer/Stark偏滤器谱：脱靶、再结合与中性压力</w:t>
            </w:r>
          </w:p>
        </w:tc>
        <w:tc>
          <w:tcPr>
            <w:tcW w:type="dxa" w:w="800"/>
            <w:tcMar>
              <w:top w:w="45" w:type="dxa"/>
              <w:bottom w:w="45" w:type="dxa"/>
              <w:start w:w="100" w:type="dxa"/>
              <w:end w:w="100" w:type="dxa"/>
            </w:tcMar>
          </w:tcPr>
          <w:p>
            <w:pPr>
              <w:keepLines/>
              <w:spacing w:after="0" w:line="252" w:lineRule="auto"/>
            </w:pPr>
            <w:r>
              <w:rPr>
                <w:rFonts w:ascii="Calibri" w:hAnsi="Calibri" w:eastAsia="Microsoft YaHei"/>
                <w:color w:val="0B2545"/>
                <w:sz w:val="14"/>
              </w:rPr>
              <w:t>E4</w:t>
            </w:r>
          </w:p>
        </w:tc>
        <w:tc>
          <w:tcPr>
            <w:tcW w:type="dxa" w:w="2900"/>
            <w:tcMar>
              <w:top w:w="45" w:type="dxa"/>
              <w:bottom w:w="45" w:type="dxa"/>
              <w:start w:w="100" w:type="dxa"/>
              <w:end w:w="100" w:type="dxa"/>
            </w:tcMar>
          </w:tcPr>
          <w:p>
            <w:pPr>
              <w:keepLines/>
              <w:spacing w:after="0" w:line="252" w:lineRule="auto"/>
            </w:pPr>
            <w:r>
              <w:rPr>
                <w:rFonts w:ascii="Calibri" w:hAnsi="Calibri" w:eastAsia="Microsoft YaHei"/>
                <w:color w:val="0B2545"/>
                <w:sz w:val="14"/>
              </w:rPr>
              <w:t>TCV；MAST Upgrade；DIII-D；JET</w:t>
            </w:r>
          </w:p>
        </w:tc>
      </w:tr>
      <w:tr>
        <w:trPr>
          <w:cantSplit/>
        </w:trPr>
        <w:tc>
          <w:tcPr>
            <w:tcW w:type="dxa" w:w="1000"/>
            <w:tcMar>
              <w:top w:w="45" w:type="dxa"/>
              <w:bottom w:w="45" w:type="dxa"/>
              <w:start w:w="100" w:type="dxa"/>
              <w:end w:w="100" w:type="dxa"/>
            </w:tcMar>
          </w:tcPr>
          <w:p>
            <w:pPr>
              <w:keepLines/>
              <w:spacing w:after="0" w:line="252" w:lineRule="auto"/>
            </w:pPr>
            <w:r>
              <w:rPr>
                <w:rFonts w:ascii="Calibri" w:hAnsi="Calibri" w:eastAsia="Microsoft YaHei"/>
                <w:color w:val="0B2545"/>
                <w:sz w:val="14"/>
              </w:rPr>
              <w:t>PDT-019</w:t>
            </w:r>
          </w:p>
        </w:tc>
        <w:tc>
          <w:tcPr>
            <w:tcW w:type="dxa" w:w="900"/>
            <w:tcMar>
              <w:top w:w="45" w:type="dxa"/>
              <w:bottom w:w="45" w:type="dxa"/>
              <w:start w:w="100" w:type="dxa"/>
              <w:end w:w="100" w:type="dxa"/>
            </w:tcMar>
          </w:tcPr>
          <w:p>
            <w:pPr>
              <w:keepLines/>
              <w:spacing w:after="0" w:line="252" w:lineRule="auto"/>
            </w:pPr>
            <w:r>
              <w:rPr>
                <w:rFonts w:ascii="Calibri" w:hAnsi="Calibri" w:eastAsia="Microsoft YaHei"/>
                <w:color w:val="0B2545"/>
                <w:sz w:val="14"/>
              </w:rPr>
              <w:t>DG8</w:t>
            </w:r>
          </w:p>
        </w:tc>
        <w:tc>
          <w:tcPr>
            <w:tcW w:type="dxa" w:w="3760"/>
            <w:tcMar>
              <w:top w:w="45" w:type="dxa"/>
              <w:bottom w:w="45" w:type="dxa"/>
              <w:start w:w="100" w:type="dxa"/>
              <w:end w:w="100" w:type="dxa"/>
            </w:tcMar>
          </w:tcPr>
          <w:p>
            <w:pPr>
              <w:keepLines/>
              <w:spacing w:after="0" w:line="252" w:lineRule="auto"/>
            </w:pPr>
            <w:r>
              <w:rPr>
                <w:rFonts w:ascii="Calibri" w:hAnsi="Calibri" w:eastAsia="Microsoft YaHei"/>
                <w:color w:val="0B2545"/>
                <w:sz w:val="14"/>
              </w:rPr>
              <w:t>NSTX-U 物理诊断与工程 EPICS 数据的统一可追溯归档</w:t>
            </w:r>
          </w:p>
        </w:tc>
        <w:tc>
          <w:tcPr>
            <w:tcW w:type="dxa" w:w="800"/>
            <w:tcMar>
              <w:top w:w="45" w:type="dxa"/>
              <w:bottom w:w="45" w:type="dxa"/>
              <w:start w:w="100" w:type="dxa"/>
              <w:end w:w="100" w:type="dxa"/>
            </w:tcMar>
          </w:tcPr>
          <w:p>
            <w:pPr>
              <w:keepLines/>
              <w:spacing w:after="0" w:line="252" w:lineRule="auto"/>
            </w:pPr>
            <w:r>
              <w:rPr>
                <w:rFonts w:ascii="Calibri" w:hAnsi="Calibri" w:eastAsia="Microsoft YaHei"/>
                <w:color w:val="0B2545"/>
                <w:sz w:val="14"/>
              </w:rPr>
              <w:t>E2</w:t>
            </w:r>
          </w:p>
        </w:tc>
        <w:tc>
          <w:tcPr>
            <w:tcW w:type="dxa" w:w="2900"/>
            <w:tcMar>
              <w:top w:w="45" w:type="dxa"/>
              <w:bottom w:w="45" w:type="dxa"/>
              <w:start w:w="100" w:type="dxa"/>
              <w:end w:w="100" w:type="dxa"/>
            </w:tcMar>
          </w:tcPr>
          <w:p>
            <w:pPr>
              <w:keepLines/>
              <w:spacing w:after="0" w:line="252" w:lineRule="auto"/>
            </w:pPr>
            <w:r>
              <w:rPr>
                <w:rFonts w:ascii="Calibri" w:hAnsi="Calibri" w:eastAsia="Microsoft YaHei"/>
                <w:color w:val="0B2545"/>
                <w:sz w:val="14"/>
              </w:rPr>
              <w:t>NSTX-U</w:t>
            </w:r>
          </w:p>
        </w:tc>
      </w:tr>
      <w:tr>
        <w:trPr>
          <w:cantSplit/>
        </w:trPr>
        <w:tc>
          <w:tcPr>
            <w:tcW w:type="dxa" w:w="1000"/>
            <w:tcMar>
              <w:top w:w="45" w:type="dxa"/>
              <w:bottom w:w="45" w:type="dxa"/>
              <w:start w:w="100" w:type="dxa"/>
              <w:end w:w="100" w:type="dxa"/>
            </w:tcMar>
          </w:tcPr>
          <w:p>
            <w:pPr>
              <w:keepLines/>
              <w:spacing w:after="0" w:line="252" w:lineRule="auto"/>
            </w:pPr>
            <w:r>
              <w:rPr>
                <w:rFonts w:ascii="Calibri" w:hAnsi="Calibri" w:eastAsia="Microsoft YaHei"/>
                <w:color w:val="0B2545"/>
                <w:sz w:val="14"/>
              </w:rPr>
              <w:t>DG6-033</w:t>
            </w:r>
          </w:p>
        </w:tc>
        <w:tc>
          <w:tcPr>
            <w:tcW w:type="dxa" w:w="900"/>
            <w:tcMar>
              <w:top w:w="45" w:type="dxa"/>
              <w:bottom w:w="45" w:type="dxa"/>
              <w:start w:w="100" w:type="dxa"/>
              <w:end w:w="100" w:type="dxa"/>
            </w:tcMar>
          </w:tcPr>
          <w:p>
            <w:pPr>
              <w:keepLines/>
              <w:spacing w:after="0" w:line="252" w:lineRule="auto"/>
            </w:pPr>
            <w:r>
              <w:rPr>
                <w:rFonts w:ascii="Calibri" w:hAnsi="Calibri" w:eastAsia="Microsoft YaHei"/>
                <w:color w:val="0B2545"/>
                <w:sz w:val="14"/>
              </w:rPr>
              <w:t>DG9</w:t>
            </w:r>
          </w:p>
        </w:tc>
        <w:tc>
          <w:tcPr>
            <w:tcW w:type="dxa" w:w="3760"/>
            <w:tcMar>
              <w:top w:w="45" w:type="dxa"/>
              <w:bottom w:w="45" w:type="dxa"/>
              <w:start w:w="100" w:type="dxa"/>
              <w:end w:w="100" w:type="dxa"/>
            </w:tcMar>
          </w:tcPr>
          <w:p>
            <w:pPr>
              <w:keepLines/>
              <w:spacing w:after="0" w:line="252" w:lineRule="auto"/>
            </w:pPr>
            <w:r>
              <w:rPr>
                <w:rFonts w:ascii="Calibri" w:hAnsi="Calibri" w:eastAsia="Microsoft YaHei"/>
                <w:color w:val="0B2545"/>
                <w:sz w:val="14"/>
              </w:rPr>
              <w:t>W7-X 相位衬度成像合成诊断</w:t>
            </w:r>
          </w:p>
        </w:tc>
        <w:tc>
          <w:tcPr>
            <w:tcW w:type="dxa" w:w="800"/>
            <w:tcMar>
              <w:top w:w="45" w:type="dxa"/>
              <w:bottom w:w="45" w:type="dxa"/>
              <w:start w:w="100" w:type="dxa"/>
              <w:end w:w="100" w:type="dxa"/>
            </w:tcMar>
          </w:tcPr>
          <w:p>
            <w:pPr>
              <w:keepLines/>
              <w:spacing w:after="0" w:line="252" w:lineRule="auto"/>
            </w:pPr>
            <w:r>
              <w:rPr>
                <w:rFonts w:ascii="Calibri" w:hAnsi="Calibri" w:eastAsia="Microsoft YaHei"/>
                <w:color w:val="0B2545"/>
                <w:sz w:val="14"/>
              </w:rPr>
              <w:t>E1</w:t>
            </w:r>
          </w:p>
        </w:tc>
        <w:tc>
          <w:tcPr>
            <w:tcW w:type="dxa" w:w="2900"/>
            <w:tcMar>
              <w:top w:w="45" w:type="dxa"/>
              <w:bottom w:w="45" w:type="dxa"/>
              <w:start w:w="100" w:type="dxa"/>
              <w:end w:w="100" w:type="dxa"/>
            </w:tcMar>
          </w:tcPr>
          <w:p>
            <w:pPr>
              <w:keepLines/>
              <w:spacing w:after="0" w:line="252" w:lineRule="auto"/>
            </w:pPr>
            <w:r>
              <w:rPr>
                <w:rFonts w:ascii="Calibri" w:hAnsi="Calibri" w:eastAsia="Microsoft YaHei"/>
                <w:color w:val="0B2545"/>
                <w:sz w:val="14"/>
              </w:rPr>
              <w:t>DIII-D；Alcator C-Mod；TCV；W7-X</w:t>
            </w:r>
          </w:p>
        </w:tc>
      </w:tr>
      <w:tr>
        <w:trPr>
          <w:cantSplit/>
        </w:trPr>
        <w:tc>
          <w:tcPr>
            <w:tcW w:type="dxa" w:w="1000"/>
            <w:tcMar>
              <w:top w:w="45" w:type="dxa"/>
              <w:bottom w:w="45" w:type="dxa"/>
              <w:start w:w="100" w:type="dxa"/>
              <w:end w:w="100" w:type="dxa"/>
            </w:tcMar>
          </w:tcPr>
          <w:p>
            <w:pPr>
              <w:keepLines/>
              <w:spacing w:after="0" w:line="252" w:lineRule="auto"/>
            </w:pPr>
            <w:r>
              <w:rPr>
                <w:rFonts w:ascii="Calibri" w:hAnsi="Calibri" w:eastAsia="Microsoft YaHei"/>
                <w:color w:val="0B2545"/>
                <w:sz w:val="14"/>
              </w:rPr>
              <w:t>DSI-013</w:t>
            </w:r>
          </w:p>
        </w:tc>
        <w:tc>
          <w:tcPr>
            <w:tcW w:type="dxa" w:w="900"/>
            <w:tcMar>
              <w:top w:w="45" w:type="dxa"/>
              <w:bottom w:w="45" w:type="dxa"/>
              <w:start w:w="100" w:type="dxa"/>
              <w:end w:w="100" w:type="dxa"/>
            </w:tcMar>
          </w:tcPr>
          <w:p>
            <w:pPr>
              <w:keepLines/>
              <w:spacing w:after="0" w:line="252" w:lineRule="auto"/>
            </w:pPr>
            <w:r>
              <w:rPr>
                <w:rFonts w:ascii="Calibri" w:hAnsi="Calibri" w:eastAsia="Microsoft YaHei"/>
                <w:color w:val="0B2545"/>
                <w:sz w:val="14"/>
              </w:rPr>
              <w:t>DG9</w:t>
            </w:r>
          </w:p>
        </w:tc>
        <w:tc>
          <w:tcPr>
            <w:tcW w:type="dxa" w:w="3760"/>
            <w:tcMar>
              <w:top w:w="45" w:type="dxa"/>
              <w:bottom w:w="45" w:type="dxa"/>
              <w:start w:w="100" w:type="dxa"/>
              <w:end w:w="100" w:type="dxa"/>
            </w:tcMar>
          </w:tcPr>
          <w:p>
            <w:pPr>
              <w:keepLines/>
              <w:spacing w:after="0" w:line="252" w:lineRule="auto"/>
            </w:pPr>
            <w:r>
              <w:rPr>
                <w:rFonts w:ascii="Calibri" w:hAnsi="Calibri" w:eastAsia="Microsoft YaHei"/>
                <w:color w:val="0B2545"/>
                <w:sz w:val="14"/>
              </w:rPr>
              <w:t>ToFu 三维几何、辐射前向模型与层析工具箱</w:t>
            </w:r>
          </w:p>
        </w:tc>
        <w:tc>
          <w:tcPr>
            <w:tcW w:type="dxa" w:w="800"/>
            <w:tcMar>
              <w:top w:w="45" w:type="dxa"/>
              <w:bottom w:w="45" w:type="dxa"/>
              <w:start w:w="100" w:type="dxa"/>
              <w:end w:w="100" w:type="dxa"/>
            </w:tcMar>
          </w:tcPr>
          <w:p>
            <w:pPr>
              <w:keepLines/>
              <w:spacing w:after="0" w:line="252" w:lineRule="auto"/>
            </w:pPr>
            <w:r>
              <w:rPr>
                <w:rFonts w:ascii="Calibri" w:hAnsi="Calibri" w:eastAsia="Microsoft YaHei"/>
                <w:color w:val="0B2545"/>
                <w:sz w:val="14"/>
              </w:rPr>
              <w:t>E2</w:t>
            </w:r>
          </w:p>
        </w:tc>
        <w:tc>
          <w:tcPr>
            <w:tcW w:type="dxa" w:w="2900"/>
            <w:tcMar>
              <w:top w:w="45" w:type="dxa"/>
              <w:bottom w:w="45" w:type="dxa"/>
              <w:start w:w="100" w:type="dxa"/>
              <w:end w:w="100" w:type="dxa"/>
            </w:tcMar>
          </w:tcPr>
          <w:p>
            <w:pPr>
              <w:keepLines/>
              <w:spacing w:after="0" w:line="252" w:lineRule="auto"/>
            </w:pPr>
            <w:r>
              <w:rPr>
                <w:rFonts w:ascii="Calibri" w:hAnsi="Calibri" w:eastAsia="Microsoft YaHei"/>
                <w:color w:val="0B2545"/>
                <w:sz w:val="14"/>
              </w:rPr>
              <w:t>WEST；JET/ITER-oriented geometries；generic tokamaks and stellarators</w:t>
            </w:r>
          </w:p>
        </w:tc>
      </w:tr>
    </w:tbl>
    <w:p>
      <w:pPr>
        <w:keepNext/>
        <w:pageBreakBefore/>
        <w:spacing w:before="0" w:after="100"/>
      </w:pPr>
      <w:r>
        <w:rPr>
          <w:rFonts w:ascii="Calibri" w:hAnsi="Calibri" w:eastAsia="Microsoft YaHei"/>
          <w:b/>
          <w:caps/>
          <w:color w:val="008C95"/>
          <w:sz w:val="17"/>
        </w:rPr>
        <w:t>16 / DG11 / REAL-TIME DIAGNOSTICS, AI &amp; DECISION INTERFACES</w:t>
      </w:r>
    </w:p>
    <w:p>
      <w:pPr>
        <w:pStyle w:val="Heading1"/>
      </w:pPr>
      <w:r>
        <w:t>实时诊断、AI 与决策接口</w:t>
      </w:r>
    </w:p>
    <w:tbl>
      <w:tblPr>
        <w:tblStyle w:val="TableGrid"/>
        <w:tblW w:type="dxa" w:w="9360"/>
        <w:jc w:val="left"/>
        <w:tblLayout w:type="fixed"/>
        <w:tblLook w:firstColumn="1" w:firstRow="1" w:lastColumn="0" w:lastRow="0" w:noHBand="0" w:noVBand="1" w:val="04A0"/>
        <w:tblInd w:w="120" w:type="dxa"/>
      </w:tblPr>
      <w:tblGrid>
        <w:gridCol w:w="9360"/>
      </w:tblGrid>
      <w:tr>
        <w:trPr>
          <w:cantSplit/>
        </w:trPr>
        <w:tc>
          <w:tcPr>
            <w:tcW w:type="dxa" w:w="9360"/>
            <w:tcMar>
              <w:top w:w="80" w:type="dxa"/>
              <w:bottom w:w="80" w:type="dxa"/>
              <w:start w:w="120" w:type="dxa"/>
              <w:end w:w="120" w:type="dxa"/>
            </w:tcMar>
            <w:vAlign w:val="center"/>
            <w:shd w:fill="F2F4F7"/>
          </w:tcPr>
          <w:p>
            <w:pPr>
              <w:keepNext/>
              <w:keepLines/>
              <w:spacing w:after="40"/>
            </w:pPr>
            <w:r>
              <w:rPr>
                <w:rFonts w:ascii="Calibri" w:hAnsi="Calibri" w:eastAsia="Microsoft YaHei"/>
                <w:b/>
                <w:color w:val="008C95"/>
                <w:sz w:val="17"/>
              </w:rPr>
              <w:t>CHAPTER SCOPE</w:t>
            </w:r>
          </w:p>
          <w:p>
            <w:pPr>
              <w:spacing w:after="0"/>
            </w:pPr>
            <w:r>
              <w:rPr>
                <w:rFonts w:ascii="Calibri" w:hAnsi="Calibri" w:eastAsia="Microsoft YaHei"/>
                <w:color w:val="0B2545"/>
                <w:sz w:val="20"/>
              </w:rPr>
              <w:t>本章全文展开 3 项主工作，并列出 37 项跨域关联工作。关联工作只在其主任务章节全文展开，避免重复计数。</w:t>
            </w:r>
          </w:p>
        </w:tc>
      </w:tr>
    </w:tbl>
    <w:p>
      <w:pPr>
        <w:spacing w:after="40"/>
      </w:pPr>
    </w:p>
    <w:p>
      <w:pPr>
        <w:keepNext/>
        <w:jc w:val="center"/>
      </w:pPr>
      <w:r>
        <w:drawing>
          <wp:inline xmlns:a="http://schemas.openxmlformats.org/drawingml/2006/main" xmlns:pic="http://schemas.openxmlformats.org/drawingml/2006/picture">
            <wp:extent cx="5486400" cy="3154680"/>
            <wp:docPr id="8" name="Picture 8" descr="图 16-1  实时诊断、AI 与决策接口的关键链路。"/>
            <wp:cNvGraphicFramePr>
              <a:graphicFrameLocks noChangeAspect="1"/>
            </wp:cNvGraphicFramePr>
            <a:graphic>
              <a:graphicData uri="http://schemas.openxmlformats.org/drawingml/2006/picture">
                <pic:pic>
                  <pic:nvPicPr>
                    <pic:cNvPr id="0" name="diagnostics-realtime-governance-nature.png"/>
                    <pic:cNvPicPr/>
                  </pic:nvPicPr>
                  <pic:blipFill>
                    <a:blip r:embed="rId212"/>
                    <a:stretch>
                      <a:fillRect/>
                    </a:stretch>
                  </pic:blipFill>
                  <pic:spPr>
                    <a:xfrm>
                      <a:off x="0" y="0"/>
                      <a:ext cx="5486400" cy="3154680"/>
                    </a:xfrm>
                    <a:prstGeom prst="rect"/>
                  </pic:spPr>
                </pic:pic>
              </a:graphicData>
            </a:graphic>
          </wp:inline>
        </w:drawing>
      </w:r>
    </w:p>
    <w:p>
      <w:pPr>
        <w:pStyle w:val="Caption"/>
        <w:jc w:val="center"/>
      </w:pPr>
      <w:r>
        <w:t>图 16-1  实时诊断、AI 与决策接口的关键链路。</w:t>
      </w:r>
    </w:p>
    <w:p>
      <w:pPr>
        <w:pStyle w:val="Heading3"/>
        <w:keepNext/>
      </w:pPr>
      <w:r>
        <w:t>DG11.01  RAPTOR 实时剖面状态观测器</w:t>
      </w:r>
    </w:p>
    <w:p>
      <w:pPr>
        <w:keepNext/>
        <w:spacing w:after="80"/>
      </w:pPr>
      <w:r>
        <w:rPr>
          <w:rFonts w:ascii="Calibri" w:hAnsi="Calibri" w:eastAsia="Microsoft YaHei"/>
          <w:i/>
          <w:color w:val="566573"/>
          <w:sz w:val="18"/>
        </w:rPr>
        <w:t>RAPTOR Real-Time Profile State Observer</w:t>
      </w:r>
    </w:p>
    <w:tbl>
      <w:tblPr>
        <w:tblStyle w:val="TableGrid"/>
        <w:tblW w:type="dxa" w:w="9360"/>
        <w:jc w:val="left"/>
        <w:tblLayout w:type="fixed"/>
        <w:tblLook w:firstColumn="1" w:firstRow="1" w:lastColumn="0" w:lastRow="0" w:noHBand="0" w:noVBand="1" w:val="04A0"/>
        <w:tblInd w:w="120" w:type="dxa"/>
      </w:tblPr>
      <w:tblGrid>
        <w:gridCol w:w="1200"/>
        <w:gridCol w:w="750"/>
        <w:gridCol w:w="750"/>
        <w:gridCol w:w="2100"/>
        <w:gridCol w:w="4560"/>
      </w:tblGrid>
      <w:tr>
        <w:trPr>
          <w:tblHeader w:val="true"/>
        </w:trPr>
        <w:tc>
          <w:tcPr>
            <w:tcW w:type="dxa" w:w="12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工作 ID</w:t>
            </w:r>
          </w:p>
        </w:tc>
        <w:tc>
          <w:tcPr>
            <w:tcW w:type="dxa" w:w="7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证据</w:t>
            </w:r>
          </w:p>
        </w:tc>
        <w:tc>
          <w:tcPr>
            <w:tcW w:type="dxa" w:w="7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部署</w:t>
            </w:r>
          </w:p>
        </w:tc>
        <w:tc>
          <w:tcPr>
            <w:tcW w:type="dxa" w:w="21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技术族</w:t>
            </w:r>
          </w:p>
        </w:tc>
        <w:tc>
          <w:tcPr>
            <w:tcW w:type="dxa" w:w="456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装置</w:t>
            </w:r>
          </w:p>
        </w:tc>
      </w:tr>
      <w:tr>
        <w:trPr>
          <w:cantSplit/>
        </w:trPr>
        <w:tc>
          <w:tcPr>
            <w:tcW w:type="dxa" w:w="1200"/>
          </w:tcPr>
          <w:p>
            <w:pPr>
              <w:keepLines/>
              <w:spacing w:after="0" w:line="276" w:lineRule="auto"/>
            </w:pPr>
            <w:r>
              <w:rPr>
                <w:rFonts w:ascii="Calibri" w:hAnsi="Calibri" w:eastAsia="Microsoft YaHei"/>
                <w:color w:val="0B2545"/>
                <w:sz w:val="15"/>
              </w:rPr>
              <w:t>DSI-031</w:t>
            </w:r>
          </w:p>
        </w:tc>
        <w:tc>
          <w:tcPr>
            <w:tcW w:type="dxa" w:w="750"/>
          </w:tcPr>
          <w:p>
            <w:pPr>
              <w:keepLines/>
              <w:spacing w:after="0" w:line="276" w:lineRule="auto"/>
            </w:pPr>
            <w:r>
              <w:rPr>
                <w:rFonts w:ascii="Calibri" w:hAnsi="Calibri" w:eastAsia="Microsoft YaHei"/>
                <w:color w:val="0B2545"/>
                <w:sz w:val="15"/>
              </w:rPr>
              <w:t>E3</w:t>
            </w:r>
          </w:p>
        </w:tc>
        <w:tc>
          <w:tcPr>
            <w:tcW w:type="dxa" w:w="750"/>
          </w:tcPr>
          <w:p>
            <w:pPr>
              <w:keepLines/>
              <w:spacing w:after="0" w:line="276" w:lineRule="auto"/>
            </w:pPr>
            <w:r>
              <w:rPr>
                <w:rFonts w:ascii="Calibri" w:hAnsi="Calibri" w:eastAsia="Microsoft YaHei"/>
                <w:color w:val="0B2545"/>
                <w:sz w:val="15"/>
              </w:rPr>
              <w:t>D3</w:t>
            </w:r>
          </w:p>
        </w:tc>
        <w:tc>
          <w:tcPr>
            <w:tcW w:type="dxa" w:w="2100"/>
          </w:tcPr>
          <w:p>
            <w:pPr>
              <w:keepLines/>
              <w:spacing w:after="0" w:line="276" w:lineRule="auto"/>
            </w:pPr>
            <w:r>
              <w:rPr>
                <w:rFonts w:ascii="Calibri" w:hAnsi="Calibri" w:eastAsia="Microsoft YaHei"/>
                <w:color w:val="0B2545"/>
                <w:sz w:val="15"/>
              </w:rPr>
              <w:t>COMPUTATIONAL</w:t>
            </w:r>
          </w:p>
        </w:tc>
        <w:tc>
          <w:tcPr>
            <w:tcW w:type="dxa" w:w="4560"/>
          </w:tcPr>
          <w:p>
            <w:pPr>
              <w:keepLines/>
              <w:spacing w:after="0" w:line="276" w:lineRule="auto"/>
            </w:pPr>
            <w:r>
              <w:rPr>
                <w:rFonts w:ascii="Calibri" w:hAnsi="Calibri" w:eastAsia="Microsoft YaHei"/>
                <w:color w:val="0B2545"/>
                <w:sz w:val="15"/>
              </w:rPr>
              <w:t>RFX-mod；TCV；DIII-D-oriented control studies</w:t>
            </w:r>
          </w:p>
        </w:tc>
      </w:tr>
    </w:tbl>
    <w:p>
      <w:pPr>
        <w:spacing w:before="0" w:after="60"/>
      </w:pPr>
    </w:p>
    <w:p>
      <w:pPr>
        <w:widowControl/>
      </w:pPr>
      <w:r>
        <w:rPr>
          <w:rFonts w:ascii="Calibri" w:hAnsi="Calibri" w:eastAsia="Microsoft YaHei"/>
          <w:b/>
          <w:color w:val="1F4D78"/>
        </w:rPr>
        <w:t>解决问题：</w:t>
      </w:r>
      <w:r>
        <w:rPr>
          <w:rFonts w:ascii="Calibri" w:hAnsi="Calibri" w:eastAsia="Microsoft YaHei"/>
        </w:rPr>
        <w:t>反馈控制所需 Te、ne、电流/q 剖面无法只靠高频直接测量，需要在诊断间隔之间以模型推进并同化稀疏观测。</w:t>
      </w:r>
    </w:p>
    <w:p>
      <w:pPr>
        <w:widowControl/>
      </w:pPr>
      <w:r>
        <w:rPr>
          <w:rFonts w:ascii="Calibri" w:hAnsi="Calibri" w:eastAsia="Microsoft YaHei"/>
          <w:b/>
          <w:color w:val="1F4D78"/>
        </w:rPr>
        <w:t>测量原理：</w:t>
      </w:r>
      <w:r>
        <w:rPr>
          <w:rFonts w:ascii="Calibri" w:hAnsi="Calibri" w:eastAsia="Microsoft YaHei"/>
        </w:rPr>
        <w:t>用低阶输运模型预测剖面状态，以 EKF/观测器吸收 TS、ECE、磁平衡等观测并输出实时状态及协方差。</w:t>
      </w:r>
    </w:p>
    <w:p>
      <w:pPr>
        <w:widowControl/>
      </w:pPr>
      <w:r>
        <w:rPr>
          <w:rFonts w:ascii="Calibri" w:hAnsi="Calibri" w:eastAsia="Microsoft YaHei"/>
          <w:b/>
          <w:color w:val="1F4D78"/>
        </w:rPr>
        <w:t>测量产品：</w:t>
      </w:r>
      <w:r>
        <w:rPr>
          <w:rFonts w:ascii="Calibri" w:hAnsi="Calibri" w:eastAsia="Microsoft YaHei"/>
        </w:rPr>
        <w:t>electron temperature；electron density；current density；q profile；state covariance</w:t>
      </w:r>
    </w:p>
    <w:p>
      <w:pPr>
        <w:widowControl/>
      </w:pPr>
      <w:r>
        <w:rPr>
          <w:rFonts w:ascii="Calibri" w:hAnsi="Calibri" w:eastAsia="Microsoft YaHei"/>
          <w:b/>
          <w:color w:val="1F4D78"/>
        </w:rPr>
        <w:t>时空分辨与覆盖：</w:t>
      </w:r>
      <w:r>
        <w:rPr>
          <w:rFonts w:ascii="Calibri" w:hAnsi="Calibri" w:eastAsia="Microsoft YaHei"/>
        </w:rPr>
        <w:t>时间：因装置、采集和分析链而异；原始来源未给出统一数值。；空间：由视线、几何和反演设定；原始来源未给出统一数值。</w:t>
      </w:r>
    </w:p>
    <w:p>
      <w:pPr>
        <w:widowControl/>
      </w:pPr>
      <w:r>
        <w:rPr>
          <w:rFonts w:ascii="Calibri" w:hAnsi="Calibri" w:eastAsia="Microsoft YaHei"/>
          <w:b/>
          <w:color w:val="1F4D78"/>
        </w:rPr>
        <w:t>仪器与传感器：</w:t>
      </w:r>
      <w:r>
        <w:rPr>
          <w:rFonts w:ascii="Calibri" w:hAnsi="Calibri" w:eastAsia="Microsoft YaHei"/>
        </w:rPr>
        <w:t>real-time computers；MARTe interfaces</w:t>
      </w:r>
    </w:p>
    <w:p>
      <w:pPr>
        <w:widowControl/>
      </w:pPr>
      <w:r>
        <w:rPr>
          <w:rFonts w:ascii="Calibri" w:hAnsi="Calibri" w:eastAsia="Microsoft YaHei"/>
          <w:b/>
          <w:color w:val="1F4D78"/>
        </w:rPr>
        <w:t>标定与质量：</w:t>
      </w:r>
      <w:r>
        <w:rPr>
          <w:rFonts w:ascii="Calibri" w:hAnsi="Calibri" w:eastAsia="Microsoft YaHei"/>
        </w:rPr>
        <w:t>状态估计依赖通道时间对齐、坐标映射与噪声协方差；模型偏差需过程噪声或在线参数校正。</w:t>
      </w:r>
    </w:p>
    <w:p>
      <w:pPr>
        <w:widowControl/>
      </w:pPr>
      <w:r>
        <w:rPr>
          <w:rFonts w:ascii="Calibri" w:hAnsi="Calibri" w:eastAsia="Microsoft YaHei"/>
          <w:b/>
          <w:color w:val="1F4D78"/>
        </w:rPr>
        <w:t>反演与分析：</w:t>
      </w:r>
      <w:r>
        <w:rPr>
          <w:rFonts w:ascii="Calibri" w:hAnsi="Calibri" w:eastAsia="Microsoft YaHei"/>
        </w:rPr>
        <w:t>EKF；model-based observer；real-time prediction</w:t>
      </w:r>
    </w:p>
    <w:p>
      <w:pPr>
        <w:widowControl/>
      </w:pPr>
      <w:r>
        <w:rPr>
          <w:rFonts w:ascii="Calibri" w:hAnsi="Calibri" w:eastAsia="Microsoft YaHei"/>
          <w:b/>
          <w:color w:val="1F4D78"/>
        </w:rPr>
        <w:t>验证与应用：</w:t>
      </w:r>
      <w:r>
        <w:rPr>
          <w:rFonts w:ascii="Calibri" w:hAnsi="Calibri" w:eastAsia="Microsoft YaHei"/>
        </w:rPr>
        <w:t>RAPTOR 已集成 RFX-mod MARTe 实时环境并有装置联调/实时可运行证据；后续工作在 TCV 用 TS 同化重建 Te/ne/j_parallel，并有实时可运行预测论文，但来源不足以证明它已成为常规运行服务。</w:t>
      </w:r>
    </w:p>
    <w:p>
      <w:pPr>
        <w:widowControl/>
      </w:pPr>
      <w:r>
        <w:rPr>
          <w:rFonts w:ascii="Calibri" w:hAnsi="Calibri" w:eastAsia="Microsoft YaHei"/>
          <w:b/>
          <w:color w:val="1F4D78"/>
        </w:rPr>
        <w:t>局限与边界：</w:t>
      </w:r>
      <w:r>
        <w:rPr>
          <w:rFonts w:ascii="Calibri" w:hAnsi="Calibri" w:eastAsia="Microsoft YaHei"/>
        </w:rPr>
        <w:t>低阶输运与轴对称假设在 MHD、ELM、异常加热时失配；没有经过 D5 保护资格。</w:t>
      </w:r>
    </w:p>
    <w:tbl>
      <w:tblPr>
        <w:tblStyle w:val="TableGrid"/>
        <w:tblW w:type="dxa" w:w="9360"/>
        <w:jc w:val="left"/>
        <w:tblLayout w:type="fixed"/>
        <w:tblLook w:firstColumn="1" w:firstRow="1" w:lastColumn="0" w:lastRow="0" w:noHBand="0" w:noVBand="1" w:val="04A0"/>
        <w:tblInd w:w="120" w:type="dxa"/>
      </w:tblPr>
      <w:tblGrid>
        <w:gridCol w:w="9360"/>
      </w:tblGrid>
      <w:tr>
        <w:trPr>
          <w:cantSplit/>
        </w:trPr>
        <w:tc>
          <w:tcPr>
            <w:tcW w:type="dxa" w:w="9360"/>
            <w:tcMar>
              <w:top w:w="80" w:type="dxa"/>
              <w:bottom w:w="80" w:type="dxa"/>
              <w:start w:w="120" w:type="dxa"/>
              <w:end w:w="120" w:type="dxa"/>
            </w:tcMar>
            <w:vAlign w:val="center"/>
            <w:shd w:fill="EEF7F7"/>
          </w:tcPr>
          <w:p>
            <w:pPr>
              <w:keepNext/>
              <w:keepLines/>
              <w:spacing w:after="40"/>
            </w:pPr>
            <w:r>
              <w:rPr>
                <w:rFonts w:ascii="Calibri" w:hAnsi="Calibri" w:eastAsia="Microsoft YaHei"/>
                <w:b/>
                <w:color w:val="008C95"/>
                <w:sz w:val="17"/>
              </w:rPr>
              <w:t>DIGITAL-TWIN RELEVANCE</w:t>
            </w:r>
          </w:p>
          <w:p>
            <w:pPr>
              <w:spacing w:after="0"/>
            </w:pPr>
            <w:r>
              <w:rPr>
                <w:rFonts w:ascii="Calibri" w:hAnsi="Calibri" w:eastAsia="Microsoft YaHei"/>
                <w:color w:val="0B2545"/>
                <w:sz w:val="20"/>
              </w:rPr>
              <w:t>是诊断到控制之间最接近在线物理孪生的状态层，但需残差门控、失效降级和证据治理。</w:t>
            </w:r>
          </w:p>
        </w:tc>
      </w:tr>
    </w:tbl>
    <w:p>
      <w:pPr>
        <w:spacing w:after="40"/>
      </w:pPr>
    </w:p>
    <w:tbl>
      <w:tblPr>
        <w:tblStyle w:val="TableGrid"/>
        <w:tblW w:type="dxa" w:w="9360"/>
        <w:jc w:val="left"/>
        <w:tblLayout w:type="fixed"/>
        <w:tblLook w:firstColumn="1" w:firstRow="1" w:lastColumn="0" w:lastRow="0" w:noHBand="0" w:noVBand="1" w:val="04A0"/>
        <w:tblInd w:w="120" w:type="dxa"/>
      </w:tblPr>
      <w:tblGrid>
        <w:gridCol w:w="850"/>
        <w:gridCol w:w="2500"/>
        <w:gridCol w:w="1600"/>
        <w:gridCol w:w="2300"/>
        <w:gridCol w:w="2110"/>
      </w:tblGrid>
      <w:tr>
        <w:trPr>
          <w:tblHeader w:val="true"/>
        </w:trPr>
        <w:tc>
          <w:tcPr>
            <w:tcW w:type="dxa" w:w="8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年份/类型</w:t>
            </w:r>
          </w:p>
        </w:tc>
        <w:tc>
          <w:tcPr>
            <w:tcW w:type="dxa" w:w="25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论文或软件</w:t>
            </w:r>
          </w:p>
        </w:tc>
        <w:tc>
          <w:tcPr>
            <w:tcW w:type="dxa" w:w="16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期刊/开放性</w:t>
            </w:r>
          </w:p>
        </w:tc>
        <w:tc>
          <w:tcPr>
            <w:tcW w:type="dxa" w:w="23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来源类型/关系</w:t>
            </w:r>
          </w:p>
        </w:tc>
        <w:tc>
          <w:tcPr>
            <w:tcW w:type="dxa" w:w="211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链接</w:t>
            </w:r>
          </w:p>
        </w:tc>
      </w:tr>
      <w:tr>
        <w:trPr>
          <w:cantSplit/>
        </w:trPr>
        <w:tc>
          <w:tcPr>
            <w:tcW w:type="dxa" w:w="850"/>
          </w:tcPr>
          <w:p>
            <w:pPr>
              <w:keepLines/>
              <w:spacing w:after="0" w:line="276" w:lineRule="auto"/>
            </w:pPr>
            <w:r>
              <w:rPr>
                <w:rFonts w:ascii="Calibri" w:hAnsi="Calibri" w:eastAsia="Microsoft YaHei"/>
                <w:color w:val="0B2545"/>
                <w:sz w:val="14"/>
              </w:rPr>
              <w:t>2017</w:t>
            </w:r>
          </w:p>
        </w:tc>
        <w:tc>
          <w:tcPr>
            <w:tcW w:type="dxa" w:w="2500"/>
          </w:tcPr>
          <w:p>
            <w:pPr>
              <w:keepLines/>
              <w:spacing w:after="0" w:line="276" w:lineRule="auto"/>
            </w:pPr>
            <w:r>
              <w:rPr>
                <w:rFonts w:ascii="Calibri" w:hAnsi="Calibri" w:eastAsia="Microsoft YaHei"/>
                <w:color w:val="0B2545"/>
                <w:sz w:val="14"/>
              </w:rPr>
              <w:t>Integration of the state observer RAPTOR in the real-time MARTe framework at RFX-mod</w:t>
            </w:r>
          </w:p>
        </w:tc>
        <w:tc>
          <w:tcPr>
            <w:tcW w:type="dxa" w:w="1600"/>
          </w:tcPr>
          <w:p>
            <w:pPr>
              <w:keepLines/>
              <w:spacing w:after="0" w:line="276" w:lineRule="auto"/>
            </w:pPr>
            <w:r>
              <w:rPr>
                <w:rFonts w:ascii="Calibri" w:hAnsi="Calibri" w:eastAsia="Microsoft YaHei"/>
                <w:color w:val="0B2545"/>
                <w:sz w:val="14"/>
              </w:rPr>
              <w:t>Fusion Engineering and Design</w:t>
            </w:r>
          </w:p>
        </w:tc>
        <w:tc>
          <w:tcPr>
            <w:tcW w:type="dxa" w:w="2300"/>
          </w:tcPr>
          <w:p>
            <w:pPr>
              <w:keepLines/>
              <w:spacing w:after="0" w:line="276" w:lineRule="auto"/>
            </w:pPr>
            <w:r>
              <w:rPr>
                <w:rFonts w:ascii="Calibri" w:hAnsi="Calibri" w:eastAsia="Microsoft YaHei"/>
                <w:color w:val="0B2545"/>
                <w:sz w:val="14"/>
              </w:rPr>
              <w:t>peer-reviewed primary real-time deployment</w:t>
            </w:r>
          </w:p>
        </w:tc>
        <w:tc>
          <w:tcPr>
            <w:tcW w:type="dxa" w:w="2110"/>
          </w:tcPr>
          <w:p>
            <w:pPr>
              <w:keepLines/>
              <w:spacing w:after="0" w:line="276" w:lineRule="auto"/>
            </w:pPr>
            <w:hyperlink r:id="rId213">
              <w:r>
                <w:rPr>
                  <w:rFonts w:ascii="Calibri" w:hAnsi="Calibri" w:eastAsia="Microsoft YaHei"/>
                  <w:color w:val="008C95"/>
                  <w:u w:val="single"/>
                </w:rPr>
                <w:t>打开原始来源 ↗</w:t>
              </w:r>
            </w:hyperlink>
          </w:p>
        </w:tc>
      </w:tr>
      <w:tr>
        <w:trPr>
          <w:cantSplit/>
        </w:trPr>
        <w:tc>
          <w:tcPr>
            <w:tcW w:type="dxa" w:w="850"/>
          </w:tcPr>
          <w:p>
            <w:pPr>
              <w:keepLines/>
              <w:spacing w:after="0" w:line="276" w:lineRule="auto"/>
            </w:pPr>
            <w:r>
              <w:rPr>
                <w:rFonts w:ascii="Calibri" w:hAnsi="Calibri" w:eastAsia="Microsoft YaHei"/>
                <w:color w:val="0B2545"/>
                <w:sz w:val="14"/>
              </w:rPr>
              <w:t>2018</w:t>
            </w:r>
          </w:p>
        </w:tc>
        <w:tc>
          <w:tcPr>
            <w:tcW w:type="dxa" w:w="2500"/>
          </w:tcPr>
          <w:p>
            <w:pPr>
              <w:keepLines/>
              <w:spacing w:after="0" w:line="276" w:lineRule="auto"/>
            </w:pPr>
            <w:r>
              <w:rPr>
                <w:rFonts w:ascii="Calibri" w:hAnsi="Calibri" w:eastAsia="Microsoft YaHei"/>
                <w:color w:val="0B2545"/>
                <w:sz w:val="14"/>
              </w:rPr>
              <w:t>Real-time-capable prediction of temperature and density profiles in a tokamak using RAPTOR and a first-principle-based transport model</w:t>
            </w:r>
          </w:p>
        </w:tc>
        <w:tc>
          <w:tcPr>
            <w:tcW w:type="dxa" w:w="1600"/>
          </w:tcPr>
          <w:p>
            <w:pPr>
              <w:keepLines/>
              <w:spacing w:after="0" w:line="276" w:lineRule="auto"/>
            </w:pPr>
            <w:r>
              <w:rPr>
                <w:rFonts w:ascii="Calibri" w:hAnsi="Calibri" w:eastAsia="Microsoft YaHei"/>
                <w:color w:val="0B2545"/>
                <w:sz w:val="14"/>
              </w:rPr>
              <w:t>Nuclear Fusion</w:t>
            </w:r>
          </w:p>
        </w:tc>
        <w:tc>
          <w:tcPr>
            <w:tcW w:type="dxa" w:w="2300"/>
          </w:tcPr>
          <w:p>
            <w:pPr>
              <w:keepLines/>
              <w:spacing w:after="0" w:line="276" w:lineRule="auto"/>
            </w:pPr>
            <w:r>
              <w:rPr>
                <w:rFonts w:ascii="Calibri" w:hAnsi="Calibri" w:eastAsia="Microsoft YaHei"/>
                <w:color w:val="0B2545"/>
                <w:sz w:val="14"/>
              </w:rPr>
              <w:t>peer-reviewed primary method/device validation</w:t>
            </w:r>
          </w:p>
        </w:tc>
        <w:tc>
          <w:tcPr>
            <w:tcW w:type="dxa" w:w="2110"/>
          </w:tcPr>
          <w:p>
            <w:pPr>
              <w:keepLines/>
              <w:spacing w:after="0" w:line="276" w:lineRule="auto"/>
            </w:pPr>
            <w:hyperlink r:id="rId214">
              <w:r>
                <w:rPr>
                  <w:rFonts w:ascii="Calibri" w:hAnsi="Calibri" w:eastAsia="Microsoft YaHei"/>
                  <w:color w:val="008C95"/>
                  <w:u w:val="single"/>
                </w:rPr>
                <w:t>打开原始来源 ↗</w:t>
              </w:r>
            </w:hyperlink>
          </w:p>
        </w:tc>
      </w:tr>
      <w:tr>
        <w:trPr>
          <w:cantSplit/>
        </w:trPr>
        <w:tc>
          <w:tcPr>
            <w:tcW w:type="dxa" w:w="850"/>
          </w:tcPr>
          <w:p>
            <w:pPr>
              <w:keepLines/>
              <w:spacing w:after="0" w:line="276" w:lineRule="auto"/>
            </w:pPr>
            <w:r>
              <w:rPr>
                <w:rFonts w:ascii="Calibri" w:hAnsi="Calibri" w:eastAsia="Microsoft YaHei"/>
                <w:color w:val="0B2545"/>
                <w:sz w:val="14"/>
              </w:rPr>
              <w:t>软件</w:t>
            </w:r>
          </w:p>
        </w:tc>
        <w:tc>
          <w:tcPr>
            <w:tcW w:type="dxa" w:w="2500"/>
          </w:tcPr>
          <w:p>
            <w:pPr>
              <w:keepLines/>
              <w:spacing w:after="0" w:line="276" w:lineRule="auto"/>
            </w:pPr>
            <w:r>
              <w:rPr>
                <w:rFonts w:ascii="Calibri" w:hAnsi="Calibri" w:eastAsia="Microsoft YaHei"/>
                <w:color w:val="0B2545"/>
                <w:sz w:val="14"/>
              </w:rPr>
              <w:t>RAPTOR production observer</w:t>
            </w:r>
          </w:p>
        </w:tc>
        <w:tc>
          <w:tcPr>
            <w:tcW w:type="dxa" w:w="1600"/>
          </w:tcPr>
          <w:p>
            <w:pPr>
              <w:keepLines/>
              <w:spacing w:after="0" w:line="276" w:lineRule="auto"/>
            </w:pPr>
            <w:r>
              <w:rPr>
                <w:rFonts w:ascii="Calibri" w:hAnsi="Calibri" w:eastAsia="Microsoft YaHei"/>
                <w:color w:val="0B2545"/>
                <w:sz w:val="14"/>
              </w:rPr>
              <w:t>not-public</w:t>
            </w:r>
          </w:p>
        </w:tc>
        <w:tc>
          <w:tcPr>
            <w:tcW w:type="dxa" w:w="2300"/>
          </w:tcPr>
          <w:p>
            <w:pPr>
              <w:keepLines/>
              <w:spacing w:after="0" w:line="276" w:lineRule="auto"/>
            </w:pPr>
            <w:r>
              <w:rPr>
                <w:rFonts w:ascii="Calibri" w:hAnsi="Calibri" w:eastAsia="Microsoft YaHei"/>
                <w:color w:val="0B2545"/>
                <w:sz w:val="14"/>
              </w:rPr>
              <w:t>装置实时实现未发现可核验公共生产仓库。</w:t>
            </w:r>
          </w:p>
        </w:tc>
        <w:tc>
          <w:tcPr>
            <w:tcW w:type="dxa" w:w="2110"/>
          </w:tcPr>
          <w:p>
            <w:pPr>
              <w:keepLines/>
              <w:spacing w:after="0" w:line="276" w:lineRule="auto"/>
            </w:pPr>
            <w:r>
              <w:rPr>
                <w:rFonts w:ascii="Calibri" w:hAnsi="Calibri" w:eastAsia="Microsoft YaHei"/>
                <w:color w:val="0B2545"/>
                <w:sz w:val="14"/>
              </w:rPr>
              <w:t>未公开</w:t>
            </w:r>
          </w:p>
        </w:tc>
      </w:tr>
      <w:tr>
        <w:trPr>
          <w:cantSplit/>
        </w:trPr>
        <w:tc>
          <w:tcPr>
            <w:tcW w:type="dxa" w:w="850"/>
          </w:tcPr>
          <w:p>
            <w:pPr>
              <w:keepLines/>
              <w:spacing w:after="0" w:line="276" w:lineRule="auto"/>
            </w:pPr>
            <w:r>
              <w:rPr>
                <w:rFonts w:ascii="Calibri" w:hAnsi="Calibri" w:eastAsia="Microsoft YaHei"/>
                <w:color w:val="0B2545"/>
                <w:sz w:val="14"/>
              </w:rPr>
              <w:t>软件</w:t>
            </w:r>
          </w:p>
        </w:tc>
        <w:tc>
          <w:tcPr>
            <w:tcW w:type="dxa" w:w="2500"/>
          </w:tcPr>
          <w:p>
            <w:pPr>
              <w:keepLines/>
              <w:spacing w:after="0" w:line="276" w:lineRule="auto"/>
            </w:pPr>
            <w:r>
              <w:rPr>
                <w:rFonts w:ascii="Calibri" w:hAnsi="Calibri" w:eastAsia="Microsoft YaHei"/>
                <w:color w:val="0B2545"/>
                <w:sz w:val="14"/>
              </w:rPr>
              <w:t>MARTe2</w:t>
            </w:r>
          </w:p>
        </w:tc>
        <w:tc>
          <w:tcPr>
            <w:tcW w:type="dxa" w:w="1600"/>
          </w:tcPr>
          <w:p>
            <w:pPr>
              <w:keepLines/>
              <w:spacing w:after="0" w:line="276" w:lineRule="auto"/>
            </w:pPr>
            <w:r>
              <w:rPr>
                <w:rFonts w:ascii="Calibri" w:hAnsi="Calibri" w:eastAsia="Microsoft YaHei"/>
                <w:color w:val="0B2545"/>
                <w:sz w:val="14"/>
              </w:rPr>
              <w:t>official-enabling</w:t>
            </w:r>
          </w:p>
        </w:tc>
        <w:tc>
          <w:tcPr>
            <w:tcW w:type="dxa" w:w="2300"/>
          </w:tcPr>
          <w:p>
            <w:pPr>
              <w:keepLines/>
              <w:spacing w:after="0" w:line="276" w:lineRule="auto"/>
            </w:pPr>
            <w:r>
              <w:rPr>
                <w:rFonts w:ascii="Calibri" w:hAnsi="Calibri" w:eastAsia="Microsoft YaHei"/>
                <w:color w:val="0B2545"/>
                <w:sz w:val="14"/>
              </w:rPr>
              <w:t>RFX-mod 实时宿主框架，不是 RAPTOR 物理观测器。</w:t>
            </w:r>
          </w:p>
        </w:tc>
        <w:tc>
          <w:tcPr>
            <w:tcW w:type="dxa" w:w="2110"/>
          </w:tcPr>
          <w:p>
            <w:pPr>
              <w:keepLines/>
              <w:spacing w:after="0" w:line="276" w:lineRule="auto"/>
            </w:pPr>
            <w:hyperlink r:id="rId31">
              <w:r>
                <w:rPr>
                  <w:rFonts w:ascii="Calibri" w:hAnsi="Calibri" w:eastAsia="Microsoft YaHei"/>
                  <w:color w:val="008C95"/>
                  <w:u w:val="single"/>
                </w:rPr>
                <w:t>打开原始来源 ↗</w:t>
              </w:r>
            </w:hyperlink>
          </w:p>
        </w:tc>
      </w:tr>
    </w:tbl>
    <w:p>
      <w:pPr>
        <w:spacing w:before="0" w:after="60"/>
      </w:pPr>
    </w:p>
    <w:p>
      <w:pPr>
        <w:pStyle w:val="Heading3"/>
        <w:keepNext/>
      </w:pPr>
      <w:r>
        <w:t>DG11.02  FRNN 跨装置破裂风险预测</w:t>
      </w:r>
    </w:p>
    <w:p>
      <w:pPr>
        <w:keepNext/>
        <w:spacing w:after="80"/>
      </w:pPr>
      <w:r>
        <w:rPr>
          <w:rFonts w:ascii="Calibri" w:hAnsi="Calibri" w:eastAsia="Microsoft YaHei"/>
          <w:i/>
          <w:color w:val="566573"/>
          <w:sz w:val="18"/>
        </w:rPr>
        <w:t>Fusion Recurrent Neural Network for Cross-Machine Disruption Risk Prediction</w:t>
      </w:r>
    </w:p>
    <w:tbl>
      <w:tblPr>
        <w:tblStyle w:val="TableGrid"/>
        <w:tblW w:type="dxa" w:w="9360"/>
        <w:jc w:val="left"/>
        <w:tblLayout w:type="fixed"/>
        <w:tblLook w:firstColumn="1" w:firstRow="1" w:lastColumn="0" w:lastRow="0" w:noHBand="0" w:noVBand="1" w:val="04A0"/>
        <w:tblInd w:w="120" w:type="dxa"/>
      </w:tblPr>
      <w:tblGrid>
        <w:gridCol w:w="1200"/>
        <w:gridCol w:w="750"/>
        <w:gridCol w:w="750"/>
        <w:gridCol w:w="2100"/>
        <w:gridCol w:w="4560"/>
      </w:tblGrid>
      <w:tr>
        <w:trPr>
          <w:tblHeader w:val="true"/>
        </w:trPr>
        <w:tc>
          <w:tcPr>
            <w:tcW w:type="dxa" w:w="12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工作 ID</w:t>
            </w:r>
          </w:p>
        </w:tc>
        <w:tc>
          <w:tcPr>
            <w:tcW w:type="dxa" w:w="7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证据</w:t>
            </w:r>
          </w:p>
        </w:tc>
        <w:tc>
          <w:tcPr>
            <w:tcW w:type="dxa" w:w="7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部署</w:t>
            </w:r>
          </w:p>
        </w:tc>
        <w:tc>
          <w:tcPr>
            <w:tcW w:type="dxa" w:w="21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技术族</w:t>
            </w:r>
          </w:p>
        </w:tc>
        <w:tc>
          <w:tcPr>
            <w:tcW w:type="dxa" w:w="456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装置</w:t>
            </w:r>
          </w:p>
        </w:tc>
      </w:tr>
      <w:tr>
        <w:trPr>
          <w:cantSplit/>
        </w:trPr>
        <w:tc>
          <w:tcPr>
            <w:tcW w:type="dxa" w:w="1200"/>
          </w:tcPr>
          <w:p>
            <w:pPr>
              <w:keepLines/>
              <w:spacing w:after="0" w:line="276" w:lineRule="auto"/>
            </w:pPr>
            <w:r>
              <w:rPr>
                <w:rFonts w:ascii="Calibri" w:hAnsi="Calibri" w:eastAsia="Microsoft YaHei"/>
                <w:color w:val="0B2545"/>
                <w:sz w:val="15"/>
              </w:rPr>
              <w:t>DSI-032</w:t>
            </w:r>
          </w:p>
        </w:tc>
        <w:tc>
          <w:tcPr>
            <w:tcW w:type="dxa" w:w="750"/>
          </w:tcPr>
          <w:p>
            <w:pPr>
              <w:keepLines/>
              <w:spacing w:after="0" w:line="276" w:lineRule="auto"/>
            </w:pPr>
            <w:r>
              <w:rPr>
                <w:rFonts w:ascii="Calibri" w:hAnsi="Calibri" w:eastAsia="Microsoft YaHei"/>
                <w:color w:val="0B2545"/>
                <w:sz w:val="15"/>
              </w:rPr>
              <w:t>E3</w:t>
            </w:r>
          </w:p>
        </w:tc>
        <w:tc>
          <w:tcPr>
            <w:tcW w:type="dxa" w:w="750"/>
          </w:tcPr>
          <w:p>
            <w:pPr>
              <w:keepLines/>
              <w:spacing w:after="0" w:line="276" w:lineRule="auto"/>
            </w:pPr>
            <w:r>
              <w:rPr>
                <w:rFonts w:ascii="Calibri" w:hAnsi="Calibri" w:eastAsia="Microsoft YaHei"/>
                <w:color w:val="0B2545"/>
                <w:sz w:val="15"/>
              </w:rPr>
              <w:t>D2</w:t>
            </w:r>
          </w:p>
        </w:tc>
        <w:tc>
          <w:tcPr>
            <w:tcW w:type="dxa" w:w="2100"/>
          </w:tcPr>
          <w:p>
            <w:pPr>
              <w:keepLines/>
              <w:spacing w:after="0" w:line="276" w:lineRule="auto"/>
            </w:pPr>
            <w:r>
              <w:rPr>
                <w:rFonts w:ascii="Calibri" w:hAnsi="Calibri" w:eastAsia="Microsoft YaHei"/>
                <w:color w:val="0B2545"/>
                <w:sz w:val="15"/>
              </w:rPr>
              <w:t>COMPUTATIONAL</w:t>
            </w:r>
          </w:p>
        </w:tc>
        <w:tc>
          <w:tcPr>
            <w:tcW w:type="dxa" w:w="4560"/>
          </w:tcPr>
          <w:p>
            <w:pPr>
              <w:keepLines/>
              <w:spacing w:after="0" w:line="276" w:lineRule="auto"/>
            </w:pPr>
            <w:r>
              <w:rPr>
                <w:rFonts w:ascii="Calibri" w:hAnsi="Calibri" w:eastAsia="Microsoft YaHei"/>
                <w:color w:val="0B2545"/>
                <w:sz w:val="15"/>
              </w:rPr>
              <w:t>DIII-D；JET</w:t>
            </w:r>
          </w:p>
        </w:tc>
      </w:tr>
    </w:tbl>
    <w:p>
      <w:pPr>
        <w:spacing w:before="0" w:after="60"/>
      </w:pPr>
    </w:p>
    <w:p>
      <w:pPr>
        <w:widowControl/>
      </w:pPr>
      <w:r>
        <w:rPr>
          <w:rFonts w:ascii="Calibri" w:hAnsi="Calibri" w:eastAsia="Microsoft YaHei"/>
          <w:b/>
          <w:color w:val="1F4D78"/>
        </w:rPr>
        <w:t>解决问题：</w:t>
      </w:r>
      <w:r>
        <w:rPr>
          <w:rFonts w:ascii="Calibri" w:hAnsi="Calibri" w:eastAsia="Microsoft YaHei"/>
        </w:rPr>
        <w:t>破裂前兆多变量、时间尺度不同且装置分布漂移明显；手工阈值难以兼顾提前量与误报率。</w:t>
      </w:r>
    </w:p>
    <w:p>
      <w:pPr>
        <w:widowControl/>
      </w:pPr>
      <w:r>
        <w:rPr>
          <w:rFonts w:ascii="Calibri" w:hAnsi="Calibri" w:eastAsia="Microsoft YaHei"/>
          <w:b/>
          <w:color w:val="1F4D78"/>
        </w:rPr>
        <w:t>测量原理：</w:t>
      </w:r>
      <w:r>
        <w:rPr>
          <w:rFonts w:ascii="Calibri" w:hAnsi="Calibri" w:eastAsia="Microsoft YaHei"/>
        </w:rPr>
        <w:t>将磁、辐射、密度、控制等时间序列输入循环神经网络，输出随时间变化的破裂风险分数。</w:t>
      </w:r>
    </w:p>
    <w:p>
      <w:pPr>
        <w:widowControl/>
      </w:pPr>
      <w:r>
        <w:rPr>
          <w:rFonts w:ascii="Calibri" w:hAnsi="Calibri" w:eastAsia="Microsoft YaHei"/>
          <w:b/>
          <w:color w:val="1F4D78"/>
        </w:rPr>
        <w:t>测量产品：</w:t>
      </w:r>
      <w:r>
        <w:rPr>
          <w:rFonts w:ascii="Calibri" w:hAnsi="Calibri" w:eastAsia="Microsoft YaHei"/>
        </w:rPr>
        <w:t>disruption probability/risk score；alarm time；feature trajectories</w:t>
      </w:r>
    </w:p>
    <w:p>
      <w:pPr>
        <w:widowControl/>
      </w:pPr>
      <w:r>
        <w:rPr>
          <w:rFonts w:ascii="Calibri" w:hAnsi="Calibri" w:eastAsia="Microsoft YaHei"/>
          <w:b/>
          <w:color w:val="1F4D78"/>
        </w:rPr>
        <w:t>时空分辨与覆盖：</w:t>
      </w:r>
      <w:r>
        <w:rPr>
          <w:rFonts w:ascii="Calibri" w:hAnsi="Calibri" w:eastAsia="Microsoft YaHei"/>
        </w:rPr>
        <w:t>时间：因装置、采集和分析链而异；原始来源未给出统一数值。；空间：由视线、几何和反演设定；原始来源未给出统一数值。</w:t>
      </w:r>
    </w:p>
    <w:p>
      <w:pPr>
        <w:widowControl/>
      </w:pPr>
      <w:r>
        <w:rPr>
          <w:rFonts w:ascii="Calibri" w:hAnsi="Calibri" w:eastAsia="Microsoft YaHei"/>
          <w:b/>
          <w:color w:val="1F4D78"/>
        </w:rPr>
        <w:t>仪器与传感器：</w:t>
      </w:r>
      <w:r>
        <w:rPr>
          <w:rFonts w:ascii="Calibri" w:hAnsi="Calibri" w:eastAsia="Microsoft YaHei"/>
        </w:rPr>
        <w:t>GPU training cluster；candidate CPU/GPU inference target</w:t>
      </w:r>
    </w:p>
    <w:p>
      <w:pPr>
        <w:widowControl/>
      </w:pPr>
      <w:r>
        <w:rPr>
          <w:rFonts w:ascii="Calibri" w:hAnsi="Calibri" w:eastAsia="Microsoft YaHei"/>
          <w:b/>
          <w:color w:val="1F4D78"/>
        </w:rPr>
        <w:t>标定与质量：</w:t>
      </w:r>
      <w:r>
        <w:rPr>
          <w:rFonts w:ascii="Calibri" w:hAnsi="Calibri" w:eastAsia="Microsoft YaHei"/>
        </w:rPr>
        <w:t>需统一信号定义、采样、缺失值和装置间尺度；概率分数需按运行域重新校准。</w:t>
      </w:r>
    </w:p>
    <w:p>
      <w:pPr>
        <w:widowControl/>
      </w:pPr>
      <w:r>
        <w:rPr>
          <w:rFonts w:ascii="Calibri" w:hAnsi="Calibri" w:eastAsia="Microsoft YaHei"/>
          <w:b/>
          <w:color w:val="1F4D78"/>
        </w:rPr>
        <w:t>反演与分析：</w:t>
      </w:r>
      <w:r>
        <w:rPr>
          <w:rFonts w:ascii="Calibri" w:hAnsi="Calibri" w:eastAsia="Microsoft YaHei"/>
        </w:rPr>
        <w:t>sequence classification；transfer learning；early warning</w:t>
      </w:r>
    </w:p>
    <w:p>
      <w:pPr>
        <w:widowControl/>
      </w:pPr>
      <w:r>
        <w:rPr>
          <w:rFonts w:ascii="Calibri" w:hAnsi="Calibri" w:eastAsia="Microsoft YaHei"/>
          <w:b/>
          <w:color w:val="1F4D78"/>
        </w:rPr>
        <w:t>验证与应用：</w:t>
      </w:r>
      <w:r>
        <w:rPr>
          <w:rFonts w:ascii="Calibri" w:hAnsi="Calibri" w:eastAsia="Microsoft YaHei"/>
        </w:rPr>
        <w:t>Nature 论文在 DIII-D/JET 历史数据上评估跨装置预测，PPPL 团队公开了研究代码；该来源没有证明 FRNN 已作为装置 PCS 的常规实时闭环服务。</w:t>
      </w:r>
    </w:p>
    <w:p>
      <w:pPr>
        <w:widowControl/>
      </w:pPr>
      <w:r>
        <w:rPr>
          <w:rFonts w:ascii="Calibri" w:hAnsi="Calibri" w:eastAsia="Microsoft YaHei"/>
          <w:b/>
          <w:color w:val="1F4D78"/>
        </w:rPr>
        <w:t>局限与边界：</w:t>
      </w:r>
      <w:r>
        <w:rPr>
          <w:rFonts w:ascii="Calibri" w:hAnsi="Calibri" w:eastAsia="Microsoft YaHei"/>
        </w:rPr>
        <w:t>历史数据标签、运行策略变化和稀有场景造成分布漂移；高 AUC 不等于保护可用性，未证明 D5。</w:t>
      </w:r>
    </w:p>
    <w:tbl>
      <w:tblPr>
        <w:tblStyle w:val="TableGrid"/>
        <w:tblW w:type="dxa" w:w="9360"/>
        <w:jc w:val="left"/>
        <w:tblLayout w:type="fixed"/>
        <w:tblLook w:firstColumn="1" w:firstRow="1" w:lastColumn="0" w:lastRow="0" w:noHBand="0" w:noVBand="1" w:val="04A0"/>
        <w:tblInd w:w="120" w:type="dxa"/>
      </w:tblPr>
      <w:tblGrid>
        <w:gridCol w:w="9360"/>
      </w:tblGrid>
      <w:tr>
        <w:trPr>
          <w:cantSplit/>
        </w:trPr>
        <w:tc>
          <w:tcPr>
            <w:tcW w:type="dxa" w:w="9360"/>
            <w:tcMar>
              <w:top w:w="80" w:type="dxa"/>
              <w:bottom w:w="80" w:type="dxa"/>
              <w:start w:w="120" w:type="dxa"/>
              <w:end w:w="120" w:type="dxa"/>
            </w:tcMar>
            <w:vAlign w:val="center"/>
            <w:shd w:fill="EEF7F7"/>
          </w:tcPr>
          <w:p>
            <w:pPr>
              <w:keepNext/>
              <w:keepLines/>
              <w:spacing w:after="40"/>
            </w:pPr>
            <w:r>
              <w:rPr>
                <w:rFonts w:ascii="Calibri" w:hAnsi="Calibri" w:eastAsia="Microsoft YaHei"/>
                <w:b/>
                <w:color w:val="008C95"/>
                <w:sz w:val="17"/>
              </w:rPr>
              <w:t>DIGITAL-TWIN RELEVANCE</w:t>
            </w:r>
          </w:p>
          <w:p>
            <w:pPr>
              <w:spacing w:after="0"/>
            </w:pPr>
            <w:r>
              <w:rPr>
                <w:rFonts w:ascii="Calibri" w:hAnsi="Calibri" w:eastAsia="Microsoft YaHei"/>
                <w:color w:val="0B2545"/>
                <w:sz w:val="20"/>
              </w:rPr>
              <w:t>可作为孪生风险层，但必须由状态估计、OOD 检测、校准曲线和可验证安全门约束。</w:t>
            </w:r>
          </w:p>
        </w:tc>
      </w:tr>
    </w:tbl>
    <w:p>
      <w:pPr>
        <w:spacing w:after="40"/>
      </w:pPr>
    </w:p>
    <w:tbl>
      <w:tblPr>
        <w:tblStyle w:val="TableGrid"/>
        <w:tblW w:type="dxa" w:w="9360"/>
        <w:jc w:val="left"/>
        <w:tblLayout w:type="fixed"/>
        <w:tblLook w:firstColumn="1" w:firstRow="1" w:lastColumn="0" w:lastRow="0" w:noHBand="0" w:noVBand="1" w:val="04A0"/>
        <w:tblInd w:w="120" w:type="dxa"/>
      </w:tblPr>
      <w:tblGrid>
        <w:gridCol w:w="850"/>
        <w:gridCol w:w="2500"/>
        <w:gridCol w:w="1600"/>
        <w:gridCol w:w="2300"/>
        <w:gridCol w:w="2110"/>
      </w:tblGrid>
      <w:tr>
        <w:trPr>
          <w:tblHeader w:val="true"/>
        </w:trPr>
        <w:tc>
          <w:tcPr>
            <w:tcW w:type="dxa" w:w="8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年份/类型</w:t>
            </w:r>
          </w:p>
        </w:tc>
        <w:tc>
          <w:tcPr>
            <w:tcW w:type="dxa" w:w="25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论文或软件</w:t>
            </w:r>
          </w:p>
        </w:tc>
        <w:tc>
          <w:tcPr>
            <w:tcW w:type="dxa" w:w="16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期刊/开放性</w:t>
            </w:r>
          </w:p>
        </w:tc>
        <w:tc>
          <w:tcPr>
            <w:tcW w:type="dxa" w:w="23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来源类型/关系</w:t>
            </w:r>
          </w:p>
        </w:tc>
        <w:tc>
          <w:tcPr>
            <w:tcW w:type="dxa" w:w="211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链接</w:t>
            </w:r>
          </w:p>
        </w:tc>
      </w:tr>
      <w:tr>
        <w:trPr>
          <w:cantSplit/>
        </w:trPr>
        <w:tc>
          <w:tcPr>
            <w:tcW w:type="dxa" w:w="850"/>
          </w:tcPr>
          <w:p>
            <w:pPr>
              <w:keepLines/>
              <w:spacing w:after="0" w:line="276" w:lineRule="auto"/>
            </w:pPr>
            <w:r>
              <w:rPr>
                <w:rFonts w:ascii="Calibri" w:hAnsi="Calibri" w:eastAsia="Microsoft YaHei"/>
                <w:color w:val="0B2545"/>
                <w:sz w:val="14"/>
              </w:rPr>
              <w:t>2019</w:t>
            </w:r>
          </w:p>
        </w:tc>
        <w:tc>
          <w:tcPr>
            <w:tcW w:type="dxa" w:w="2500"/>
          </w:tcPr>
          <w:p>
            <w:pPr>
              <w:keepLines/>
              <w:spacing w:after="0" w:line="276" w:lineRule="auto"/>
            </w:pPr>
            <w:r>
              <w:rPr>
                <w:rFonts w:ascii="Calibri" w:hAnsi="Calibri" w:eastAsia="Microsoft YaHei"/>
                <w:color w:val="0B2545"/>
                <w:sz w:val="14"/>
              </w:rPr>
              <w:t>Predicting disruptive instabilities in controlled fusion plasmas through deep learning</w:t>
            </w:r>
          </w:p>
        </w:tc>
        <w:tc>
          <w:tcPr>
            <w:tcW w:type="dxa" w:w="1600"/>
          </w:tcPr>
          <w:p>
            <w:pPr>
              <w:keepLines/>
              <w:spacing w:after="0" w:line="276" w:lineRule="auto"/>
            </w:pPr>
            <w:r>
              <w:rPr>
                <w:rFonts w:ascii="Calibri" w:hAnsi="Calibri" w:eastAsia="Microsoft YaHei"/>
                <w:color w:val="0B2545"/>
                <w:sz w:val="14"/>
              </w:rPr>
              <w:t>Nature</w:t>
            </w:r>
          </w:p>
        </w:tc>
        <w:tc>
          <w:tcPr>
            <w:tcW w:type="dxa" w:w="2300"/>
          </w:tcPr>
          <w:p>
            <w:pPr>
              <w:keepLines/>
              <w:spacing w:after="0" w:line="276" w:lineRule="auto"/>
            </w:pPr>
            <w:r>
              <w:rPr>
                <w:rFonts w:ascii="Calibri" w:hAnsi="Calibri" w:eastAsia="Microsoft YaHei"/>
                <w:color w:val="0B2545"/>
                <w:sz w:val="14"/>
              </w:rPr>
              <w:t>peer-reviewed primary multi-machine validation</w:t>
            </w:r>
          </w:p>
        </w:tc>
        <w:tc>
          <w:tcPr>
            <w:tcW w:type="dxa" w:w="2110"/>
          </w:tcPr>
          <w:p>
            <w:pPr>
              <w:keepLines/>
              <w:spacing w:after="0" w:line="276" w:lineRule="auto"/>
            </w:pPr>
            <w:hyperlink r:id="rId215">
              <w:r>
                <w:rPr>
                  <w:rFonts w:ascii="Calibri" w:hAnsi="Calibri" w:eastAsia="Microsoft YaHei"/>
                  <w:color w:val="008C95"/>
                  <w:u w:val="single"/>
                </w:rPr>
                <w:t>打开原始来源 ↗</w:t>
              </w:r>
            </w:hyperlink>
          </w:p>
        </w:tc>
      </w:tr>
      <w:tr>
        <w:trPr>
          <w:cantSplit/>
        </w:trPr>
        <w:tc>
          <w:tcPr>
            <w:tcW w:type="dxa" w:w="850"/>
          </w:tcPr>
          <w:p>
            <w:pPr>
              <w:keepLines/>
              <w:spacing w:after="0" w:line="276" w:lineRule="auto"/>
            </w:pPr>
            <w:r>
              <w:rPr>
                <w:rFonts w:ascii="Calibri" w:hAnsi="Calibri" w:eastAsia="Microsoft YaHei"/>
                <w:color w:val="0B2545"/>
                <w:sz w:val="14"/>
              </w:rPr>
              <w:t>软件</w:t>
            </w:r>
          </w:p>
        </w:tc>
        <w:tc>
          <w:tcPr>
            <w:tcW w:type="dxa" w:w="2500"/>
          </w:tcPr>
          <w:p>
            <w:pPr>
              <w:keepLines/>
              <w:spacing w:after="0" w:line="276" w:lineRule="auto"/>
            </w:pPr>
            <w:r>
              <w:rPr>
                <w:rFonts w:ascii="Calibri" w:hAnsi="Calibri" w:eastAsia="Microsoft YaHei"/>
                <w:color w:val="0B2545"/>
                <w:sz w:val="14"/>
              </w:rPr>
              <w:t>FRNN plasma-python</w:t>
            </w:r>
          </w:p>
        </w:tc>
        <w:tc>
          <w:tcPr>
            <w:tcW w:type="dxa" w:w="1600"/>
          </w:tcPr>
          <w:p>
            <w:pPr>
              <w:keepLines/>
              <w:spacing w:after="0" w:line="276" w:lineRule="auto"/>
            </w:pPr>
            <w:r>
              <w:rPr>
                <w:rFonts w:ascii="Calibri" w:hAnsi="Calibri" w:eastAsia="Microsoft YaHei"/>
                <w:color w:val="0B2545"/>
                <w:sz w:val="14"/>
              </w:rPr>
              <w:t>official-direct</w:t>
            </w:r>
          </w:p>
        </w:tc>
        <w:tc>
          <w:tcPr>
            <w:tcW w:type="dxa" w:w="2300"/>
          </w:tcPr>
          <w:p>
            <w:pPr>
              <w:keepLines/>
              <w:spacing w:after="0" w:line="276" w:lineRule="auto"/>
            </w:pPr>
            <w:r>
              <w:rPr>
                <w:rFonts w:ascii="Calibri" w:hAnsi="Calibri" w:eastAsia="Microsoft YaHei"/>
                <w:color w:val="0B2545"/>
                <w:sz w:val="14"/>
              </w:rPr>
              <w:t>论文团队维护的 plasma-python 研究仓库；软件介绍页只作出处线索，不作为代码链接。</w:t>
            </w:r>
          </w:p>
        </w:tc>
        <w:tc>
          <w:tcPr>
            <w:tcW w:type="dxa" w:w="2110"/>
          </w:tcPr>
          <w:p>
            <w:pPr>
              <w:keepLines/>
              <w:spacing w:after="0" w:line="276" w:lineRule="auto"/>
            </w:pPr>
            <w:hyperlink r:id="rId216">
              <w:r>
                <w:rPr>
                  <w:rFonts w:ascii="Calibri" w:hAnsi="Calibri" w:eastAsia="Microsoft YaHei"/>
                  <w:color w:val="008C95"/>
                  <w:u w:val="single"/>
                </w:rPr>
                <w:t>打开原始来源 ↗</w:t>
              </w:r>
            </w:hyperlink>
          </w:p>
        </w:tc>
      </w:tr>
    </w:tbl>
    <w:p>
      <w:pPr>
        <w:spacing w:before="0" w:after="60"/>
      </w:pPr>
    </w:p>
    <w:p>
      <w:pPr>
        <w:pStyle w:val="Heading3"/>
        <w:keepNext/>
      </w:pPr>
      <w:r>
        <w:t>DG11.03  DisruptionPy 多装置破裂特征提取与基准数据流水线</w:t>
      </w:r>
    </w:p>
    <w:p>
      <w:pPr>
        <w:keepNext/>
        <w:spacing w:after="80"/>
      </w:pPr>
      <w:r>
        <w:rPr>
          <w:rFonts w:ascii="Calibri" w:hAnsi="Calibri" w:eastAsia="Microsoft YaHei"/>
          <w:i/>
          <w:color w:val="566573"/>
          <w:sz w:val="18"/>
        </w:rPr>
        <w:t>DisruptionPy Multi-Machine Disruption Data and Feature Pipeline</w:t>
      </w:r>
    </w:p>
    <w:tbl>
      <w:tblPr>
        <w:tblStyle w:val="TableGrid"/>
        <w:tblW w:type="dxa" w:w="9360"/>
        <w:jc w:val="left"/>
        <w:tblLayout w:type="fixed"/>
        <w:tblLook w:firstColumn="1" w:firstRow="1" w:lastColumn="0" w:lastRow="0" w:noHBand="0" w:noVBand="1" w:val="04A0"/>
        <w:tblInd w:w="120" w:type="dxa"/>
      </w:tblPr>
      <w:tblGrid>
        <w:gridCol w:w="1200"/>
        <w:gridCol w:w="750"/>
        <w:gridCol w:w="750"/>
        <w:gridCol w:w="2100"/>
        <w:gridCol w:w="4560"/>
      </w:tblGrid>
      <w:tr>
        <w:trPr>
          <w:tblHeader w:val="true"/>
        </w:trPr>
        <w:tc>
          <w:tcPr>
            <w:tcW w:type="dxa" w:w="12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工作 ID</w:t>
            </w:r>
          </w:p>
        </w:tc>
        <w:tc>
          <w:tcPr>
            <w:tcW w:type="dxa" w:w="7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证据</w:t>
            </w:r>
          </w:p>
        </w:tc>
        <w:tc>
          <w:tcPr>
            <w:tcW w:type="dxa" w:w="7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部署</w:t>
            </w:r>
          </w:p>
        </w:tc>
        <w:tc>
          <w:tcPr>
            <w:tcW w:type="dxa" w:w="21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技术族</w:t>
            </w:r>
          </w:p>
        </w:tc>
        <w:tc>
          <w:tcPr>
            <w:tcW w:type="dxa" w:w="456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装置</w:t>
            </w:r>
          </w:p>
        </w:tc>
      </w:tr>
      <w:tr>
        <w:trPr>
          <w:cantSplit/>
        </w:trPr>
        <w:tc>
          <w:tcPr>
            <w:tcW w:type="dxa" w:w="1200"/>
          </w:tcPr>
          <w:p>
            <w:pPr>
              <w:keepLines/>
              <w:spacing w:after="0" w:line="276" w:lineRule="auto"/>
            </w:pPr>
            <w:r>
              <w:rPr>
                <w:rFonts w:ascii="Calibri" w:hAnsi="Calibri" w:eastAsia="Microsoft YaHei"/>
                <w:color w:val="0B2545"/>
                <w:sz w:val="15"/>
              </w:rPr>
              <w:t>DSI-033</w:t>
            </w:r>
          </w:p>
        </w:tc>
        <w:tc>
          <w:tcPr>
            <w:tcW w:type="dxa" w:w="750"/>
          </w:tcPr>
          <w:p>
            <w:pPr>
              <w:keepLines/>
              <w:spacing w:after="0" w:line="276" w:lineRule="auto"/>
            </w:pPr>
            <w:r>
              <w:rPr>
                <w:rFonts w:ascii="Calibri" w:hAnsi="Calibri" w:eastAsia="Microsoft YaHei"/>
                <w:color w:val="0B2545"/>
                <w:sz w:val="15"/>
              </w:rPr>
              <w:t>E3</w:t>
            </w:r>
          </w:p>
        </w:tc>
        <w:tc>
          <w:tcPr>
            <w:tcW w:type="dxa" w:w="750"/>
          </w:tcPr>
          <w:p>
            <w:pPr>
              <w:keepLines/>
              <w:spacing w:after="0" w:line="276" w:lineRule="auto"/>
            </w:pPr>
            <w:r>
              <w:rPr>
                <w:rFonts w:ascii="Calibri" w:hAnsi="Calibri" w:eastAsia="Microsoft YaHei"/>
                <w:color w:val="0B2545"/>
                <w:sz w:val="15"/>
              </w:rPr>
              <w:t>D2</w:t>
            </w:r>
          </w:p>
        </w:tc>
        <w:tc>
          <w:tcPr>
            <w:tcW w:type="dxa" w:w="2100"/>
          </w:tcPr>
          <w:p>
            <w:pPr>
              <w:keepLines/>
              <w:spacing w:after="0" w:line="276" w:lineRule="auto"/>
            </w:pPr>
            <w:r>
              <w:rPr>
                <w:rFonts w:ascii="Calibri" w:hAnsi="Calibri" w:eastAsia="Microsoft YaHei"/>
                <w:color w:val="0B2545"/>
                <w:sz w:val="15"/>
              </w:rPr>
              <w:t>COMPUTATIONAL</w:t>
            </w:r>
          </w:p>
        </w:tc>
        <w:tc>
          <w:tcPr>
            <w:tcW w:type="dxa" w:w="4560"/>
          </w:tcPr>
          <w:p>
            <w:pPr>
              <w:keepLines/>
              <w:spacing w:after="0" w:line="276" w:lineRule="auto"/>
            </w:pPr>
            <w:r>
              <w:rPr>
                <w:rFonts w:ascii="Calibri" w:hAnsi="Calibri" w:eastAsia="Microsoft YaHei"/>
                <w:color w:val="0B2545"/>
                <w:sz w:val="15"/>
              </w:rPr>
              <w:t>Alcator C-Mod；DIII-D；EAST；HBT-EP；MAST</w:t>
            </w:r>
          </w:p>
        </w:tc>
      </w:tr>
    </w:tbl>
    <w:p>
      <w:pPr>
        <w:spacing w:before="0" w:after="60"/>
      </w:pPr>
    </w:p>
    <w:p>
      <w:pPr>
        <w:widowControl/>
      </w:pPr>
      <w:r>
        <w:rPr>
          <w:rFonts w:ascii="Calibri" w:hAnsi="Calibri" w:eastAsia="Microsoft YaHei"/>
          <w:b/>
          <w:color w:val="1F4D78"/>
        </w:rPr>
        <w:t>解决问题：</w:t>
      </w:r>
      <w:r>
        <w:rPr>
          <w:rFonts w:ascii="Calibri" w:hAnsi="Calibri" w:eastAsia="Microsoft YaHei"/>
        </w:rPr>
        <w:t>破裂 ML 研究经常因装置专用脚本、不同标签、泄漏特征和不可追溯预处理而无法比较。</w:t>
      </w:r>
    </w:p>
    <w:p>
      <w:pPr>
        <w:widowControl/>
      </w:pPr>
      <w:r>
        <w:rPr>
          <w:rFonts w:ascii="Calibri" w:hAnsi="Calibri" w:eastAsia="Microsoft YaHei"/>
          <w:b/>
          <w:color w:val="1F4D78"/>
        </w:rPr>
        <w:t>测量原理：</w:t>
      </w:r>
      <w:r>
        <w:rPr>
          <w:rFonts w:ascii="Calibri" w:hAnsi="Calibri" w:eastAsia="Microsoft YaHei"/>
        </w:rPr>
        <w:t>从装置档案按统一配置抽取信号和物理特征，保留时间轴、缺失状态和装置适配逻辑，生成可复现训练数据。</w:t>
      </w:r>
    </w:p>
    <w:p>
      <w:pPr>
        <w:widowControl/>
      </w:pPr>
      <w:r>
        <w:rPr>
          <w:rFonts w:ascii="Calibri" w:hAnsi="Calibri" w:eastAsia="Microsoft YaHei"/>
          <w:b/>
          <w:color w:val="1F4D78"/>
        </w:rPr>
        <w:t>测量产品：</w:t>
      </w:r>
      <w:r>
        <w:rPr>
          <w:rFonts w:ascii="Calibri" w:hAnsi="Calibri" w:eastAsia="Microsoft YaHei"/>
        </w:rPr>
        <w:t>raw signals；engineered physics features；disruption labels；data-quality flags</w:t>
      </w:r>
    </w:p>
    <w:p>
      <w:pPr>
        <w:widowControl/>
      </w:pPr>
      <w:r>
        <w:rPr>
          <w:rFonts w:ascii="Calibri" w:hAnsi="Calibri" w:eastAsia="Microsoft YaHei"/>
          <w:b/>
          <w:color w:val="1F4D78"/>
        </w:rPr>
        <w:t>时空分辨与覆盖：</w:t>
      </w:r>
      <w:r>
        <w:rPr>
          <w:rFonts w:ascii="Calibri" w:hAnsi="Calibri" w:eastAsia="Microsoft YaHei"/>
        </w:rPr>
        <w:t>时间：因装置、采集和分析链而异；原始来源未给出统一数值。；空间：由视线、几何和反演设定；原始来源未给出统一数值。</w:t>
      </w:r>
    </w:p>
    <w:p>
      <w:pPr>
        <w:widowControl/>
      </w:pPr>
      <w:r>
        <w:rPr>
          <w:rFonts w:ascii="Calibri" w:hAnsi="Calibri" w:eastAsia="Microsoft YaHei"/>
          <w:b/>
          <w:color w:val="1F4D78"/>
        </w:rPr>
        <w:t>仪器与传感器：</w:t>
      </w:r>
      <w:r>
        <w:rPr>
          <w:rFonts w:ascii="Calibri" w:hAnsi="Calibri" w:eastAsia="Microsoft YaHei"/>
        </w:rPr>
        <w:t>MDSplus servers；analysis compute</w:t>
      </w:r>
    </w:p>
    <w:p>
      <w:pPr>
        <w:widowControl/>
      </w:pPr>
      <w:r>
        <w:rPr>
          <w:rFonts w:ascii="Calibri" w:hAnsi="Calibri" w:eastAsia="Microsoft YaHei"/>
          <w:b/>
          <w:color w:val="1F4D78"/>
        </w:rPr>
        <w:t>标定与质量：</w:t>
      </w:r>
      <w:r>
        <w:rPr>
          <w:rFonts w:ascii="Calibri" w:hAnsi="Calibri" w:eastAsia="Microsoft YaHei"/>
        </w:rPr>
        <w:t>不重新标定物理传感器；必须记录源节点、单位、版本、填补和时间对齐以避免隐性漂移。</w:t>
      </w:r>
    </w:p>
    <w:p>
      <w:pPr>
        <w:widowControl/>
      </w:pPr>
      <w:r>
        <w:rPr>
          <w:rFonts w:ascii="Calibri" w:hAnsi="Calibri" w:eastAsia="Microsoft YaHei"/>
          <w:b/>
          <w:color w:val="1F4D78"/>
        </w:rPr>
        <w:t>反演与分析：</w:t>
      </w:r>
      <w:r>
        <w:rPr>
          <w:rFonts w:ascii="Calibri" w:hAnsi="Calibri" w:eastAsia="Microsoft YaHei"/>
        </w:rPr>
        <w:t>feature extraction；dataset construction；quality filtering</w:t>
      </w:r>
    </w:p>
    <w:p>
      <w:pPr>
        <w:widowControl/>
      </w:pPr>
      <w:r>
        <w:rPr>
          <w:rFonts w:ascii="Calibri" w:hAnsi="Calibri" w:eastAsia="Microsoft YaHei"/>
          <w:b/>
          <w:color w:val="1F4D78"/>
        </w:rPr>
        <w:t>验证与应用：</w:t>
      </w:r>
      <w:r>
        <w:rPr>
          <w:rFonts w:ascii="Calibri" w:hAnsi="Calibri" w:eastAsia="Microsoft YaHei"/>
        </w:rPr>
        <w:t>官方仓库提供多装置适配、测试与文档；实际数据访问仍受各设施权限和节点可用性约束。</w:t>
      </w:r>
    </w:p>
    <w:p>
      <w:pPr>
        <w:widowControl/>
      </w:pPr>
      <w:r>
        <w:rPr>
          <w:rFonts w:ascii="Calibri" w:hAnsi="Calibri" w:eastAsia="Microsoft YaHei"/>
          <w:b/>
          <w:color w:val="1F4D78"/>
        </w:rPr>
        <w:t>局限与边界：</w:t>
      </w:r>
      <w:r>
        <w:rPr>
          <w:rFonts w:ascii="Calibri" w:hAnsi="Calibri" w:eastAsia="Microsoft YaHei"/>
        </w:rPr>
        <w:t>它不是预测器、实时服务或权威标签库；统一特征名不保证诊断等价，数据许可限制完全复现。</w:t>
      </w:r>
    </w:p>
    <w:tbl>
      <w:tblPr>
        <w:tblStyle w:val="TableGrid"/>
        <w:tblW w:type="dxa" w:w="9360"/>
        <w:jc w:val="left"/>
        <w:tblLayout w:type="fixed"/>
        <w:tblLook w:firstColumn="1" w:firstRow="1" w:lastColumn="0" w:lastRow="0" w:noHBand="0" w:noVBand="1" w:val="04A0"/>
        <w:tblInd w:w="120" w:type="dxa"/>
      </w:tblPr>
      <w:tblGrid>
        <w:gridCol w:w="9360"/>
      </w:tblGrid>
      <w:tr>
        <w:trPr>
          <w:cantSplit/>
        </w:trPr>
        <w:tc>
          <w:tcPr>
            <w:tcW w:type="dxa" w:w="9360"/>
            <w:tcMar>
              <w:top w:w="80" w:type="dxa"/>
              <w:bottom w:w="80" w:type="dxa"/>
              <w:start w:w="120" w:type="dxa"/>
              <w:end w:w="120" w:type="dxa"/>
            </w:tcMar>
            <w:vAlign w:val="center"/>
            <w:shd w:fill="EEF7F7"/>
          </w:tcPr>
          <w:p>
            <w:pPr>
              <w:keepNext/>
              <w:keepLines/>
              <w:spacing w:after="40"/>
            </w:pPr>
            <w:r>
              <w:rPr>
                <w:rFonts w:ascii="Calibri" w:hAnsi="Calibri" w:eastAsia="Microsoft YaHei"/>
                <w:b/>
                <w:color w:val="008C95"/>
                <w:sz w:val="17"/>
              </w:rPr>
              <w:t>DIGITAL-TWIN RELEVANCE</w:t>
            </w:r>
          </w:p>
          <w:p>
            <w:pPr>
              <w:spacing w:after="0"/>
            </w:pPr>
            <w:r>
              <w:rPr>
                <w:rFonts w:ascii="Calibri" w:hAnsi="Calibri" w:eastAsia="Microsoft YaHei"/>
                <w:color w:val="0B2545"/>
                <w:sz w:val="20"/>
              </w:rPr>
              <w:t>为孪生 AI 层提供可审计数据产品和装置适配范式，能把模型性能追溯到源信号与处理版本。</w:t>
            </w:r>
          </w:p>
        </w:tc>
      </w:tr>
    </w:tbl>
    <w:p>
      <w:pPr>
        <w:spacing w:after="40"/>
      </w:pPr>
    </w:p>
    <w:tbl>
      <w:tblPr>
        <w:tblStyle w:val="TableGrid"/>
        <w:tblW w:type="dxa" w:w="9360"/>
        <w:jc w:val="left"/>
        <w:tblLayout w:type="fixed"/>
        <w:tblLook w:firstColumn="1" w:firstRow="1" w:lastColumn="0" w:lastRow="0" w:noHBand="0" w:noVBand="1" w:val="04A0"/>
        <w:tblInd w:w="120" w:type="dxa"/>
      </w:tblPr>
      <w:tblGrid>
        <w:gridCol w:w="850"/>
        <w:gridCol w:w="2500"/>
        <w:gridCol w:w="1600"/>
        <w:gridCol w:w="2300"/>
        <w:gridCol w:w="2110"/>
      </w:tblGrid>
      <w:tr>
        <w:trPr>
          <w:tblHeader w:val="true"/>
        </w:trPr>
        <w:tc>
          <w:tcPr>
            <w:tcW w:type="dxa" w:w="8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年份/类型</w:t>
            </w:r>
          </w:p>
        </w:tc>
        <w:tc>
          <w:tcPr>
            <w:tcW w:type="dxa" w:w="25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论文或软件</w:t>
            </w:r>
          </w:p>
        </w:tc>
        <w:tc>
          <w:tcPr>
            <w:tcW w:type="dxa" w:w="16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期刊/开放性</w:t>
            </w:r>
          </w:p>
        </w:tc>
        <w:tc>
          <w:tcPr>
            <w:tcW w:type="dxa" w:w="23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来源类型/关系</w:t>
            </w:r>
          </w:p>
        </w:tc>
        <w:tc>
          <w:tcPr>
            <w:tcW w:type="dxa" w:w="211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链接</w:t>
            </w:r>
          </w:p>
        </w:tc>
      </w:tr>
      <w:tr>
        <w:trPr>
          <w:cantSplit/>
        </w:trPr>
        <w:tc>
          <w:tcPr>
            <w:tcW w:type="dxa" w:w="850"/>
          </w:tcPr>
          <w:p>
            <w:pPr>
              <w:keepLines/>
              <w:spacing w:after="0" w:line="276" w:lineRule="auto"/>
            </w:pPr>
            <w:r>
              <w:rPr>
                <w:rFonts w:ascii="Calibri" w:hAnsi="Calibri" w:eastAsia="Microsoft YaHei"/>
                <w:color w:val="0B2545"/>
                <w:sz w:val="14"/>
              </w:rPr>
              <w:t>2026</w:t>
            </w:r>
          </w:p>
        </w:tc>
        <w:tc>
          <w:tcPr>
            <w:tcW w:type="dxa" w:w="2500"/>
          </w:tcPr>
          <w:p>
            <w:pPr>
              <w:keepLines/>
              <w:spacing w:after="0" w:line="276" w:lineRule="auto"/>
            </w:pPr>
            <w:r>
              <w:rPr>
                <w:rFonts w:ascii="Calibri" w:hAnsi="Calibri" w:eastAsia="Microsoft YaHei"/>
                <w:color w:val="0B2545"/>
                <w:sz w:val="14"/>
              </w:rPr>
              <w:t>DisruptionPy official repository and documentation</w:t>
            </w:r>
          </w:p>
        </w:tc>
        <w:tc>
          <w:tcPr>
            <w:tcW w:type="dxa" w:w="1600"/>
          </w:tcPr>
          <w:p>
            <w:pPr>
              <w:keepLines/>
              <w:spacing w:after="0" w:line="276" w:lineRule="auto"/>
            </w:pPr>
            <w:r>
              <w:rPr>
                <w:rFonts w:ascii="Calibri" w:hAnsi="Calibri" w:eastAsia="Microsoft YaHei"/>
                <w:color w:val="0B2545"/>
                <w:sz w:val="14"/>
              </w:rPr>
              <w:t>原始论文 / 官方来源</w:t>
            </w:r>
          </w:p>
        </w:tc>
        <w:tc>
          <w:tcPr>
            <w:tcW w:type="dxa" w:w="2300"/>
          </w:tcPr>
          <w:p>
            <w:pPr>
              <w:keepLines/>
              <w:spacing w:after="0" w:line="276" w:lineRule="auto"/>
            </w:pPr>
            <w:r>
              <w:rPr>
                <w:rFonts w:ascii="Calibri" w:hAnsi="Calibri" w:eastAsia="Microsoft YaHei"/>
                <w:color w:val="0B2545"/>
                <w:sz w:val="14"/>
              </w:rPr>
              <w:t>MIT PSFC official repository</w:t>
            </w:r>
          </w:p>
        </w:tc>
        <w:tc>
          <w:tcPr>
            <w:tcW w:type="dxa" w:w="2110"/>
          </w:tcPr>
          <w:p>
            <w:pPr>
              <w:keepLines/>
              <w:spacing w:after="0" w:line="276" w:lineRule="auto"/>
            </w:pPr>
            <w:hyperlink r:id="rId217">
              <w:r>
                <w:rPr>
                  <w:rFonts w:ascii="Calibri" w:hAnsi="Calibri" w:eastAsia="Microsoft YaHei"/>
                  <w:color w:val="008C95"/>
                  <w:u w:val="single"/>
                </w:rPr>
                <w:t>打开原始来源 ↗</w:t>
              </w:r>
            </w:hyperlink>
          </w:p>
        </w:tc>
      </w:tr>
      <w:tr>
        <w:trPr>
          <w:cantSplit/>
        </w:trPr>
        <w:tc>
          <w:tcPr>
            <w:tcW w:type="dxa" w:w="850"/>
          </w:tcPr>
          <w:p>
            <w:pPr>
              <w:keepLines/>
              <w:spacing w:after="0" w:line="276" w:lineRule="auto"/>
            </w:pPr>
            <w:r>
              <w:rPr>
                <w:rFonts w:ascii="Calibri" w:hAnsi="Calibri" w:eastAsia="Microsoft YaHei"/>
                <w:color w:val="0B2545"/>
                <w:sz w:val="14"/>
              </w:rPr>
              <w:t>软件</w:t>
            </w:r>
          </w:p>
        </w:tc>
        <w:tc>
          <w:tcPr>
            <w:tcW w:type="dxa" w:w="2500"/>
          </w:tcPr>
          <w:p>
            <w:pPr>
              <w:keepLines/>
              <w:spacing w:after="0" w:line="276" w:lineRule="auto"/>
            </w:pPr>
            <w:r>
              <w:rPr>
                <w:rFonts w:ascii="Calibri" w:hAnsi="Calibri" w:eastAsia="Microsoft YaHei"/>
                <w:color w:val="0B2545"/>
                <w:sz w:val="14"/>
              </w:rPr>
              <w:t>DisruptionPy</w:t>
            </w:r>
          </w:p>
        </w:tc>
        <w:tc>
          <w:tcPr>
            <w:tcW w:type="dxa" w:w="1600"/>
          </w:tcPr>
          <w:p>
            <w:pPr>
              <w:keepLines/>
              <w:spacing w:after="0" w:line="276" w:lineRule="auto"/>
            </w:pPr>
            <w:r>
              <w:rPr>
                <w:rFonts w:ascii="Calibri" w:hAnsi="Calibri" w:eastAsia="Microsoft YaHei"/>
                <w:color w:val="0B2545"/>
                <w:sz w:val="14"/>
              </w:rPr>
              <w:t>official-direct</w:t>
            </w:r>
          </w:p>
        </w:tc>
        <w:tc>
          <w:tcPr>
            <w:tcW w:type="dxa" w:w="2300"/>
          </w:tcPr>
          <w:p>
            <w:pPr>
              <w:keepLines/>
              <w:spacing w:after="0" w:line="276" w:lineRule="auto"/>
            </w:pPr>
            <w:r>
              <w:rPr>
                <w:rFonts w:ascii="Calibri" w:hAnsi="Calibri" w:eastAsia="Microsoft YaHei"/>
                <w:color w:val="0B2545"/>
                <w:sz w:val="14"/>
              </w:rPr>
              <w:t>MIT PSFC 维护的多装置破裂数据流水线。</w:t>
            </w:r>
          </w:p>
        </w:tc>
        <w:tc>
          <w:tcPr>
            <w:tcW w:type="dxa" w:w="2110"/>
          </w:tcPr>
          <w:p>
            <w:pPr>
              <w:keepLines/>
              <w:spacing w:after="0" w:line="276" w:lineRule="auto"/>
            </w:pPr>
            <w:hyperlink r:id="rId217">
              <w:r>
                <w:rPr>
                  <w:rFonts w:ascii="Calibri" w:hAnsi="Calibri" w:eastAsia="Microsoft YaHei"/>
                  <w:color w:val="008C95"/>
                  <w:u w:val="single"/>
                </w:rPr>
                <w:t>打开原始来源 ↗</w:t>
              </w:r>
            </w:hyperlink>
          </w:p>
        </w:tc>
      </w:tr>
    </w:tbl>
    <w:p>
      <w:pPr>
        <w:spacing w:before="0" w:after="60"/>
      </w:pPr>
    </w:p>
    <w:p>
      <w:pPr>
        <w:pStyle w:val="Heading2"/>
      </w:pPr>
      <w:r>
        <w:t>关联工作速查</w:t>
      </w:r>
    </w:p>
    <w:tbl>
      <w:tblPr>
        <w:tblStyle w:val="TableGrid"/>
        <w:tblW w:type="dxa" w:w="9360"/>
        <w:jc w:val="left"/>
        <w:tblLayout w:type="fixed"/>
        <w:tblLook w:firstColumn="1" w:firstRow="1" w:lastColumn="0" w:lastRow="0" w:noHBand="0" w:noVBand="1" w:val="04A0"/>
        <w:tblInd w:w="120" w:type="dxa"/>
      </w:tblPr>
      <w:tblGrid>
        <w:gridCol w:w="1000"/>
        <w:gridCol w:w="900"/>
        <w:gridCol w:w="3760"/>
        <w:gridCol w:w="800"/>
        <w:gridCol w:w="2900"/>
      </w:tblGrid>
      <w:tr>
        <w:trPr>
          <w:tblHeader w:val="true"/>
        </w:trPr>
        <w:tc>
          <w:tcPr>
            <w:tcW w:type="dxa" w:w="1000"/>
            <w:tcMar>
              <w:top w:w="55" w:type="dxa"/>
              <w:bottom w:w="55" w:type="dxa"/>
              <w:start w:w="100" w:type="dxa"/>
              <w:end w:w="100" w:type="dxa"/>
            </w:tcMar>
            <w:vAlign w:val="center"/>
            <w:shd w:fill="E8EEF5"/>
          </w:tcPr>
          <w:p>
            <w:pPr>
              <w:keepNext/>
              <w:spacing w:after="0"/>
              <w:jc w:val="center"/>
            </w:pPr>
            <w:r>
              <w:rPr>
                <w:rFonts w:ascii="Calibri" w:hAnsi="Calibri" w:eastAsia="Microsoft YaHei"/>
                <w:b/>
                <w:color w:val="0B2545"/>
                <w:sz w:val="14"/>
              </w:rPr>
              <w:t>ID</w:t>
            </w:r>
          </w:p>
        </w:tc>
        <w:tc>
          <w:tcPr>
            <w:tcW w:type="dxa" w:w="900"/>
            <w:tcMar>
              <w:top w:w="55" w:type="dxa"/>
              <w:bottom w:w="55" w:type="dxa"/>
              <w:start w:w="100" w:type="dxa"/>
              <w:end w:w="100" w:type="dxa"/>
            </w:tcMar>
            <w:vAlign w:val="center"/>
            <w:shd w:fill="E8EEF5"/>
          </w:tcPr>
          <w:p>
            <w:pPr>
              <w:keepNext/>
              <w:spacing w:after="0"/>
              <w:jc w:val="center"/>
            </w:pPr>
            <w:r>
              <w:rPr>
                <w:rFonts w:ascii="Calibri" w:hAnsi="Calibri" w:eastAsia="Microsoft YaHei"/>
                <w:b/>
                <w:color w:val="0B2545"/>
                <w:sz w:val="14"/>
              </w:rPr>
              <w:t>主任务</w:t>
            </w:r>
          </w:p>
        </w:tc>
        <w:tc>
          <w:tcPr>
            <w:tcW w:type="dxa" w:w="3760"/>
            <w:tcMar>
              <w:top w:w="55" w:type="dxa"/>
              <w:bottom w:w="55" w:type="dxa"/>
              <w:start w:w="100" w:type="dxa"/>
              <w:end w:w="100" w:type="dxa"/>
            </w:tcMar>
            <w:vAlign w:val="center"/>
            <w:shd w:fill="E8EEF5"/>
          </w:tcPr>
          <w:p>
            <w:pPr>
              <w:keepNext/>
              <w:spacing w:after="0"/>
              <w:jc w:val="center"/>
            </w:pPr>
            <w:r>
              <w:rPr>
                <w:rFonts w:ascii="Calibri" w:hAnsi="Calibri" w:eastAsia="Microsoft YaHei"/>
                <w:b/>
                <w:color w:val="0B2545"/>
                <w:sz w:val="14"/>
              </w:rPr>
              <w:t>标题</w:t>
            </w:r>
          </w:p>
        </w:tc>
        <w:tc>
          <w:tcPr>
            <w:tcW w:type="dxa" w:w="800"/>
            <w:tcMar>
              <w:top w:w="55" w:type="dxa"/>
              <w:bottom w:w="55" w:type="dxa"/>
              <w:start w:w="100" w:type="dxa"/>
              <w:end w:w="100" w:type="dxa"/>
            </w:tcMar>
            <w:vAlign w:val="center"/>
            <w:shd w:fill="E8EEF5"/>
          </w:tcPr>
          <w:p>
            <w:pPr>
              <w:keepNext/>
              <w:spacing w:after="0"/>
              <w:jc w:val="center"/>
            </w:pPr>
            <w:r>
              <w:rPr>
                <w:rFonts w:ascii="Calibri" w:hAnsi="Calibri" w:eastAsia="Microsoft YaHei"/>
                <w:b/>
                <w:color w:val="0B2545"/>
                <w:sz w:val="14"/>
              </w:rPr>
              <w:t>证据</w:t>
            </w:r>
          </w:p>
        </w:tc>
        <w:tc>
          <w:tcPr>
            <w:tcW w:type="dxa" w:w="2900"/>
            <w:tcMar>
              <w:top w:w="55" w:type="dxa"/>
              <w:bottom w:w="55" w:type="dxa"/>
              <w:start w:w="100" w:type="dxa"/>
              <w:end w:w="100" w:type="dxa"/>
            </w:tcMar>
            <w:vAlign w:val="center"/>
            <w:shd w:fill="E8EEF5"/>
          </w:tcPr>
          <w:p>
            <w:pPr>
              <w:keepNext/>
              <w:spacing w:after="0"/>
              <w:jc w:val="center"/>
            </w:pPr>
            <w:r>
              <w:rPr>
                <w:rFonts w:ascii="Calibri" w:hAnsi="Calibri" w:eastAsia="Microsoft YaHei"/>
                <w:b/>
                <w:color w:val="0B2545"/>
                <w:sz w:val="14"/>
              </w:rPr>
              <w:t>装置</w:t>
            </w:r>
          </w:p>
        </w:tc>
      </w:tr>
      <w:tr>
        <w:trPr>
          <w:cantSplit/>
        </w:trPr>
        <w:tc>
          <w:tcPr>
            <w:tcW w:type="dxa" w:w="1000"/>
            <w:tcMar>
              <w:top w:w="45" w:type="dxa"/>
              <w:bottom w:w="45" w:type="dxa"/>
              <w:start w:w="100" w:type="dxa"/>
              <w:end w:w="100" w:type="dxa"/>
            </w:tcMar>
          </w:tcPr>
          <w:p>
            <w:pPr>
              <w:keepLines/>
              <w:spacing w:after="0" w:line="252" w:lineRule="auto"/>
            </w:pPr>
            <w:r>
              <w:rPr>
                <w:rFonts w:ascii="Calibri" w:hAnsi="Calibri" w:eastAsia="Microsoft YaHei"/>
                <w:color w:val="0B2545"/>
                <w:sz w:val="14"/>
              </w:rPr>
              <w:t>DSI-001</w:t>
            </w:r>
          </w:p>
        </w:tc>
        <w:tc>
          <w:tcPr>
            <w:tcW w:type="dxa" w:w="900"/>
            <w:tcMar>
              <w:top w:w="45" w:type="dxa"/>
              <w:bottom w:w="45" w:type="dxa"/>
              <w:start w:w="100" w:type="dxa"/>
              <w:end w:w="100" w:type="dxa"/>
            </w:tcMar>
          </w:tcPr>
          <w:p>
            <w:pPr>
              <w:keepLines/>
              <w:spacing w:after="0" w:line="252" w:lineRule="auto"/>
            </w:pPr>
            <w:r>
              <w:rPr>
                <w:rFonts w:ascii="Calibri" w:hAnsi="Calibri" w:eastAsia="Microsoft YaHei"/>
                <w:color w:val="0B2545"/>
                <w:sz w:val="14"/>
              </w:rPr>
              <w:t>DG0</w:t>
            </w:r>
          </w:p>
        </w:tc>
        <w:tc>
          <w:tcPr>
            <w:tcW w:type="dxa" w:w="3760"/>
            <w:tcMar>
              <w:top w:w="45" w:type="dxa"/>
              <w:bottom w:w="45" w:type="dxa"/>
              <w:start w:w="100" w:type="dxa"/>
              <w:end w:w="100" w:type="dxa"/>
            </w:tcMar>
          </w:tcPr>
          <w:p>
            <w:pPr>
              <w:keepLines/>
              <w:spacing w:after="0" w:line="252" w:lineRule="auto"/>
            </w:pPr>
            <w:r>
              <w:rPr>
                <w:rFonts w:ascii="Calibri" w:hAnsi="Calibri" w:eastAsia="Microsoft YaHei"/>
                <w:color w:val="0B2545"/>
                <w:sz w:val="14"/>
              </w:rPr>
              <w:t>IMAS 接口数据结构与数据字典</w:t>
            </w:r>
          </w:p>
        </w:tc>
        <w:tc>
          <w:tcPr>
            <w:tcW w:type="dxa" w:w="800"/>
            <w:tcMar>
              <w:top w:w="45" w:type="dxa"/>
              <w:bottom w:w="45" w:type="dxa"/>
              <w:start w:w="100" w:type="dxa"/>
              <w:end w:w="100" w:type="dxa"/>
            </w:tcMar>
          </w:tcPr>
          <w:p>
            <w:pPr>
              <w:keepLines/>
              <w:spacing w:after="0" w:line="252" w:lineRule="auto"/>
            </w:pPr>
            <w:r>
              <w:rPr>
                <w:rFonts w:ascii="Calibri" w:hAnsi="Calibri" w:eastAsia="Microsoft YaHei"/>
                <w:color w:val="0B2545"/>
                <w:sz w:val="14"/>
              </w:rPr>
              <w:t>E3</w:t>
            </w:r>
          </w:p>
        </w:tc>
        <w:tc>
          <w:tcPr>
            <w:tcW w:type="dxa" w:w="2900"/>
            <w:tcMar>
              <w:top w:w="45" w:type="dxa"/>
              <w:bottom w:w="45" w:type="dxa"/>
              <w:start w:w="100" w:type="dxa"/>
              <w:end w:w="100" w:type="dxa"/>
            </w:tcMar>
          </w:tcPr>
          <w:p>
            <w:pPr>
              <w:keepLines/>
              <w:spacing w:after="0" w:line="252" w:lineRule="auto"/>
            </w:pPr>
            <w:r>
              <w:rPr>
                <w:rFonts w:ascii="Calibri" w:hAnsi="Calibri" w:eastAsia="Microsoft YaHei"/>
                <w:color w:val="0B2545"/>
                <w:sz w:val="14"/>
              </w:rPr>
              <w:t>ITER；EUROfusion devices；JET；ASDEX Upgrade；WEST；TCV；W7-X</w:t>
            </w:r>
          </w:p>
        </w:tc>
      </w:tr>
      <w:tr>
        <w:trPr>
          <w:cantSplit/>
        </w:trPr>
        <w:tc>
          <w:tcPr>
            <w:tcW w:type="dxa" w:w="1000"/>
            <w:tcMar>
              <w:top w:w="45" w:type="dxa"/>
              <w:bottom w:w="45" w:type="dxa"/>
              <w:start w:w="100" w:type="dxa"/>
              <w:end w:w="100" w:type="dxa"/>
            </w:tcMar>
          </w:tcPr>
          <w:p>
            <w:pPr>
              <w:keepLines/>
              <w:spacing w:after="0" w:line="252" w:lineRule="auto"/>
            </w:pPr>
            <w:r>
              <w:rPr>
                <w:rFonts w:ascii="Calibri" w:hAnsi="Calibri" w:eastAsia="Microsoft YaHei"/>
                <w:color w:val="0B2545"/>
                <w:sz w:val="14"/>
              </w:rPr>
              <w:t>DSI-002</w:t>
            </w:r>
          </w:p>
        </w:tc>
        <w:tc>
          <w:tcPr>
            <w:tcW w:type="dxa" w:w="900"/>
            <w:tcMar>
              <w:top w:w="45" w:type="dxa"/>
              <w:bottom w:w="45" w:type="dxa"/>
              <w:start w:w="100" w:type="dxa"/>
              <w:end w:w="100" w:type="dxa"/>
            </w:tcMar>
          </w:tcPr>
          <w:p>
            <w:pPr>
              <w:keepLines/>
              <w:spacing w:after="0" w:line="252" w:lineRule="auto"/>
            </w:pPr>
            <w:r>
              <w:rPr>
                <w:rFonts w:ascii="Calibri" w:hAnsi="Calibri" w:eastAsia="Microsoft YaHei"/>
                <w:color w:val="0B2545"/>
                <w:sz w:val="14"/>
              </w:rPr>
              <w:t>DG0</w:t>
            </w:r>
          </w:p>
        </w:tc>
        <w:tc>
          <w:tcPr>
            <w:tcW w:type="dxa" w:w="3760"/>
            <w:tcMar>
              <w:top w:w="45" w:type="dxa"/>
              <w:bottom w:w="45" w:type="dxa"/>
              <w:start w:w="100" w:type="dxa"/>
              <w:end w:w="100" w:type="dxa"/>
            </w:tcMar>
          </w:tcPr>
          <w:p>
            <w:pPr>
              <w:keepLines/>
              <w:spacing w:after="0" w:line="252" w:lineRule="auto"/>
            </w:pPr>
            <w:r>
              <w:rPr>
                <w:rFonts w:ascii="Calibri" w:hAnsi="Calibri" w:eastAsia="Microsoft YaHei"/>
                <w:color w:val="0B2545"/>
                <w:sz w:val="14"/>
              </w:rPr>
              <w:t>MDSplus 脉冲树、数据采集与时序数据管理</w:t>
            </w:r>
          </w:p>
        </w:tc>
        <w:tc>
          <w:tcPr>
            <w:tcW w:type="dxa" w:w="800"/>
            <w:tcMar>
              <w:top w:w="45" w:type="dxa"/>
              <w:bottom w:w="45" w:type="dxa"/>
              <w:start w:w="100" w:type="dxa"/>
              <w:end w:w="100" w:type="dxa"/>
            </w:tcMar>
          </w:tcPr>
          <w:p>
            <w:pPr>
              <w:keepLines/>
              <w:spacing w:after="0" w:line="252" w:lineRule="auto"/>
            </w:pPr>
            <w:r>
              <w:rPr>
                <w:rFonts w:ascii="Calibri" w:hAnsi="Calibri" w:eastAsia="Microsoft YaHei"/>
                <w:color w:val="0B2545"/>
                <w:sz w:val="14"/>
              </w:rPr>
              <w:t>E4</w:t>
            </w:r>
          </w:p>
        </w:tc>
        <w:tc>
          <w:tcPr>
            <w:tcW w:type="dxa" w:w="2900"/>
            <w:tcMar>
              <w:top w:w="45" w:type="dxa"/>
              <w:bottom w:w="45" w:type="dxa"/>
              <w:start w:w="100" w:type="dxa"/>
              <w:end w:w="100" w:type="dxa"/>
            </w:tcMar>
          </w:tcPr>
          <w:p>
            <w:pPr>
              <w:keepLines/>
              <w:spacing w:after="0" w:line="252" w:lineRule="auto"/>
            </w:pPr>
            <w:r>
              <w:rPr>
                <w:rFonts w:ascii="Calibri" w:hAnsi="Calibri" w:eastAsia="Microsoft YaHei"/>
                <w:color w:val="0B2545"/>
                <w:sz w:val="14"/>
              </w:rPr>
              <w:t>Alcator C-Mod；RFX-mod；TCV；DIII-D；KSTAR；EAST；NSTX-U；SPIDER</w:t>
            </w:r>
          </w:p>
        </w:tc>
      </w:tr>
      <w:tr>
        <w:trPr>
          <w:cantSplit/>
        </w:trPr>
        <w:tc>
          <w:tcPr>
            <w:tcW w:type="dxa" w:w="1000"/>
            <w:tcMar>
              <w:top w:w="45" w:type="dxa"/>
              <w:bottom w:w="45" w:type="dxa"/>
              <w:start w:w="100" w:type="dxa"/>
              <w:end w:w="100" w:type="dxa"/>
            </w:tcMar>
          </w:tcPr>
          <w:p>
            <w:pPr>
              <w:keepLines/>
              <w:spacing w:after="0" w:line="252" w:lineRule="auto"/>
            </w:pPr>
            <w:r>
              <w:rPr>
                <w:rFonts w:ascii="Calibri" w:hAnsi="Calibri" w:eastAsia="Microsoft YaHei"/>
                <w:color w:val="0B2545"/>
                <w:sz w:val="14"/>
              </w:rPr>
              <w:t>DSI-007</w:t>
            </w:r>
          </w:p>
        </w:tc>
        <w:tc>
          <w:tcPr>
            <w:tcW w:type="dxa" w:w="900"/>
            <w:tcMar>
              <w:top w:w="45" w:type="dxa"/>
              <w:bottom w:w="45" w:type="dxa"/>
              <w:start w:w="100" w:type="dxa"/>
              <w:end w:w="100" w:type="dxa"/>
            </w:tcMar>
          </w:tcPr>
          <w:p>
            <w:pPr>
              <w:keepLines/>
              <w:spacing w:after="0" w:line="252" w:lineRule="auto"/>
            </w:pPr>
            <w:r>
              <w:rPr>
                <w:rFonts w:ascii="Calibri" w:hAnsi="Calibri" w:eastAsia="Microsoft YaHei"/>
                <w:color w:val="0B2545"/>
                <w:sz w:val="14"/>
              </w:rPr>
              <w:t>DG0</w:t>
            </w:r>
          </w:p>
        </w:tc>
        <w:tc>
          <w:tcPr>
            <w:tcW w:type="dxa" w:w="3760"/>
            <w:tcMar>
              <w:top w:w="45" w:type="dxa"/>
              <w:bottom w:w="45" w:type="dxa"/>
              <w:start w:w="100" w:type="dxa"/>
              <w:end w:w="100" w:type="dxa"/>
            </w:tcMar>
          </w:tcPr>
          <w:p>
            <w:pPr>
              <w:keepLines/>
              <w:spacing w:after="0" w:line="252" w:lineRule="auto"/>
            </w:pPr>
            <w:r>
              <w:rPr>
                <w:rFonts w:ascii="Calibri" w:hAnsi="Calibri" w:eastAsia="Microsoft YaHei"/>
                <w:color w:val="0B2545"/>
                <w:sz w:val="14"/>
              </w:rPr>
              <w:t>MARTe2–MDSplus 实时采集、配置与归档一体化</w:t>
            </w:r>
          </w:p>
        </w:tc>
        <w:tc>
          <w:tcPr>
            <w:tcW w:type="dxa" w:w="800"/>
            <w:tcMar>
              <w:top w:w="45" w:type="dxa"/>
              <w:bottom w:w="45" w:type="dxa"/>
              <w:start w:w="100" w:type="dxa"/>
              <w:end w:w="100" w:type="dxa"/>
            </w:tcMar>
          </w:tcPr>
          <w:p>
            <w:pPr>
              <w:keepLines/>
              <w:spacing w:after="0" w:line="252" w:lineRule="auto"/>
            </w:pPr>
            <w:r>
              <w:rPr>
                <w:rFonts w:ascii="Calibri" w:hAnsi="Calibri" w:eastAsia="Microsoft YaHei"/>
                <w:color w:val="0B2545"/>
                <w:sz w:val="14"/>
              </w:rPr>
              <w:t>E4</w:t>
            </w:r>
          </w:p>
        </w:tc>
        <w:tc>
          <w:tcPr>
            <w:tcW w:type="dxa" w:w="2900"/>
            <w:tcMar>
              <w:top w:w="45" w:type="dxa"/>
              <w:bottom w:w="45" w:type="dxa"/>
              <w:start w:w="100" w:type="dxa"/>
              <w:end w:w="100" w:type="dxa"/>
            </w:tcMar>
          </w:tcPr>
          <w:p>
            <w:pPr>
              <w:keepLines/>
              <w:spacing w:after="0" w:line="252" w:lineRule="auto"/>
            </w:pPr>
            <w:r>
              <w:rPr>
                <w:rFonts w:ascii="Calibri" w:hAnsi="Calibri" w:eastAsia="Microsoft YaHei"/>
                <w:color w:val="0B2545"/>
                <w:sz w:val="14"/>
              </w:rPr>
              <w:t>RFX-mod；RFX-mod2；SPIDER；ITER NBTF；DTT；SPARC planned；SMART proof-of-concept</w:t>
            </w:r>
          </w:p>
        </w:tc>
      </w:tr>
      <w:tr>
        <w:trPr>
          <w:cantSplit/>
        </w:trPr>
        <w:tc>
          <w:tcPr>
            <w:tcW w:type="dxa" w:w="1000"/>
            <w:tcMar>
              <w:top w:w="45" w:type="dxa"/>
              <w:bottom w:w="45" w:type="dxa"/>
              <w:start w:w="100" w:type="dxa"/>
              <w:end w:w="100" w:type="dxa"/>
            </w:tcMar>
          </w:tcPr>
          <w:p>
            <w:pPr>
              <w:keepLines/>
              <w:spacing w:after="0" w:line="252" w:lineRule="auto"/>
            </w:pPr>
            <w:r>
              <w:rPr>
                <w:rFonts w:ascii="Calibri" w:hAnsi="Calibri" w:eastAsia="Microsoft YaHei"/>
                <w:color w:val="0B2545"/>
                <w:sz w:val="14"/>
              </w:rPr>
              <w:t>DSI-008</w:t>
            </w:r>
          </w:p>
        </w:tc>
        <w:tc>
          <w:tcPr>
            <w:tcW w:type="dxa" w:w="900"/>
            <w:tcMar>
              <w:top w:w="45" w:type="dxa"/>
              <w:bottom w:w="45" w:type="dxa"/>
              <w:start w:w="100" w:type="dxa"/>
              <w:end w:w="100" w:type="dxa"/>
            </w:tcMar>
          </w:tcPr>
          <w:p>
            <w:pPr>
              <w:keepLines/>
              <w:spacing w:after="0" w:line="252" w:lineRule="auto"/>
            </w:pPr>
            <w:r>
              <w:rPr>
                <w:rFonts w:ascii="Calibri" w:hAnsi="Calibri" w:eastAsia="Microsoft YaHei"/>
                <w:color w:val="0B2545"/>
                <w:sz w:val="14"/>
              </w:rPr>
              <w:t>DG0</w:t>
            </w:r>
          </w:p>
        </w:tc>
        <w:tc>
          <w:tcPr>
            <w:tcW w:type="dxa" w:w="3760"/>
            <w:tcMar>
              <w:top w:w="45" w:type="dxa"/>
              <w:bottom w:w="45" w:type="dxa"/>
              <w:start w:w="100" w:type="dxa"/>
              <w:end w:w="100" w:type="dxa"/>
            </w:tcMar>
          </w:tcPr>
          <w:p>
            <w:pPr>
              <w:keepLines/>
              <w:spacing w:after="0" w:line="252" w:lineRule="auto"/>
            </w:pPr>
            <w:r>
              <w:rPr>
                <w:rFonts w:ascii="Calibri" w:hAnsi="Calibri" w:eastAsia="Microsoft YaHei"/>
                <w:color w:val="0B2545"/>
                <w:sz w:val="14"/>
              </w:rPr>
              <w:t>ITER 诊断 Plant I&amp;C、CODAC 接口与中子计量校准治理</w:t>
            </w:r>
          </w:p>
        </w:tc>
        <w:tc>
          <w:tcPr>
            <w:tcW w:type="dxa" w:w="800"/>
            <w:tcMar>
              <w:top w:w="45" w:type="dxa"/>
              <w:bottom w:w="45" w:type="dxa"/>
              <w:start w:w="100" w:type="dxa"/>
              <w:end w:w="100" w:type="dxa"/>
            </w:tcMar>
          </w:tcPr>
          <w:p>
            <w:pPr>
              <w:keepLines/>
              <w:spacing w:after="0" w:line="252" w:lineRule="auto"/>
            </w:pPr>
            <w:r>
              <w:rPr>
                <w:rFonts w:ascii="Calibri" w:hAnsi="Calibri" w:eastAsia="Microsoft YaHei"/>
                <w:color w:val="0B2545"/>
                <w:sz w:val="14"/>
              </w:rPr>
              <w:t>E2</w:t>
            </w:r>
          </w:p>
        </w:tc>
        <w:tc>
          <w:tcPr>
            <w:tcW w:type="dxa" w:w="2900"/>
            <w:tcMar>
              <w:top w:w="45" w:type="dxa"/>
              <w:bottom w:w="45" w:type="dxa"/>
              <w:start w:w="100" w:type="dxa"/>
              <w:end w:w="100" w:type="dxa"/>
            </w:tcMar>
          </w:tcPr>
          <w:p>
            <w:pPr>
              <w:keepLines/>
              <w:spacing w:after="0" w:line="252" w:lineRule="auto"/>
            </w:pPr>
            <w:r>
              <w:rPr>
                <w:rFonts w:ascii="Calibri" w:hAnsi="Calibri" w:eastAsia="Microsoft YaHei"/>
                <w:color w:val="0B2545"/>
                <w:sz w:val="14"/>
              </w:rPr>
              <w:t>ITER</w:t>
            </w:r>
          </w:p>
        </w:tc>
      </w:tr>
      <w:tr>
        <w:trPr>
          <w:cantSplit/>
        </w:trPr>
        <w:tc>
          <w:tcPr>
            <w:tcW w:type="dxa" w:w="1000"/>
            <w:tcMar>
              <w:top w:w="45" w:type="dxa"/>
              <w:bottom w:w="45" w:type="dxa"/>
              <w:start w:w="100" w:type="dxa"/>
              <w:end w:w="100" w:type="dxa"/>
            </w:tcMar>
          </w:tcPr>
          <w:p>
            <w:pPr>
              <w:keepLines/>
              <w:spacing w:after="0" w:line="252" w:lineRule="auto"/>
            </w:pPr>
            <w:r>
              <w:rPr>
                <w:rFonts w:ascii="Calibri" w:hAnsi="Calibri" w:eastAsia="Microsoft YaHei"/>
                <w:color w:val="0B2545"/>
                <w:sz w:val="14"/>
              </w:rPr>
              <w:t>DG1-001</w:t>
            </w:r>
          </w:p>
        </w:tc>
        <w:tc>
          <w:tcPr>
            <w:tcW w:type="dxa" w:w="900"/>
            <w:tcMar>
              <w:top w:w="45" w:type="dxa"/>
              <w:bottom w:w="45" w:type="dxa"/>
              <w:start w:w="100" w:type="dxa"/>
              <w:end w:w="100" w:type="dxa"/>
            </w:tcMar>
          </w:tcPr>
          <w:p>
            <w:pPr>
              <w:keepLines/>
              <w:spacing w:after="0" w:line="252" w:lineRule="auto"/>
            </w:pPr>
            <w:r>
              <w:rPr>
                <w:rFonts w:ascii="Calibri" w:hAnsi="Calibri" w:eastAsia="Microsoft YaHei"/>
                <w:color w:val="0B2545"/>
                <w:sz w:val="14"/>
              </w:rPr>
              <w:t>DG1</w:t>
            </w:r>
          </w:p>
        </w:tc>
        <w:tc>
          <w:tcPr>
            <w:tcW w:type="dxa" w:w="3760"/>
            <w:tcMar>
              <w:top w:w="45" w:type="dxa"/>
              <w:bottom w:w="45" w:type="dxa"/>
              <w:start w:w="100" w:type="dxa"/>
              <w:end w:w="100" w:type="dxa"/>
            </w:tcMar>
          </w:tcPr>
          <w:p>
            <w:pPr>
              <w:keepLines/>
              <w:spacing w:after="0" w:line="252" w:lineRule="auto"/>
            </w:pPr>
            <w:r>
              <w:rPr>
                <w:rFonts w:ascii="Calibri" w:hAnsi="Calibri" w:eastAsia="Microsoft YaHei"/>
                <w:color w:val="0B2545"/>
                <w:sz w:val="14"/>
              </w:rPr>
              <w:t>感应式磁测量：磁通环、拾取线圈与罗戈夫斯基线圈</w:t>
            </w:r>
          </w:p>
        </w:tc>
        <w:tc>
          <w:tcPr>
            <w:tcW w:type="dxa" w:w="800"/>
            <w:tcMar>
              <w:top w:w="45" w:type="dxa"/>
              <w:bottom w:w="45" w:type="dxa"/>
              <w:start w:w="100" w:type="dxa"/>
              <w:end w:w="100" w:type="dxa"/>
            </w:tcMar>
          </w:tcPr>
          <w:p>
            <w:pPr>
              <w:keepLines/>
              <w:spacing w:after="0" w:line="252" w:lineRule="auto"/>
            </w:pPr>
            <w:r>
              <w:rPr>
                <w:rFonts w:ascii="Calibri" w:hAnsi="Calibri" w:eastAsia="Microsoft YaHei"/>
                <w:color w:val="0B2545"/>
                <w:sz w:val="14"/>
              </w:rPr>
              <w:t>E1</w:t>
            </w:r>
          </w:p>
        </w:tc>
        <w:tc>
          <w:tcPr>
            <w:tcW w:type="dxa" w:w="2900"/>
            <w:tcMar>
              <w:top w:w="45" w:type="dxa"/>
              <w:bottom w:w="45" w:type="dxa"/>
              <w:start w:w="100" w:type="dxa"/>
              <w:end w:w="100" w:type="dxa"/>
            </w:tcMar>
          </w:tcPr>
          <w:p>
            <w:pPr>
              <w:keepLines/>
              <w:spacing w:after="0" w:line="252" w:lineRule="auto"/>
            </w:pPr>
            <w:r>
              <w:rPr>
                <w:rFonts w:ascii="Calibri" w:hAnsi="Calibri" w:eastAsia="Microsoft YaHei"/>
                <w:color w:val="0B2545"/>
                <w:sz w:val="14"/>
              </w:rPr>
              <w:t>ITER；DIII-D；EAST；JET</w:t>
            </w:r>
          </w:p>
        </w:tc>
      </w:tr>
      <w:tr>
        <w:trPr>
          <w:cantSplit/>
        </w:trPr>
        <w:tc>
          <w:tcPr>
            <w:tcW w:type="dxa" w:w="1000"/>
            <w:tcMar>
              <w:top w:w="45" w:type="dxa"/>
              <w:bottom w:w="45" w:type="dxa"/>
              <w:start w:w="100" w:type="dxa"/>
              <w:end w:w="100" w:type="dxa"/>
            </w:tcMar>
          </w:tcPr>
          <w:p>
            <w:pPr>
              <w:keepLines/>
              <w:spacing w:after="0" w:line="252" w:lineRule="auto"/>
            </w:pPr>
            <w:r>
              <w:rPr>
                <w:rFonts w:ascii="Calibri" w:hAnsi="Calibri" w:eastAsia="Microsoft YaHei"/>
                <w:color w:val="0B2545"/>
                <w:sz w:val="14"/>
              </w:rPr>
              <w:t>DG1-002</w:t>
            </w:r>
          </w:p>
        </w:tc>
        <w:tc>
          <w:tcPr>
            <w:tcW w:type="dxa" w:w="900"/>
            <w:tcMar>
              <w:top w:w="45" w:type="dxa"/>
              <w:bottom w:w="45" w:type="dxa"/>
              <w:start w:w="100" w:type="dxa"/>
              <w:end w:w="100" w:type="dxa"/>
            </w:tcMar>
          </w:tcPr>
          <w:p>
            <w:pPr>
              <w:keepLines/>
              <w:spacing w:after="0" w:line="252" w:lineRule="auto"/>
            </w:pPr>
            <w:r>
              <w:rPr>
                <w:rFonts w:ascii="Calibri" w:hAnsi="Calibri" w:eastAsia="Microsoft YaHei"/>
                <w:color w:val="0B2545"/>
                <w:sz w:val="14"/>
              </w:rPr>
              <w:t>DG1</w:t>
            </w:r>
          </w:p>
        </w:tc>
        <w:tc>
          <w:tcPr>
            <w:tcW w:type="dxa" w:w="3760"/>
            <w:tcMar>
              <w:top w:w="45" w:type="dxa"/>
              <w:bottom w:w="45" w:type="dxa"/>
              <w:start w:w="100" w:type="dxa"/>
              <w:end w:w="100" w:type="dxa"/>
            </w:tcMar>
          </w:tcPr>
          <w:p>
            <w:pPr>
              <w:keepLines/>
              <w:spacing w:after="0" w:line="252" w:lineRule="auto"/>
            </w:pPr>
            <w:r>
              <w:rPr>
                <w:rFonts w:ascii="Calibri" w:hAnsi="Calibri" w:eastAsia="Microsoft YaHei"/>
                <w:color w:val="0B2545"/>
                <w:sz w:val="14"/>
              </w:rPr>
              <w:t>稳态霍尔磁测量：ITER OVSS与DEMO候选传感器</w:t>
            </w:r>
          </w:p>
        </w:tc>
        <w:tc>
          <w:tcPr>
            <w:tcW w:type="dxa" w:w="800"/>
            <w:tcMar>
              <w:top w:w="45" w:type="dxa"/>
              <w:bottom w:w="45" w:type="dxa"/>
              <w:start w:w="100" w:type="dxa"/>
              <w:end w:w="100" w:type="dxa"/>
            </w:tcMar>
          </w:tcPr>
          <w:p>
            <w:pPr>
              <w:keepLines/>
              <w:spacing w:after="0" w:line="252" w:lineRule="auto"/>
            </w:pPr>
            <w:r>
              <w:rPr>
                <w:rFonts w:ascii="Calibri" w:hAnsi="Calibri" w:eastAsia="Microsoft YaHei"/>
                <w:color w:val="0B2545"/>
                <w:sz w:val="14"/>
              </w:rPr>
              <w:t>E3</w:t>
            </w:r>
          </w:p>
        </w:tc>
        <w:tc>
          <w:tcPr>
            <w:tcW w:type="dxa" w:w="2900"/>
            <w:tcMar>
              <w:top w:w="45" w:type="dxa"/>
              <w:bottom w:w="45" w:type="dxa"/>
              <w:start w:w="100" w:type="dxa"/>
              <w:end w:w="100" w:type="dxa"/>
            </w:tcMar>
          </w:tcPr>
          <w:p>
            <w:pPr>
              <w:keepLines/>
              <w:spacing w:after="0" w:line="252" w:lineRule="auto"/>
            </w:pPr>
            <w:r>
              <w:rPr>
                <w:rFonts w:ascii="Calibri" w:hAnsi="Calibri" w:eastAsia="Microsoft YaHei"/>
                <w:color w:val="0B2545"/>
                <w:sz w:val="14"/>
              </w:rPr>
              <w:t>ITER OVSS；DEMO；TEXTOR；Tore Supra</w:t>
            </w:r>
          </w:p>
        </w:tc>
      </w:tr>
      <w:tr>
        <w:trPr>
          <w:cantSplit/>
        </w:trPr>
        <w:tc>
          <w:tcPr>
            <w:tcW w:type="dxa" w:w="1000"/>
            <w:tcMar>
              <w:top w:w="45" w:type="dxa"/>
              <w:bottom w:w="45" w:type="dxa"/>
              <w:start w:w="100" w:type="dxa"/>
              <w:end w:w="100" w:type="dxa"/>
            </w:tcMar>
          </w:tcPr>
          <w:p>
            <w:pPr>
              <w:keepLines/>
              <w:spacing w:after="0" w:line="252" w:lineRule="auto"/>
            </w:pPr>
            <w:r>
              <w:rPr>
                <w:rFonts w:ascii="Calibri" w:hAnsi="Calibri" w:eastAsia="Microsoft YaHei"/>
                <w:color w:val="0B2545"/>
                <w:sz w:val="14"/>
              </w:rPr>
              <w:t>DG1-003</w:t>
            </w:r>
          </w:p>
        </w:tc>
        <w:tc>
          <w:tcPr>
            <w:tcW w:type="dxa" w:w="900"/>
            <w:tcMar>
              <w:top w:w="45" w:type="dxa"/>
              <w:bottom w:w="45" w:type="dxa"/>
              <w:start w:w="100" w:type="dxa"/>
              <w:end w:w="100" w:type="dxa"/>
            </w:tcMar>
          </w:tcPr>
          <w:p>
            <w:pPr>
              <w:keepLines/>
              <w:spacing w:after="0" w:line="252" w:lineRule="auto"/>
            </w:pPr>
            <w:r>
              <w:rPr>
                <w:rFonts w:ascii="Calibri" w:hAnsi="Calibri" w:eastAsia="Microsoft YaHei"/>
                <w:color w:val="0B2545"/>
                <w:sz w:val="14"/>
              </w:rPr>
              <w:t>DG1</w:t>
            </w:r>
          </w:p>
        </w:tc>
        <w:tc>
          <w:tcPr>
            <w:tcW w:type="dxa" w:w="3760"/>
            <w:tcMar>
              <w:top w:w="45" w:type="dxa"/>
              <w:bottom w:w="45" w:type="dxa"/>
              <w:start w:w="100" w:type="dxa"/>
              <w:end w:w="100" w:type="dxa"/>
            </w:tcMar>
          </w:tcPr>
          <w:p>
            <w:pPr>
              <w:keepLines/>
              <w:spacing w:after="0" w:line="252" w:lineRule="auto"/>
            </w:pPr>
            <w:r>
              <w:rPr>
                <w:rFonts w:ascii="Calibri" w:hAnsi="Calibri" w:eastAsia="Microsoft YaHei"/>
                <w:color w:val="0B2545"/>
                <w:sz w:val="14"/>
              </w:rPr>
              <w:t>光纤电流传感：EAST等离子体与PF母排电流</w:t>
            </w:r>
          </w:p>
        </w:tc>
        <w:tc>
          <w:tcPr>
            <w:tcW w:type="dxa" w:w="800"/>
            <w:tcMar>
              <w:top w:w="45" w:type="dxa"/>
              <w:bottom w:w="45" w:type="dxa"/>
              <w:start w:w="100" w:type="dxa"/>
              <w:end w:w="100" w:type="dxa"/>
            </w:tcMar>
          </w:tcPr>
          <w:p>
            <w:pPr>
              <w:keepLines/>
              <w:spacing w:after="0" w:line="252" w:lineRule="auto"/>
            </w:pPr>
            <w:r>
              <w:rPr>
                <w:rFonts w:ascii="Calibri" w:hAnsi="Calibri" w:eastAsia="Microsoft YaHei"/>
                <w:color w:val="0B2545"/>
                <w:sz w:val="14"/>
              </w:rPr>
              <w:t>E4</w:t>
            </w:r>
          </w:p>
        </w:tc>
        <w:tc>
          <w:tcPr>
            <w:tcW w:type="dxa" w:w="2900"/>
            <w:tcMar>
              <w:top w:w="45" w:type="dxa"/>
              <w:bottom w:w="45" w:type="dxa"/>
              <w:start w:w="100" w:type="dxa"/>
              <w:end w:w="100" w:type="dxa"/>
            </w:tcMar>
          </w:tcPr>
          <w:p>
            <w:pPr>
              <w:keepLines/>
              <w:spacing w:after="0" w:line="252" w:lineRule="auto"/>
            </w:pPr>
            <w:r>
              <w:rPr>
                <w:rFonts w:ascii="Calibri" w:hAnsi="Calibri" w:eastAsia="Microsoft YaHei"/>
                <w:color w:val="0B2545"/>
                <w:sz w:val="14"/>
              </w:rPr>
              <w:t>EAST；ITER concept；CFETR concept</w:t>
            </w:r>
          </w:p>
        </w:tc>
      </w:tr>
      <w:tr>
        <w:trPr>
          <w:cantSplit/>
        </w:trPr>
        <w:tc>
          <w:tcPr>
            <w:tcW w:type="dxa" w:w="1000"/>
            <w:tcMar>
              <w:top w:w="45" w:type="dxa"/>
              <w:bottom w:w="45" w:type="dxa"/>
              <w:start w:w="100" w:type="dxa"/>
              <w:end w:w="100" w:type="dxa"/>
            </w:tcMar>
          </w:tcPr>
          <w:p>
            <w:pPr>
              <w:keepLines/>
              <w:spacing w:after="0" w:line="252" w:lineRule="auto"/>
            </w:pPr>
            <w:r>
              <w:rPr>
                <w:rFonts w:ascii="Calibri" w:hAnsi="Calibri" w:eastAsia="Microsoft YaHei"/>
                <w:color w:val="0B2545"/>
                <w:sz w:val="14"/>
              </w:rPr>
              <w:t>DG1-005</w:t>
            </w:r>
          </w:p>
        </w:tc>
        <w:tc>
          <w:tcPr>
            <w:tcW w:type="dxa" w:w="900"/>
            <w:tcMar>
              <w:top w:w="45" w:type="dxa"/>
              <w:bottom w:w="45" w:type="dxa"/>
              <w:start w:w="100" w:type="dxa"/>
              <w:end w:w="100" w:type="dxa"/>
            </w:tcMar>
          </w:tcPr>
          <w:p>
            <w:pPr>
              <w:keepLines/>
              <w:spacing w:after="0" w:line="252" w:lineRule="auto"/>
            </w:pPr>
            <w:r>
              <w:rPr>
                <w:rFonts w:ascii="Calibri" w:hAnsi="Calibri" w:eastAsia="Microsoft YaHei"/>
                <w:color w:val="0B2545"/>
                <w:sz w:val="14"/>
              </w:rPr>
              <w:t>DG1</w:t>
            </w:r>
          </w:p>
        </w:tc>
        <w:tc>
          <w:tcPr>
            <w:tcW w:type="dxa" w:w="3760"/>
            <w:tcMar>
              <w:top w:w="45" w:type="dxa"/>
              <w:bottom w:w="45" w:type="dxa"/>
              <w:start w:w="100" w:type="dxa"/>
              <w:end w:w="100" w:type="dxa"/>
            </w:tcMar>
          </w:tcPr>
          <w:p>
            <w:pPr>
              <w:keepLines/>
              <w:spacing w:after="0" w:line="252" w:lineRule="auto"/>
            </w:pPr>
            <w:r>
              <w:rPr>
                <w:rFonts w:ascii="Calibri" w:hAnsi="Calibri" w:eastAsia="Microsoft YaHei"/>
                <w:color w:val="0B2545"/>
                <w:sz w:val="14"/>
              </w:rPr>
              <w:t>实时磁平衡重建：rtEFIT与GPU实现</w:t>
            </w:r>
          </w:p>
        </w:tc>
        <w:tc>
          <w:tcPr>
            <w:tcW w:type="dxa" w:w="800"/>
            <w:tcMar>
              <w:top w:w="45" w:type="dxa"/>
              <w:bottom w:w="45" w:type="dxa"/>
              <w:start w:w="100" w:type="dxa"/>
              <w:end w:w="100" w:type="dxa"/>
            </w:tcMar>
          </w:tcPr>
          <w:p>
            <w:pPr>
              <w:keepLines/>
              <w:spacing w:after="0" w:line="252" w:lineRule="auto"/>
            </w:pPr>
            <w:r>
              <w:rPr>
                <w:rFonts w:ascii="Calibri" w:hAnsi="Calibri" w:eastAsia="Microsoft YaHei"/>
                <w:color w:val="0B2545"/>
                <w:sz w:val="14"/>
              </w:rPr>
              <w:t>E4</w:t>
            </w:r>
          </w:p>
        </w:tc>
        <w:tc>
          <w:tcPr>
            <w:tcW w:type="dxa" w:w="2900"/>
            <w:tcMar>
              <w:top w:w="45" w:type="dxa"/>
              <w:bottom w:w="45" w:type="dxa"/>
              <w:start w:w="100" w:type="dxa"/>
              <w:end w:w="100" w:type="dxa"/>
            </w:tcMar>
          </w:tcPr>
          <w:p>
            <w:pPr>
              <w:keepLines/>
              <w:spacing w:after="0" w:line="252" w:lineRule="auto"/>
            </w:pPr>
            <w:r>
              <w:rPr>
                <w:rFonts w:ascii="Calibri" w:hAnsi="Calibri" w:eastAsia="Microsoft YaHei"/>
                <w:color w:val="0B2545"/>
                <w:sz w:val="14"/>
              </w:rPr>
              <w:t>DIII-D；HL-2A；EAST；KSTAR</w:t>
            </w:r>
          </w:p>
        </w:tc>
      </w:tr>
      <w:tr>
        <w:trPr>
          <w:cantSplit/>
        </w:trPr>
        <w:tc>
          <w:tcPr>
            <w:tcW w:type="dxa" w:w="1000"/>
            <w:tcMar>
              <w:top w:w="45" w:type="dxa"/>
              <w:bottom w:w="45" w:type="dxa"/>
              <w:start w:w="100" w:type="dxa"/>
              <w:end w:w="100" w:type="dxa"/>
            </w:tcMar>
          </w:tcPr>
          <w:p>
            <w:pPr>
              <w:keepLines/>
              <w:spacing w:after="0" w:line="252" w:lineRule="auto"/>
            </w:pPr>
            <w:r>
              <w:rPr>
                <w:rFonts w:ascii="Calibri" w:hAnsi="Calibri" w:eastAsia="Microsoft YaHei"/>
                <w:color w:val="0B2545"/>
                <w:sz w:val="14"/>
              </w:rPr>
              <w:t>DG2-008</w:t>
            </w:r>
          </w:p>
        </w:tc>
        <w:tc>
          <w:tcPr>
            <w:tcW w:type="dxa" w:w="900"/>
            <w:tcMar>
              <w:top w:w="45" w:type="dxa"/>
              <w:bottom w:w="45" w:type="dxa"/>
              <w:start w:w="100" w:type="dxa"/>
              <w:end w:w="100" w:type="dxa"/>
            </w:tcMar>
          </w:tcPr>
          <w:p>
            <w:pPr>
              <w:keepLines/>
              <w:spacing w:after="0" w:line="252" w:lineRule="auto"/>
            </w:pPr>
            <w:r>
              <w:rPr>
                <w:rFonts w:ascii="Calibri" w:hAnsi="Calibri" w:eastAsia="Microsoft YaHei"/>
                <w:color w:val="0B2545"/>
                <w:sz w:val="14"/>
              </w:rPr>
              <w:t>DG2</w:t>
            </w:r>
          </w:p>
        </w:tc>
        <w:tc>
          <w:tcPr>
            <w:tcW w:type="dxa" w:w="3760"/>
            <w:tcMar>
              <w:top w:w="45" w:type="dxa"/>
              <w:bottom w:w="45" w:type="dxa"/>
              <w:start w:w="100" w:type="dxa"/>
              <w:end w:w="100" w:type="dxa"/>
            </w:tcMar>
          </w:tcPr>
          <w:p>
            <w:pPr>
              <w:keepLines/>
              <w:spacing w:after="0" w:line="252" w:lineRule="auto"/>
            </w:pPr>
            <w:r>
              <w:rPr>
                <w:rFonts w:ascii="Calibri" w:hAnsi="Calibri" w:eastAsia="Microsoft YaHei"/>
                <w:color w:val="0B2545"/>
                <w:sz w:val="14"/>
              </w:rPr>
              <w:t>多色干涉/偏振测量：ITER环向干涉偏振仪</w:t>
            </w:r>
          </w:p>
        </w:tc>
        <w:tc>
          <w:tcPr>
            <w:tcW w:type="dxa" w:w="800"/>
            <w:tcMar>
              <w:top w:w="45" w:type="dxa"/>
              <w:bottom w:w="45" w:type="dxa"/>
              <w:start w:w="100" w:type="dxa"/>
              <w:end w:w="100" w:type="dxa"/>
            </w:tcMar>
          </w:tcPr>
          <w:p>
            <w:pPr>
              <w:keepLines/>
              <w:spacing w:after="0" w:line="252" w:lineRule="auto"/>
            </w:pPr>
            <w:r>
              <w:rPr>
                <w:rFonts w:ascii="Calibri" w:hAnsi="Calibri" w:eastAsia="Microsoft YaHei"/>
                <w:color w:val="0B2545"/>
                <w:sz w:val="14"/>
              </w:rPr>
              <w:t>E3</w:t>
            </w:r>
          </w:p>
        </w:tc>
        <w:tc>
          <w:tcPr>
            <w:tcW w:type="dxa" w:w="2900"/>
            <w:tcMar>
              <w:top w:w="45" w:type="dxa"/>
              <w:bottom w:w="45" w:type="dxa"/>
              <w:start w:w="100" w:type="dxa"/>
              <w:end w:w="100" w:type="dxa"/>
            </w:tcMar>
          </w:tcPr>
          <w:p>
            <w:pPr>
              <w:keepLines/>
              <w:spacing w:after="0" w:line="252" w:lineRule="auto"/>
            </w:pPr>
            <w:r>
              <w:rPr>
                <w:rFonts w:ascii="Calibri" w:hAnsi="Calibri" w:eastAsia="Microsoft YaHei"/>
                <w:color w:val="0B2545"/>
                <w:sz w:val="14"/>
              </w:rPr>
              <w:t>ITER；DIII-D；EAST；KSTAR</w:t>
            </w:r>
          </w:p>
        </w:tc>
      </w:tr>
      <w:tr>
        <w:trPr>
          <w:cantSplit/>
        </w:trPr>
        <w:tc>
          <w:tcPr>
            <w:tcW w:type="dxa" w:w="1000"/>
            <w:tcMar>
              <w:top w:w="45" w:type="dxa"/>
              <w:bottom w:w="45" w:type="dxa"/>
              <w:start w:w="100" w:type="dxa"/>
              <w:end w:w="100" w:type="dxa"/>
            </w:tcMar>
          </w:tcPr>
          <w:p>
            <w:pPr>
              <w:keepLines/>
              <w:spacing w:after="0" w:line="252" w:lineRule="auto"/>
            </w:pPr>
            <w:r>
              <w:rPr>
                <w:rFonts w:ascii="Calibri" w:hAnsi="Calibri" w:eastAsia="Microsoft YaHei"/>
                <w:color w:val="0B2545"/>
                <w:sz w:val="14"/>
              </w:rPr>
              <w:t>DG2-009</w:t>
            </w:r>
          </w:p>
        </w:tc>
        <w:tc>
          <w:tcPr>
            <w:tcW w:type="dxa" w:w="900"/>
            <w:tcMar>
              <w:top w:w="45" w:type="dxa"/>
              <w:bottom w:w="45" w:type="dxa"/>
              <w:start w:w="100" w:type="dxa"/>
              <w:end w:w="100" w:type="dxa"/>
            </w:tcMar>
          </w:tcPr>
          <w:p>
            <w:pPr>
              <w:keepLines/>
              <w:spacing w:after="0" w:line="252" w:lineRule="auto"/>
            </w:pPr>
            <w:r>
              <w:rPr>
                <w:rFonts w:ascii="Calibri" w:hAnsi="Calibri" w:eastAsia="Microsoft YaHei"/>
                <w:color w:val="0B2545"/>
                <w:sz w:val="14"/>
              </w:rPr>
              <w:t>DG2</w:t>
            </w:r>
          </w:p>
        </w:tc>
        <w:tc>
          <w:tcPr>
            <w:tcW w:type="dxa" w:w="3760"/>
            <w:tcMar>
              <w:top w:w="45" w:type="dxa"/>
              <w:bottom w:w="45" w:type="dxa"/>
              <w:start w:w="100" w:type="dxa"/>
              <w:end w:w="100" w:type="dxa"/>
            </w:tcMar>
          </w:tcPr>
          <w:p>
            <w:pPr>
              <w:keepLines/>
              <w:spacing w:after="0" w:line="252" w:lineRule="auto"/>
            </w:pPr>
            <w:r>
              <w:rPr>
                <w:rFonts w:ascii="Calibri" w:hAnsi="Calibri" w:eastAsia="Microsoft YaHei"/>
                <w:color w:val="0B2545"/>
                <w:sz w:val="14"/>
              </w:rPr>
              <w:t>电子回旋辐射：ECE温度剖面与事件监测</w:t>
            </w:r>
          </w:p>
        </w:tc>
        <w:tc>
          <w:tcPr>
            <w:tcW w:type="dxa" w:w="800"/>
            <w:tcMar>
              <w:top w:w="45" w:type="dxa"/>
              <w:bottom w:w="45" w:type="dxa"/>
              <w:start w:w="100" w:type="dxa"/>
              <w:end w:w="100" w:type="dxa"/>
            </w:tcMar>
          </w:tcPr>
          <w:p>
            <w:pPr>
              <w:keepLines/>
              <w:spacing w:after="0" w:line="252" w:lineRule="auto"/>
            </w:pPr>
            <w:r>
              <w:rPr>
                <w:rFonts w:ascii="Calibri" w:hAnsi="Calibri" w:eastAsia="Microsoft YaHei"/>
                <w:color w:val="0B2545"/>
                <w:sz w:val="14"/>
              </w:rPr>
              <w:t>E1</w:t>
            </w:r>
          </w:p>
        </w:tc>
        <w:tc>
          <w:tcPr>
            <w:tcW w:type="dxa" w:w="2900"/>
            <w:tcMar>
              <w:top w:w="45" w:type="dxa"/>
              <w:bottom w:w="45" w:type="dxa"/>
              <w:start w:w="100" w:type="dxa"/>
              <w:end w:w="100" w:type="dxa"/>
            </w:tcMar>
          </w:tcPr>
          <w:p>
            <w:pPr>
              <w:keepLines/>
              <w:spacing w:after="0" w:line="252" w:lineRule="auto"/>
            </w:pPr>
            <w:r>
              <w:rPr>
                <w:rFonts w:ascii="Calibri" w:hAnsi="Calibri" w:eastAsia="Microsoft YaHei"/>
                <w:color w:val="0B2545"/>
                <w:sz w:val="14"/>
              </w:rPr>
              <w:t>ITER；DIII-D；EAST；KSTAR</w:t>
            </w:r>
          </w:p>
        </w:tc>
      </w:tr>
      <w:tr>
        <w:trPr>
          <w:cantSplit/>
        </w:trPr>
        <w:tc>
          <w:tcPr>
            <w:tcW w:type="dxa" w:w="1000"/>
            <w:tcMar>
              <w:top w:w="45" w:type="dxa"/>
              <w:bottom w:w="45" w:type="dxa"/>
              <w:start w:w="100" w:type="dxa"/>
              <w:end w:w="100" w:type="dxa"/>
            </w:tcMar>
          </w:tcPr>
          <w:p>
            <w:pPr>
              <w:keepLines/>
              <w:spacing w:after="0" w:line="252" w:lineRule="auto"/>
            </w:pPr>
            <w:r>
              <w:rPr>
                <w:rFonts w:ascii="Calibri" w:hAnsi="Calibri" w:eastAsia="Microsoft YaHei"/>
                <w:color w:val="0B2545"/>
                <w:sz w:val="14"/>
              </w:rPr>
              <w:t>DG2-010</w:t>
            </w:r>
          </w:p>
        </w:tc>
        <w:tc>
          <w:tcPr>
            <w:tcW w:type="dxa" w:w="900"/>
            <w:tcMar>
              <w:top w:w="45" w:type="dxa"/>
              <w:bottom w:w="45" w:type="dxa"/>
              <w:start w:w="100" w:type="dxa"/>
              <w:end w:w="100" w:type="dxa"/>
            </w:tcMar>
          </w:tcPr>
          <w:p>
            <w:pPr>
              <w:keepLines/>
              <w:spacing w:after="0" w:line="252" w:lineRule="auto"/>
            </w:pPr>
            <w:r>
              <w:rPr>
                <w:rFonts w:ascii="Calibri" w:hAnsi="Calibri" w:eastAsia="Microsoft YaHei"/>
                <w:color w:val="0B2545"/>
                <w:sz w:val="14"/>
              </w:rPr>
              <w:t>DG2</w:t>
            </w:r>
          </w:p>
        </w:tc>
        <w:tc>
          <w:tcPr>
            <w:tcW w:type="dxa" w:w="3760"/>
            <w:tcMar>
              <w:top w:w="45" w:type="dxa"/>
              <w:bottom w:w="45" w:type="dxa"/>
              <w:start w:w="100" w:type="dxa"/>
              <w:end w:w="100" w:type="dxa"/>
            </w:tcMar>
          </w:tcPr>
          <w:p>
            <w:pPr>
              <w:keepLines/>
              <w:spacing w:after="0" w:line="252" w:lineRule="auto"/>
            </w:pPr>
            <w:r>
              <w:rPr>
                <w:rFonts w:ascii="Calibri" w:hAnsi="Calibri" w:eastAsia="Microsoft YaHei"/>
                <w:color w:val="0B2545"/>
                <w:sz w:val="14"/>
              </w:rPr>
              <w:t>扫频/脉冲反射计：密度剖面和实时映射</w:t>
            </w:r>
          </w:p>
        </w:tc>
        <w:tc>
          <w:tcPr>
            <w:tcW w:type="dxa" w:w="800"/>
            <w:tcMar>
              <w:top w:w="45" w:type="dxa"/>
              <w:bottom w:w="45" w:type="dxa"/>
              <w:start w:w="100" w:type="dxa"/>
              <w:end w:w="100" w:type="dxa"/>
            </w:tcMar>
          </w:tcPr>
          <w:p>
            <w:pPr>
              <w:keepLines/>
              <w:spacing w:after="0" w:line="252" w:lineRule="auto"/>
            </w:pPr>
            <w:r>
              <w:rPr>
                <w:rFonts w:ascii="Calibri" w:hAnsi="Calibri" w:eastAsia="Microsoft YaHei"/>
                <w:color w:val="0B2545"/>
                <w:sz w:val="14"/>
              </w:rPr>
              <w:t>E3</w:t>
            </w:r>
          </w:p>
        </w:tc>
        <w:tc>
          <w:tcPr>
            <w:tcW w:type="dxa" w:w="2900"/>
            <w:tcMar>
              <w:top w:w="45" w:type="dxa"/>
              <w:bottom w:w="45" w:type="dxa"/>
              <w:start w:w="100" w:type="dxa"/>
              <w:end w:w="100" w:type="dxa"/>
            </w:tcMar>
          </w:tcPr>
          <w:p>
            <w:pPr>
              <w:keepLines/>
              <w:spacing w:after="0" w:line="252" w:lineRule="auto"/>
            </w:pPr>
            <w:r>
              <w:rPr>
                <w:rFonts w:ascii="Calibri" w:hAnsi="Calibri" w:eastAsia="Microsoft YaHei"/>
                <w:color w:val="0B2545"/>
                <w:sz w:val="14"/>
              </w:rPr>
              <w:t>SPARC；MAST Upgrade；WEST；EAST</w:t>
            </w:r>
          </w:p>
        </w:tc>
      </w:tr>
      <w:tr>
        <w:trPr>
          <w:cantSplit/>
        </w:trPr>
        <w:tc>
          <w:tcPr>
            <w:tcW w:type="dxa" w:w="1000"/>
            <w:tcMar>
              <w:top w:w="45" w:type="dxa"/>
              <w:bottom w:w="45" w:type="dxa"/>
              <w:start w:w="100" w:type="dxa"/>
              <w:end w:w="100" w:type="dxa"/>
            </w:tcMar>
          </w:tcPr>
          <w:p>
            <w:pPr>
              <w:keepLines/>
              <w:spacing w:after="0" w:line="252" w:lineRule="auto"/>
            </w:pPr>
            <w:r>
              <w:rPr>
                <w:rFonts w:ascii="Calibri" w:hAnsi="Calibri" w:eastAsia="Microsoft YaHei"/>
                <w:color w:val="0B2545"/>
                <w:sz w:val="14"/>
              </w:rPr>
              <w:t>DG4-016</w:t>
            </w:r>
          </w:p>
        </w:tc>
        <w:tc>
          <w:tcPr>
            <w:tcW w:type="dxa" w:w="900"/>
            <w:tcMar>
              <w:top w:w="45" w:type="dxa"/>
              <w:bottom w:w="45" w:type="dxa"/>
              <w:start w:w="100" w:type="dxa"/>
              <w:end w:w="100" w:type="dxa"/>
            </w:tcMar>
          </w:tcPr>
          <w:p>
            <w:pPr>
              <w:keepLines/>
              <w:spacing w:after="0" w:line="252" w:lineRule="auto"/>
            </w:pPr>
            <w:r>
              <w:rPr>
                <w:rFonts w:ascii="Calibri" w:hAnsi="Calibri" w:eastAsia="Microsoft YaHei"/>
                <w:color w:val="0B2545"/>
                <w:sz w:val="14"/>
              </w:rPr>
              <w:t>DG4</w:t>
            </w:r>
          </w:p>
        </w:tc>
        <w:tc>
          <w:tcPr>
            <w:tcW w:type="dxa" w:w="3760"/>
            <w:tcMar>
              <w:top w:w="45" w:type="dxa"/>
              <w:bottom w:w="45" w:type="dxa"/>
              <w:start w:w="100" w:type="dxa"/>
              <w:end w:w="100" w:type="dxa"/>
            </w:tcMar>
          </w:tcPr>
          <w:p>
            <w:pPr>
              <w:keepLines/>
              <w:spacing w:after="0" w:line="252" w:lineRule="auto"/>
            </w:pPr>
            <w:r>
              <w:rPr>
                <w:rFonts w:ascii="Calibri" w:hAnsi="Calibri" w:eastAsia="Microsoft YaHei"/>
                <w:color w:val="0B2545"/>
                <w:sz w:val="14"/>
              </w:rPr>
              <w:t>测辐射热计：总辐射功率与功率平衡</w:t>
            </w:r>
          </w:p>
        </w:tc>
        <w:tc>
          <w:tcPr>
            <w:tcW w:type="dxa" w:w="800"/>
            <w:tcMar>
              <w:top w:w="45" w:type="dxa"/>
              <w:bottom w:w="45" w:type="dxa"/>
              <w:start w:w="100" w:type="dxa"/>
              <w:end w:w="100" w:type="dxa"/>
            </w:tcMar>
          </w:tcPr>
          <w:p>
            <w:pPr>
              <w:keepLines/>
              <w:spacing w:after="0" w:line="252" w:lineRule="auto"/>
            </w:pPr>
            <w:r>
              <w:rPr>
                <w:rFonts w:ascii="Calibri" w:hAnsi="Calibri" w:eastAsia="Microsoft YaHei"/>
                <w:color w:val="0B2545"/>
                <w:sz w:val="14"/>
              </w:rPr>
              <w:t>E2</w:t>
            </w:r>
          </w:p>
        </w:tc>
        <w:tc>
          <w:tcPr>
            <w:tcW w:type="dxa" w:w="2900"/>
            <w:tcMar>
              <w:top w:w="45" w:type="dxa"/>
              <w:bottom w:w="45" w:type="dxa"/>
              <w:start w:w="100" w:type="dxa"/>
              <w:end w:w="100" w:type="dxa"/>
            </w:tcMar>
          </w:tcPr>
          <w:p>
            <w:pPr>
              <w:keepLines/>
              <w:spacing w:after="0" w:line="252" w:lineRule="auto"/>
            </w:pPr>
            <w:r>
              <w:rPr>
                <w:rFonts w:ascii="Calibri" w:hAnsi="Calibri" w:eastAsia="Microsoft YaHei"/>
                <w:color w:val="0B2545"/>
                <w:sz w:val="14"/>
              </w:rPr>
              <w:t>ITER；JET；ASDEX Upgrade；EAST</w:t>
            </w:r>
          </w:p>
        </w:tc>
      </w:tr>
      <w:tr>
        <w:trPr>
          <w:cantSplit/>
        </w:trPr>
        <w:tc>
          <w:tcPr>
            <w:tcW w:type="dxa" w:w="1000"/>
            <w:tcMar>
              <w:top w:w="45" w:type="dxa"/>
              <w:bottom w:w="45" w:type="dxa"/>
              <w:start w:w="100" w:type="dxa"/>
              <w:end w:w="100" w:type="dxa"/>
            </w:tcMar>
          </w:tcPr>
          <w:p>
            <w:pPr>
              <w:keepLines/>
              <w:spacing w:after="0" w:line="252" w:lineRule="auto"/>
            </w:pPr>
            <w:r>
              <w:rPr>
                <w:rFonts w:ascii="Calibri" w:hAnsi="Calibri" w:eastAsia="Microsoft YaHei"/>
                <w:color w:val="0B2545"/>
                <w:sz w:val="14"/>
              </w:rPr>
              <w:t>DG4-017</w:t>
            </w:r>
          </w:p>
        </w:tc>
        <w:tc>
          <w:tcPr>
            <w:tcW w:type="dxa" w:w="900"/>
            <w:tcMar>
              <w:top w:w="45" w:type="dxa"/>
              <w:bottom w:w="45" w:type="dxa"/>
              <w:start w:w="100" w:type="dxa"/>
              <w:end w:w="100" w:type="dxa"/>
            </w:tcMar>
          </w:tcPr>
          <w:p>
            <w:pPr>
              <w:keepLines/>
              <w:spacing w:after="0" w:line="252" w:lineRule="auto"/>
            </w:pPr>
            <w:r>
              <w:rPr>
                <w:rFonts w:ascii="Calibri" w:hAnsi="Calibri" w:eastAsia="Microsoft YaHei"/>
                <w:color w:val="0B2545"/>
                <w:sz w:val="14"/>
              </w:rPr>
              <w:t>DG4</w:t>
            </w:r>
          </w:p>
        </w:tc>
        <w:tc>
          <w:tcPr>
            <w:tcW w:type="dxa" w:w="3760"/>
            <w:tcMar>
              <w:top w:w="45" w:type="dxa"/>
              <w:bottom w:w="45" w:type="dxa"/>
              <w:start w:w="100" w:type="dxa"/>
              <w:end w:w="100" w:type="dxa"/>
            </w:tcMar>
          </w:tcPr>
          <w:p>
            <w:pPr>
              <w:keepLines/>
              <w:spacing w:after="0" w:line="252" w:lineRule="auto"/>
            </w:pPr>
            <w:r>
              <w:rPr>
                <w:rFonts w:ascii="Calibri" w:hAnsi="Calibri" w:eastAsia="Microsoft YaHei"/>
                <w:color w:val="0B2545"/>
                <w:sz w:val="14"/>
              </w:rPr>
              <w:t>软X射线阵列与快速层析</w:t>
            </w:r>
          </w:p>
        </w:tc>
        <w:tc>
          <w:tcPr>
            <w:tcW w:type="dxa" w:w="800"/>
            <w:tcMar>
              <w:top w:w="45" w:type="dxa"/>
              <w:bottom w:w="45" w:type="dxa"/>
              <w:start w:w="100" w:type="dxa"/>
              <w:end w:w="100" w:type="dxa"/>
            </w:tcMar>
          </w:tcPr>
          <w:p>
            <w:pPr>
              <w:keepLines/>
              <w:spacing w:after="0" w:line="252" w:lineRule="auto"/>
            </w:pPr>
            <w:r>
              <w:rPr>
                <w:rFonts w:ascii="Calibri" w:hAnsi="Calibri" w:eastAsia="Microsoft YaHei"/>
                <w:color w:val="0B2545"/>
                <w:sz w:val="14"/>
              </w:rPr>
              <w:t>E4</w:t>
            </w:r>
          </w:p>
        </w:tc>
        <w:tc>
          <w:tcPr>
            <w:tcW w:type="dxa" w:w="2900"/>
            <w:tcMar>
              <w:top w:w="45" w:type="dxa"/>
              <w:bottom w:w="45" w:type="dxa"/>
              <w:start w:w="100" w:type="dxa"/>
              <w:end w:w="100" w:type="dxa"/>
            </w:tcMar>
          </w:tcPr>
          <w:p>
            <w:pPr>
              <w:keepLines/>
              <w:spacing w:after="0" w:line="252" w:lineRule="auto"/>
            </w:pPr>
            <w:r>
              <w:rPr>
                <w:rFonts w:ascii="Calibri" w:hAnsi="Calibri" w:eastAsia="Microsoft YaHei"/>
                <w:color w:val="0B2545"/>
                <w:sz w:val="14"/>
              </w:rPr>
              <w:t>DIII-D；ASDEX Upgrade；SPARC；EAST</w:t>
            </w:r>
          </w:p>
        </w:tc>
      </w:tr>
      <w:tr>
        <w:trPr>
          <w:cantSplit/>
        </w:trPr>
        <w:tc>
          <w:tcPr>
            <w:tcW w:type="dxa" w:w="1000"/>
            <w:tcMar>
              <w:top w:w="45" w:type="dxa"/>
              <w:bottom w:w="45" w:type="dxa"/>
              <w:start w:w="100" w:type="dxa"/>
              <w:end w:w="100" w:type="dxa"/>
            </w:tcMar>
          </w:tcPr>
          <w:p>
            <w:pPr>
              <w:keepLines/>
              <w:spacing w:after="0" w:line="252" w:lineRule="auto"/>
            </w:pPr>
            <w:r>
              <w:rPr>
                <w:rFonts w:ascii="Calibri" w:hAnsi="Calibri" w:eastAsia="Microsoft YaHei"/>
                <w:color w:val="0B2545"/>
                <w:sz w:val="14"/>
              </w:rPr>
              <w:t>DG4-020</w:t>
            </w:r>
          </w:p>
        </w:tc>
        <w:tc>
          <w:tcPr>
            <w:tcW w:type="dxa" w:w="900"/>
            <w:tcMar>
              <w:top w:w="45" w:type="dxa"/>
              <w:bottom w:w="45" w:type="dxa"/>
              <w:start w:w="100" w:type="dxa"/>
              <w:end w:w="100" w:type="dxa"/>
            </w:tcMar>
          </w:tcPr>
          <w:p>
            <w:pPr>
              <w:keepLines/>
              <w:spacing w:after="0" w:line="252" w:lineRule="auto"/>
            </w:pPr>
            <w:r>
              <w:rPr>
                <w:rFonts w:ascii="Calibri" w:hAnsi="Calibri" w:eastAsia="Microsoft YaHei"/>
                <w:color w:val="0B2545"/>
                <w:sz w:val="14"/>
              </w:rPr>
              <w:t>DG5</w:t>
            </w:r>
          </w:p>
        </w:tc>
        <w:tc>
          <w:tcPr>
            <w:tcW w:type="dxa" w:w="3760"/>
            <w:tcMar>
              <w:top w:w="45" w:type="dxa"/>
              <w:bottom w:w="45" w:type="dxa"/>
              <w:start w:w="100" w:type="dxa"/>
              <w:end w:w="100" w:type="dxa"/>
            </w:tcMar>
          </w:tcPr>
          <w:p>
            <w:pPr>
              <w:keepLines/>
              <w:spacing w:after="0" w:line="252" w:lineRule="auto"/>
            </w:pPr>
            <w:r>
              <w:rPr>
                <w:rFonts w:ascii="Calibri" w:hAnsi="Calibri" w:eastAsia="Microsoft YaHei"/>
                <w:color w:val="0B2545"/>
                <w:sz w:val="14"/>
              </w:rPr>
              <w:t>硬X射线：逃逸电子制动辐射监测</w:t>
            </w:r>
          </w:p>
        </w:tc>
        <w:tc>
          <w:tcPr>
            <w:tcW w:type="dxa" w:w="800"/>
            <w:tcMar>
              <w:top w:w="45" w:type="dxa"/>
              <w:bottom w:w="45" w:type="dxa"/>
              <w:start w:w="100" w:type="dxa"/>
              <w:end w:w="100" w:type="dxa"/>
            </w:tcMar>
          </w:tcPr>
          <w:p>
            <w:pPr>
              <w:keepLines/>
              <w:spacing w:after="0" w:line="252" w:lineRule="auto"/>
            </w:pPr>
            <w:r>
              <w:rPr>
                <w:rFonts w:ascii="Calibri" w:hAnsi="Calibri" w:eastAsia="Microsoft YaHei"/>
                <w:color w:val="0B2545"/>
                <w:sz w:val="14"/>
              </w:rPr>
              <w:t>E3</w:t>
            </w:r>
          </w:p>
        </w:tc>
        <w:tc>
          <w:tcPr>
            <w:tcW w:type="dxa" w:w="2900"/>
            <w:tcMar>
              <w:top w:w="45" w:type="dxa"/>
              <w:bottom w:w="45" w:type="dxa"/>
              <w:start w:w="100" w:type="dxa"/>
              <w:end w:w="100" w:type="dxa"/>
            </w:tcMar>
          </w:tcPr>
          <w:p>
            <w:pPr>
              <w:keepLines/>
              <w:spacing w:after="0" w:line="252" w:lineRule="auto"/>
            </w:pPr>
            <w:r>
              <w:rPr>
                <w:rFonts w:ascii="Calibri" w:hAnsi="Calibri" w:eastAsia="Microsoft YaHei"/>
                <w:color w:val="0B2545"/>
                <w:sz w:val="14"/>
              </w:rPr>
              <w:t>J-TEXT；HL-2M；SPARC；ITER</w:t>
            </w:r>
          </w:p>
        </w:tc>
      </w:tr>
      <w:tr>
        <w:trPr>
          <w:cantSplit/>
        </w:trPr>
        <w:tc>
          <w:tcPr>
            <w:tcW w:type="dxa" w:w="1000"/>
            <w:tcMar>
              <w:top w:w="45" w:type="dxa"/>
              <w:bottom w:w="45" w:type="dxa"/>
              <w:start w:w="100" w:type="dxa"/>
              <w:end w:w="100" w:type="dxa"/>
            </w:tcMar>
          </w:tcPr>
          <w:p>
            <w:pPr>
              <w:keepLines/>
              <w:spacing w:after="0" w:line="252" w:lineRule="auto"/>
            </w:pPr>
            <w:r>
              <w:rPr>
                <w:rFonts w:ascii="Calibri" w:hAnsi="Calibri" w:eastAsia="Microsoft YaHei"/>
                <w:color w:val="0B2545"/>
                <w:sz w:val="14"/>
              </w:rPr>
              <w:t>DG5-021</w:t>
            </w:r>
          </w:p>
        </w:tc>
        <w:tc>
          <w:tcPr>
            <w:tcW w:type="dxa" w:w="900"/>
            <w:tcMar>
              <w:top w:w="45" w:type="dxa"/>
              <w:bottom w:w="45" w:type="dxa"/>
              <w:start w:w="100" w:type="dxa"/>
              <w:end w:w="100" w:type="dxa"/>
            </w:tcMar>
          </w:tcPr>
          <w:p>
            <w:pPr>
              <w:keepLines/>
              <w:spacing w:after="0" w:line="252" w:lineRule="auto"/>
            </w:pPr>
            <w:r>
              <w:rPr>
                <w:rFonts w:ascii="Calibri" w:hAnsi="Calibri" w:eastAsia="Microsoft YaHei"/>
                <w:color w:val="0B2545"/>
                <w:sz w:val="14"/>
              </w:rPr>
              <w:t>DG5</w:t>
            </w:r>
          </w:p>
        </w:tc>
        <w:tc>
          <w:tcPr>
            <w:tcW w:type="dxa" w:w="3760"/>
            <w:tcMar>
              <w:top w:w="45" w:type="dxa"/>
              <w:bottom w:w="45" w:type="dxa"/>
              <w:start w:w="100" w:type="dxa"/>
              <w:end w:w="100" w:type="dxa"/>
            </w:tcMar>
          </w:tcPr>
          <w:p>
            <w:pPr>
              <w:keepLines/>
              <w:spacing w:after="0" w:line="252" w:lineRule="auto"/>
            </w:pPr>
            <w:r>
              <w:rPr>
                <w:rFonts w:ascii="Calibri" w:hAnsi="Calibri" w:eastAsia="Microsoft YaHei"/>
                <w:color w:val="0B2545"/>
                <w:sz w:val="14"/>
              </w:rPr>
              <w:t>微裂变室与中子通量监测：聚变功率基准</w:t>
            </w:r>
          </w:p>
        </w:tc>
        <w:tc>
          <w:tcPr>
            <w:tcW w:type="dxa" w:w="800"/>
            <w:tcMar>
              <w:top w:w="45" w:type="dxa"/>
              <w:bottom w:w="45" w:type="dxa"/>
              <w:start w:w="100" w:type="dxa"/>
              <w:end w:w="100" w:type="dxa"/>
            </w:tcMar>
          </w:tcPr>
          <w:p>
            <w:pPr>
              <w:keepLines/>
              <w:spacing w:after="0" w:line="252" w:lineRule="auto"/>
            </w:pPr>
            <w:r>
              <w:rPr>
                <w:rFonts w:ascii="Calibri" w:hAnsi="Calibri" w:eastAsia="Microsoft YaHei"/>
                <w:color w:val="0B2545"/>
                <w:sz w:val="14"/>
              </w:rPr>
              <w:t>E1</w:t>
            </w:r>
          </w:p>
        </w:tc>
        <w:tc>
          <w:tcPr>
            <w:tcW w:type="dxa" w:w="2900"/>
            <w:tcMar>
              <w:top w:w="45" w:type="dxa"/>
              <w:bottom w:w="45" w:type="dxa"/>
              <w:start w:w="100" w:type="dxa"/>
              <w:end w:w="100" w:type="dxa"/>
            </w:tcMar>
          </w:tcPr>
          <w:p>
            <w:pPr>
              <w:keepLines/>
              <w:spacing w:after="0" w:line="252" w:lineRule="auto"/>
            </w:pPr>
            <w:r>
              <w:rPr>
                <w:rFonts w:ascii="Calibri" w:hAnsi="Calibri" w:eastAsia="Microsoft YaHei"/>
                <w:color w:val="0B2545"/>
                <w:sz w:val="14"/>
              </w:rPr>
              <w:t>ITER；JET；DIII-D；EAST</w:t>
            </w:r>
          </w:p>
        </w:tc>
      </w:tr>
      <w:tr>
        <w:trPr>
          <w:cantSplit/>
        </w:trPr>
        <w:tc>
          <w:tcPr>
            <w:tcW w:type="dxa" w:w="1000"/>
            <w:tcMar>
              <w:top w:w="45" w:type="dxa"/>
              <w:bottom w:w="45" w:type="dxa"/>
              <w:start w:w="100" w:type="dxa"/>
              <w:end w:w="100" w:type="dxa"/>
            </w:tcMar>
          </w:tcPr>
          <w:p>
            <w:pPr>
              <w:keepLines/>
              <w:spacing w:after="0" w:line="252" w:lineRule="auto"/>
            </w:pPr>
            <w:r>
              <w:rPr>
                <w:rFonts w:ascii="Calibri" w:hAnsi="Calibri" w:eastAsia="Microsoft YaHei"/>
                <w:color w:val="0B2545"/>
                <w:sz w:val="14"/>
              </w:rPr>
              <w:t>DG6-029</w:t>
            </w:r>
          </w:p>
        </w:tc>
        <w:tc>
          <w:tcPr>
            <w:tcW w:type="dxa" w:w="900"/>
            <w:tcMar>
              <w:top w:w="45" w:type="dxa"/>
              <w:bottom w:w="45" w:type="dxa"/>
              <w:start w:w="100" w:type="dxa"/>
              <w:end w:w="100" w:type="dxa"/>
            </w:tcMar>
          </w:tcPr>
          <w:p>
            <w:pPr>
              <w:keepLines/>
              <w:spacing w:after="0" w:line="252" w:lineRule="auto"/>
            </w:pPr>
            <w:r>
              <w:rPr>
                <w:rFonts w:ascii="Calibri" w:hAnsi="Calibri" w:eastAsia="Microsoft YaHei"/>
                <w:color w:val="0B2545"/>
                <w:sz w:val="14"/>
              </w:rPr>
              <w:t>DG6</w:t>
            </w:r>
          </w:p>
        </w:tc>
        <w:tc>
          <w:tcPr>
            <w:tcW w:type="dxa" w:w="3760"/>
            <w:tcMar>
              <w:top w:w="45" w:type="dxa"/>
              <w:bottom w:w="45" w:type="dxa"/>
              <w:start w:w="100" w:type="dxa"/>
              <w:end w:w="100" w:type="dxa"/>
            </w:tcMar>
          </w:tcPr>
          <w:p>
            <w:pPr>
              <w:keepLines/>
              <w:spacing w:after="0" w:line="252" w:lineRule="auto"/>
            </w:pPr>
            <w:r>
              <w:rPr>
                <w:rFonts w:ascii="Calibri" w:hAnsi="Calibri" w:eastAsia="Microsoft YaHei"/>
                <w:color w:val="0B2545"/>
                <w:sz w:val="14"/>
              </w:rPr>
              <w:t>Mirnov线圈阵列：MHD模态与锁模</w:t>
            </w:r>
          </w:p>
        </w:tc>
        <w:tc>
          <w:tcPr>
            <w:tcW w:type="dxa" w:w="800"/>
            <w:tcMar>
              <w:top w:w="45" w:type="dxa"/>
              <w:bottom w:w="45" w:type="dxa"/>
              <w:start w:w="100" w:type="dxa"/>
              <w:end w:w="100" w:type="dxa"/>
            </w:tcMar>
          </w:tcPr>
          <w:p>
            <w:pPr>
              <w:keepLines/>
              <w:spacing w:after="0" w:line="252" w:lineRule="auto"/>
            </w:pPr>
            <w:r>
              <w:rPr>
                <w:rFonts w:ascii="Calibri" w:hAnsi="Calibri" w:eastAsia="Microsoft YaHei"/>
                <w:color w:val="0B2545"/>
                <w:sz w:val="14"/>
              </w:rPr>
              <w:t>E4</w:t>
            </w:r>
          </w:p>
        </w:tc>
        <w:tc>
          <w:tcPr>
            <w:tcW w:type="dxa" w:w="2900"/>
            <w:tcMar>
              <w:top w:w="45" w:type="dxa"/>
              <w:bottom w:w="45" w:type="dxa"/>
              <w:start w:w="100" w:type="dxa"/>
              <w:end w:w="100" w:type="dxa"/>
            </w:tcMar>
          </w:tcPr>
          <w:p>
            <w:pPr>
              <w:keepLines/>
              <w:spacing w:after="0" w:line="252" w:lineRule="auto"/>
            </w:pPr>
            <w:r>
              <w:rPr>
                <w:rFonts w:ascii="Calibri" w:hAnsi="Calibri" w:eastAsia="Microsoft YaHei"/>
                <w:color w:val="0B2545"/>
                <w:sz w:val="14"/>
              </w:rPr>
              <w:t>J-TEXT；MAST；DIII-D；EAST；KSTAR</w:t>
            </w:r>
          </w:p>
        </w:tc>
      </w:tr>
      <w:tr>
        <w:trPr>
          <w:cantSplit/>
        </w:trPr>
        <w:tc>
          <w:tcPr>
            <w:tcW w:type="dxa" w:w="1000"/>
            <w:tcMar>
              <w:top w:w="45" w:type="dxa"/>
              <w:bottom w:w="45" w:type="dxa"/>
              <w:start w:w="100" w:type="dxa"/>
              <w:end w:w="100" w:type="dxa"/>
            </w:tcMar>
          </w:tcPr>
          <w:p>
            <w:pPr>
              <w:keepLines/>
              <w:spacing w:after="0" w:line="252" w:lineRule="auto"/>
            </w:pPr>
            <w:r>
              <w:rPr>
                <w:rFonts w:ascii="Calibri" w:hAnsi="Calibri" w:eastAsia="Microsoft YaHei"/>
                <w:color w:val="0B2545"/>
                <w:sz w:val="14"/>
              </w:rPr>
              <w:t>DG7-036</w:t>
            </w:r>
          </w:p>
        </w:tc>
        <w:tc>
          <w:tcPr>
            <w:tcW w:type="dxa" w:w="900"/>
            <w:tcMar>
              <w:top w:w="45" w:type="dxa"/>
              <w:bottom w:w="45" w:type="dxa"/>
              <w:start w:w="100" w:type="dxa"/>
              <w:end w:w="100" w:type="dxa"/>
            </w:tcMar>
          </w:tcPr>
          <w:p>
            <w:pPr>
              <w:keepLines/>
              <w:spacing w:after="0" w:line="252" w:lineRule="auto"/>
            </w:pPr>
            <w:r>
              <w:rPr>
                <w:rFonts w:ascii="Calibri" w:hAnsi="Calibri" w:eastAsia="Microsoft YaHei"/>
                <w:color w:val="0B2545"/>
                <w:sz w:val="14"/>
              </w:rPr>
              <w:t>DG7</w:t>
            </w:r>
          </w:p>
        </w:tc>
        <w:tc>
          <w:tcPr>
            <w:tcW w:type="dxa" w:w="3760"/>
            <w:tcMar>
              <w:top w:w="45" w:type="dxa"/>
              <w:bottom w:w="45" w:type="dxa"/>
              <w:start w:w="100" w:type="dxa"/>
              <w:end w:w="100" w:type="dxa"/>
            </w:tcMar>
          </w:tcPr>
          <w:p>
            <w:pPr>
              <w:keepLines/>
              <w:spacing w:after="0" w:line="252" w:lineRule="auto"/>
            </w:pPr>
            <w:r>
              <w:rPr>
                <w:rFonts w:ascii="Calibri" w:hAnsi="Calibri" w:eastAsia="Microsoft YaHei"/>
                <w:color w:val="0B2545"/>
                <w:sz w:val="14"/>
              </w:rPr>
              <w:t>固定/往复式朗缪尔探针：SOL与偏滤器局部参数</w:t>
            </w:r>
          </w:p>
        </w:tc>
        <w:tc>
          <w:tcPr>
            <w:tcW w:type="dxa" w:w="800"/>
            <w:tcMar>
              <w:top w:w="45" w:type="dxa"/>
              <w:bottom w:w="45" w:type="dxa"/>
              <w:start w:w="100" w:type="dxa"/>
              <w:end w:w="100" w:type="dxa"/>
            </w:tcMar>
          </w:tcPr>
          <w:p>
            <w:pPr>
              <w:keepLines/>
              <w:spacing w:after="0" w:line="252" w:lineRule="auto"/>
            </w:pPr>
            <w:r>
              <w:rPr>
                <w:rFonts w:ascii="Calibri" w:hAnsi="Calibri" w:eastAsia="Microsoft YaHei"/>
                <w:color w:val="0B2545"/>
                <w:sz w:val="14"/>
              </w:rPr>
              <w:t>E4</w:t>
            </w:r>
          </w:p>
        </w:tc>
        <w:tc>
          <w:tcPr>
            <w:tcW w:type="dxa" w:w="2900"/>
            <w:tcMar>
              <w:top w:w="45" w:type="dxa"/>
              <w:bottom w:w="45" w:type="dxa"/>
              <w:start w:w="100" w:type="dxa"/>
              <w:end w:w="100" w:type="dxa"/>
            </w:tcMar>
          </w:tcPr>
          <w:p>
            <w:pPr>
              <w:keepLines/>
              <w:spacing w:after="0" w:line="252" w:lineRule="auto"/>
            </w:pPr>
            <w:r>
              <w:rPr>
                <w:rFonts w:ascii="Calibri" w:hAnsi="Calibri" w:eastAsia="Microsoft YaHei"/>
                <w:color w:val="0B2545"/>
                <w:sz w:val="14"/>
              </w:rPr>
              <w:t>EAST；DIII-D；ASDEX Upgrade；MAST-U</w:t>
            </w:r>
          </w:p>
        </w:tc>
      </w:tr>
      <w:tr>
        <w:trPr>
          <w:cantSplit/>
        </w:trPr>
        <w:tc>
          <w:tcPr>
            <w:tcW w:type="dxa" w:w="1000"/>
            <w:tcMar>
              <w:top w:w="45" w:type="dxa"/>
              <w:bottom w:w="45" w:type="dxa"/>
              <w:start w:w="100" w:type="dxa"/>
              <w:end w:w="100" w:type="dxa"/>
            </w:tcMar>
          </w:tcPr>
          <w:p>
            <w:pPr>
              <w:keepLines/>
              <w:spacing w:after="0" w:line="252" w:lineRule="auto"/>
            </w:pPr>
            <w:r>
              <w:rPr>
                <w:rFonts w:ascii="Calibri" w:hAnsi="Calibri" w:eastAsia="Microsoft YaHei"/>
                <w:color w:val="0B2545"/>
                <w:sz w:val="14"/>
              </w:rPr>
              <w:t>DG7-037</w:t>
            </w:r>
          </w:p>
        </w:tc>
        <w:tc>
          <w:tcPr>
            <w:tcW w:type="dxa" w:w="900"/>
            <w:tcMar>
              <w:top w:w="45" w:type="dxa"/>
              <w:bottom w:w="45" w:type="dxa"/>
              <w:start w:w="100" w:type="dxa"/>
              <w:end w:w="100" w:type="dxa"/>
            </w:tcMar>
          </w:tcPr>
          <w:p>
            <w:pPr>
              <w:keepLines/>
              <w:spacing w:after="0" w:line="252" w:lineRule="auto"/>
            </w:pPr>
            <w:r>
              <w:rPr>
                <w:rFonts w:ascii="Calibri" w:hAnsi="Calibri" w:eastAsia="Microsoft YaHei"/>
                <w:color w:val="0B2545"/>
                <w:sz w:val="14"/>
              </w:rPr>
              <w:t>DG7</w:t>
            </w:r>
          </w:p>
        </w:tc>
        <w:tc>
          <w:tcPr>
            <w:tcW w:type="dxa" w:w="3760"/>
            <w:tcMar>
              <w:top w:w="45" w:type="dxa"/>
              <w:bottom w:w="45" w:type="dxa"/>
              <w:start w:w="100" w:type="dxa"/>
              <w:end w:w="100" w:type="dxa"/>
            </w:tcMar>
          </w:tcPr>
          <w:p>
            <w:pPr>
              <w:keepLines/>
              <w:spacing w:after="0" w:line="252" w:lineRule="auto"/>
            </w:pPr>
            <w:r>
              <w:rPr>
                <w:rFonts w:ascii="Calibri" w:hAnsi="Calibri" w:eastAsia="Microsoft YaHei"/>
                <w:color w:val="0B2545"/>
                <w:sz w:val="14"/>
              </w:rPr>
              <w:t>红外热成像：PFC表面温度与热流</w:t>
            </w:r>
          </w:p>
        </w:tc>
        <w:tc>
          <w:tcPr>
            <w:tcW w:type="dxa" w:w="800"/>
            <w:tcMar>
              <w:top w:w="45" w:type="dxa"/>
              <w:bottom w:w="45" w:type="dxa"/>
              <w:start w:w="100" w:type="dxa"/>
              <w:end w:w="100" w:type="dxa"/>
            </w:tcMar>
          </w:tcPr>
          <w:p>
            <w:pPr>
              <w:keepLines/>
              <w:spacing w:after="0" w:line="252" w:lineRule="auto"/>
            </w:pPr>
            <w:r>
              <w:rPr>
                <w:rFonts w:ascii="Calibri" w:hAnsi="Calibri" w:eastAsia="Microsoft YaHei"/>
                <w:color w:val="0B2545"/>
                <w:sz w:val="14"/>
              </w:rPr>
              <w:t>E2</w:t>
            </w:r>
          </w:p>
        </w:tc>
        <w:tc>
          <w:tcPr>
            <w:tcW w:type="dxa" w:w="2900"/>
            <w:tcMar>
              <w:top w:w="45" w:type="dxa"/>
              <w:bottom w:w="45" w:type="dxa"/>
              <w:start w:w="100" w:type="dxa"/>
              <w:end w:w="100" w:type="dxa"/>
            </w:tcMar>
          </w:tcPr>
          <w:p>
            <w:pPr>
              <w:keepLines/>
              <w:spacing w:after="0" w:line="252" w:lineRule="auto"/>
            </w:pPr>
            <w:r>
              <w:rPr>
                <w:rFonts w:ascii="Calibri" w:hAnsi="Calibri" w:eastAsia="Microsoft YaHei"/>
                <w:color w:val="0B2545"/>
                <w:sz w:val="14"/>
              </w:rPr>
              <w:t>ITER；ASDEX Upgrade；JET；WEST；EAST</w:t>
            </w:r>
          </w:p>
        </w:tc>
      </w:tr>
      <w:tr>
        <w:trPr>
          <w:cantSplit/>
        </w:trPr>
        <w:tc>
          <w:tcPr>
            <w:tcW w:type="dxa" w:w="1000"/>
            <w:tcMar>
              <w:top w:w="45" w:type="dxa"/>
              <w:bottom w:w="45" w:type="dxa"/>
              <w:start w:w="100" w:type="dxa"/>
              <w:end w:w="100" w:type="dxa"/>
            </w:tcMar>
          </w:tcPr>
          <w:p>
            <w:pPr>
              <w:keepLines/>
              <w:spacing w:after="0" w:line="252" w:lineRule="auto"/>
            </w:pPr>
            <w:r>
              <w:rPr>
                <w:rFonts w:ascii="Calibri" w:hAnsi="Calibri" w:eastAsia="Microsoft YaHei"/>
                <w:color w:val="0B2545"/>
                <w:sz w:val="14"/>
              </w:rPr>
              <w:t>DSI-035</w:t>
            </w:r>
          </w:p>
        </w:tc>
        <w:tc>
          <w:tcPr>
            <w:tcW w:type="dxa" w:w="900"/>
            <w:tcMar>
              <w:top w:w="45" w:type="dxa"/>
              <w:bottom w:w="45" w:type="dxa"/>
              <w:start w:w="100" w:type="dxa"/>
              <w:end w:w="100" w:type="dxa"/>
            </w:tcMar>
          </w:tcPr>
          <w:p>
            <w:pPr>
              <w:keepLines/>
              <w:spacing w:after="0" w:line="252" w:lineRule="auto"/>
            </w:pPr>
            <w:r>
              <w:rPr>
                <w:rFonts w:ascii="Calibri" w:hAnsi="Calibri" w:eastAsia="Microsoft YaHei"/>
                <w:color w:val="0B2545"/>
                <w:sz w:val="14"/>
              </w:rPr>
              <w:t>DG8</w:t>
            </w:r>
          </w:p>
        </w:tc>
        <w:tc>
          <w:tcPr>
            <w:tcW w:type="dxa" w:w="3760"/>
            <w:tcMar>
              <w:top w:w="45" w:type="dxa"/>
              <w:bottom w:w="45" w:type="dxa"/>
              <w:start w:w="100" w:type="dxa"/>
              <w:end w:w="100" w:type="dxa"/>
            </w:tcMar>
          </w:tcPr>
          <w:p>
            <w:pPr>
              <w:keepLines/>
              <w:spacing w:after="0" w:line="252" w:lineRule="auto"/>
            </w:pPr>
            <w:r>
              <w:rPr>
                <w:rFonts w:ascii="Calibri" w:hAnsi="Calibri" w:eastAsia="Microsoft YaHei"/>
                <w:color w:val="0B2545"/>
                <w:sz w:val="14"/>
              </w:rPr>
              <w:t>ITER Tokamak Systems Monitor 工程系统机器学习异常检测</w:t>
            </w:r>
          </w:p>
        </w:tc>
        <w:tc>
          <w:tcPr>
            <w:tcW w:type="dxa" w:w="800"/>
            <w:tcMar>
              <w:top w:w="45" w:type="dxa"/>
              <w:bottom w:w="45" w:type="dxa"/>
              <w:start w:w="100" w:type="dxa"/>
              <w:end w:w="100" w:type="dxa"/>
            </w:tcMar>
          </w:tcPr>
          <w:p>
            <w:pPr>
              <w:keepLines/>
              <w:spacing w:after="0" w:line="252" w:lineRule="auto"/>
            </w:pPr>
            <w:r>
              <w:rPr>
                <w:rFonts w:ascii="Calibri" w:hAnsi="Calibri" w:eastAsia="Microsoft YaHei"/>
                <w:color w:val="0B2545"/>
                <w:sz w:val="14"/>
              </w:rPr>
              <w:t>E2</w:t>
            </w:r>
          </w:p>
        </w:tc>
        <w:tc>
          <w:tcPr>
            <w:tcW w:type="dxa" w:w="2900"/>
            <w:tcMar>
              <w:top w:w="45" w:type="dxa"/>
              <w:bottom w:w="45" w:type="dxa"/>
              <w:start w:w="100" w:type="dxa"/>
              <w:end w:w="100" w:type="dxa"/>
            </w:tcMar>
          </w:tcPr>
          <w:p>
            <w:pPr>
              <w:keepLines/>
              <w:spacing w:after="0" w:line="252" w:lineRule="auto"/>
            </w:pPr>
            <w:r>
              <w:rPr>
                <w:rFonts w:ascii="Calibri" w:hAnsi="Calibri" w:eastAsia="Microsoft YaHei"/>
                <w:color w:val="0B2545"/>
                <w:sz w:val="14"/>
              </w:rPr>
              <w:t>ITER Tokamak Systems Monitor (pre-operational software and prototype-data context)</w:t>
            </w:r>
          </w:p>
        </w:tc>
      </w:tr>
      <w:tr>
        <w:trPr>
          <w:cantSplit/>
        </w:trPr>
        <w:tc>
          <w:tcPr>
            <w:tcW w:type="dxa" w:w="1000"/>
            <w:tcMar>
              <w:top w:w="45" w:type="dxa"/>
              <w:bottom w:w="45" w:type="dxa"/>
              <w:start w:w="100" w:type="dxa"/>
              <w:end w:w="100" w:type="dxa"/>
            </w:tcMar>
          </w:tcPr>
          <w:p>
            <w:pPr>
              <w:keepLines/>
              <w:spacing w:after="0" w:line="252" w:lineRule="auto"/>
            </w:pPr>
            <w:r>
              <w:rPr>
                <w:rFonts w:ascii="Calibri" w:hAnsi="Calibri" w:eastAsia="Microsoft YaHei"/>
                <w:color w:val="0B2545"/>
                <w:sz w:val="14"/>
              </w:rPr>
              <w:t>PDT-001</w:t>
            </w:r>
          </w:p>
        </w:tc>
        <w:tc>
          <w:tcPr>
            <w:tcW w:type="dxa" w:w="900"/>
            <w:tcMar>
              <w:top w:w="45" w:type="dxa"/>
              <w:bottom w:w="45" w:type="dxa"/>
              <w:start w:w="100" w:type="dxa"/>
              <w:end w:w="100" w:type="dxa"/>
            </w:tcMar>
          </w:tcPr>
          <w:p>
            <w:pPr>
              <w:keepLines/>
              <w:spacing w:after="0" w:line="252" w:lineRule="auto"/>
            </w:pPr>
            <w:r>
              <w:rPr>
                <w:rFonts w:ascii="Calibri" w:hAnsi="Calibri" w:eastAsia="Microsoft YaHei"/>
                <w:color w:val="0B2545"/>
                <w:sz w:val="14"/>
              </w:rPr>
              <w:t>DG8</w:t>
            </w:r>
          </w:p>
        </w:tc>
        <w:tc>
          <w:tcPr>
            <w:tcW w:type="dxa" w:w="3760"/>
            <w:tcMar>
              <w:top w:w="45" w:type="dxa"/>
              <w:bottom w:w="45" w:type="dxa"/>
              <w:start w:w="100" w:type="dxa"/>
              <w:end w:w="100" w:type="dxa"/>
            </w:tcMar>
          </w:tcPr>
          <w:p>
            <w:pPr>
              <w:keepLines/>
              <w:spacing w:after="0" w:line="252" w:lineRule="auto"/>
            </w:pPr>
            <w:r>
              <w:rPr>
                <w:rFonts w:ascii="Calibri" w:hAnsi="Calibri" w:eastAsia="Microsoft YaHei"/>
                <w:color w:val="0B2545"/>
                <w:sz w:val="14"/>
              </w:rPr>
              <w:t>ITER 超导磁体多通道失超探测与抗噪监视</w:t>
            </w:r>
          </w:p>
        </w:tc>
        <w:tc>
          <w:tcPr>
            <w:tcW w:type="dxa" w:w="800"/>
            <w:tcMar>
              <w:top w:w="45" w:type="dxa"/>
              <w:bottom w:w="45" w:type="dxa"/>
              <w:start w:w="100" w:type="dxa"/>
              <w:end w:w="100" w:type="dxa"/>
            </w:tcMar>
          </w:tcPr>
          <w:p>
            <w:pPr>
              <w:keepLines/>
              <w:spacing w:after="0" w:line="252" w:lineRule="auto"/>
            </w:pPr>
            <w:r>
              <w:rPr>
                <w:rFonts w:ascii="Calibri" w:hAnsi="Calibri" w:eastAsia="Microsoft YaHei"/>
                <w:color w:val="0B2545"/>
                <w:sz w:val="14"/>
              </w:rPr>
              <w:t>E2</w:t>
            </w:r>
          </w:p>
        </w:tc>
        <w:tc>
          <w:tcPr>
            <w:tcW w:type="dxa" w:w="2900"/>
            <w:tcMar>
              <w:top w:w="45" w:type="dxa"/>
              <w:bottom w:w="45" w:type="dxa"/>
              <w:start w:w="100" w:type="dxa"/>
              <w:end w:w="100" w:type="dxa"/>
            </w:tcMar>
          </w:tcPr>
          <w:p>
            <w:pPr>
              <w:keepLines/>
              <w:spacing w:after="0" w:line="252" w:lineRule="auto"/>
            </w:pPr>
            <w:r>
              <w:rPr>
                <w:rFonts w:ascii="Calibri" w:hAnsi="Calibri" w:eastAsia="Microsoft YaHei"/>
                <w:color w:val="0B2545"/>
                <w:sz w:val="14"/>
              </w:rPr>
              <w:t>ITER</w:t>
            </w:r>
          </w:p>
        </w:tc>
      </w:tr>
      <w:tr>
        <w:trPr>
          <w:cantSplit/>
        </w:trPr>
        <w:tc>
          <w:tcPr>
            <w:tcW w:type="dxa" w:w="1000"/>
            <w:tcMar>
              <w:top w:w="45" w:type="dxa"/>
              <w:bottom w:w="45" w:type="dxa"/>
              <w:start w:w="100" w:type="dxa"/>
              <w:end w:w="100" w:type="dxa"/>
            </w:tcMar>
          </w:tcPr>
          <w:p>
            <w:pPr>
              <w:keepLines/>
              <w:spacing w:after="0" w:line="252" w:lineRule="auto"/>
            </w:pPr>
            <w:r>
              <w:rPr>
                <w:rFonts w:ascii="Calibri" w:hAnsi="Calibri" w:eastAsia="Microsoft YaHei"/>
                <w:color w:val="0B2545"/>
                <w:sz w:val="14"/>
              </w:rPr>
              <w:t>PDT-002</w:t>
            </w:r>
          </w:p>
        </w:tc>
        <w:tc>
          <w:tcPr>
            <w:tcW w:type="dxa" w:w="900"/>
            <w:tcMar>
              <w:top w:w="45" w:type="dxa"/>
              <w:bottom w:w="45" w:type="dxa"/>
              <w:start w:w="100" w:type="dxa"/>
              <w:end w:w="100" w:type="dxa"/>
            </w:tcMar>
          </w:tcPr>
          <w:p>
            <w:pPr>
              <w:keepLines/>
              <w:spacing w:after="0" w:line="252" w:lineRule="auto"/>
            </w:pPr>
            <w:r>
              <w:rPr>
                <w:rFonts w:ascii="Calibri" w:hAnsi="Calibri" w:eastAsia="Microsoft YaHei"/>
                <w:color w:val="0B2545"/>
                <w:sz w:val="14"/>
              </w:rPr>
              <w:t>DG8</w:t>
            </w:r>
          </w:p>
        </w:tc>
        <w:tc>
          <w:tcPr>
            <w:tcW w:type="dxa" w:w="3760"/>
            <w:tcMar>
              <w:top w:w="45" w:type="dxa"/>
              <w:bottom w:w="45" w:type="dxa"/>
              <w:start w:w="100" w:type="dxa"/>
              <w:end w:w="100" w:type="dxa"/>
            </w:tcMar>
          </w:tcPr>
          <w:p>
            <w:pPr>
              <w:keepLines/>
              <w:spacing w:after="0" w:line="252" w:lineRule="auto"/>
            </w:pPr>
            <w:r>
              <w:rPr>
                <w:rFonts w:ascii="Calibri" w:hAnsi="Calibri" w:eastAsia="Microsoft YaHei"/>
                <w:color w:val="0B2545"/>
                <w:sz w:val="14"/>
              </w:rPr>
              <w:t>JT-60SA 磁体—低温联合状态监测与失超保护调试</w:t>
            </w:r>
          </w:p>
        </w:tc>
        <w:tc>
          <w:tcPr>
            <w:tcW w:type="dxa" w:w="800"/>
            <w:tcMar>
              <w:top w:w="45" w:type="dxa"/>
              <w:bottom w:w="45" w:type="dxa"/>
              <w:start w:w="100" w:type="dxa"/>
              <w:end w:w="100" w:type="dxa"/>
            </w:tcMar>
          </w:tcPr>
          <w:p>
            <w:pPr>
              <w:keepLines/>
              <w:spacing w:after="0" w:line="252" w:lineRule="auto"/>
            </w:pPr>
            <w:r>
              <w:rPr>
                <w:rFonts w:ascii="Calibri" w:hAnsi="Calibri" w:eastAsia="Microsoft YaHei"/>
                <w:color w:val="0B2545"/>
                <w:sz w:val="14"/>
              </w:rPr>
              <w:t>E3</w:t>
            </w:r>
          </w:p>
        </w:tc>
        <w:tc>
          <w:tcPr>
            <w:tcW w:type="dxa" w:w="2900"/>
            <w:tcMar>
              <w:top w:w="45" w:type="dxa"/>
              <w:bottom w:w="45" w:type="dxa"/>
              <w:start w:w="100" w:type="dxa"/>
              <w:end w:w="100" w:type="dxa"/>
            </w:tcMar>
          </w:tcPr>
          <w:p>
            <w:pPr>
              <w:keepLines/>
              <w:spacing w:after="0" w:line="252" w:lineRule="auto"/>
            </w:pPr>
            <w:r>
              <w:rPr>
                <w:rFonts w:ascii="Calibri" w:hAnsi="Calibri" w:eastAsia="Microsoft YaHei"/>
                <w:color w:val="0B2545"/>
                <w:sz w:val="14"/>
              </w:rPr>
              <w:t>JT-60SA</w:t>
            </w:r>
          </w:p>
        </w:tc>
      </w:tr>
      <w:tr>
        <w:trPr>
          <w:cantSplit/>
        </w:trPr>
        <w:tc>
          <w:tcPr>
            <w:tcW w:type="dxa" w:w="1000"/>
            <w:tcMar>
              <w:top w:w="45" w:type="dxa"/>
              <w:bottom w:w="45" w:type="dxa"/>
              <w:start w:w="100" w:type="dxa"/>
              <w:end w:w="100" w:type="dxa"/>
            </w:tcMar>
          </w:tcPr>
          <w:p>
            <w:pPr>
              <w:keepLines/>
              <w:spacing w:after="0" w:line="252" w:lineRule="auto"/>
            </w:pPr>
            <w:r>
              <w:rPr>
                <w:rFonts w:ascii="Calibri" w:hAnsi="Calibri" w:eastAsia="Microsoft YaHei"/>
                <w:color w:val="0B2545"/>
                <w:sz w:val="14"/>
              </w:rPr>
              <w:t>PDT-003</w:t>
            </w:r>
          </w:p>
        </w:tc>
        <w:tc>
          <w:tcPr>
            <w:tcW w:type="dxa" w:w="900"/>
            <w:tcMar>
              <w:top w:w="45" w:type="dxa"/>
              <w:bottom w:w="45" w:type="dxa"/>
              <w:start w:w="100" w:type="dxa"/>
              <w:end w:w="100" w:type="dxa"/>
            </w:tcMar>
          </w:tcPr>
          <w:p>
            <w:pPr>
              <w:keepLines/>
              <w:spacing w:after="0" w:line="252" w:lineRule="auto"/>
            </w:pPr>
            <w:r>
              <w:rPr>
                <w:rFonts w:ascii="Calibri" w:hAnsi="Calibri" w:eastAsia="Microsoft YaHei"/>
                <w:color w:val="0B2545"/>
                <w:sz w:val="14"/>
              </w:rPr>
              <w:t>DG8</w:t>
            </w:r>
          </w:p>
        </w:tc>
        <w:tc>
          <w:tcPr>
            <w:tcW w:type="dxa" w:w="3760"/>
            <w:tcMar>
              <w:top w:w="45" w:type="dxa"/>
              <w:bottom w:w="45" w:type="dxa"/>
              <w:start w:w="100" w:type="dxa"/>
              <w:end w:w="100" w:type="dxa"/>
            </w:tcMar>
          </w:tcPr>
          <w:p>
            <w:pPr>
              <w:keepLines/>
              <w:spacing w:after="0" w:line="252" w:lineRule="auto"/>
            </w:pPr>
            <w:r>
              <w:rPr>
                <w:rFonts w:ascii="Calibri" w:hAnsi="Calibri" w:eastAsia="Microsoft YaHei"/>
                <w:color w:val="0B2545"/>
                <w:sz w:val="14"/>
              </w:rPr>
              <w:t>EAST 超导线圈出口温度技术诊断与安全联锁</w:t>
            </w:r>
          </w:p>
        </w:tc>
        <w:tc>
          <w:tcPr>
            <w:tcW w:type="dxa" w:w="800"/>
            <w:tcMar>
              <w:top w:w="45" w:type="dxa"/>
              <w:bottom w:w="45" w:type="dxa"/>
              <w:start w:w="100" w:type="dxa"/>
              <w:end w:w="100" w:type="dxa"/>
            </w:tcMar>
          </w:tcPr>
          <w:p>
            <w:pPr>
              <w:keepLines/>
              <w:spacing w:after="0" w:line="252" w:lineRule="auto"/>
            </w:pPr>
            <w:r>
              <w:rPr>
                <w:rFonts w:ascii="Calibri" w:hAnsi="Calibri" w:eastAsia="Microsoft YaHei"/>
                <w:color w:val="0B2545"/>
                <w:sz w:val="14"/>
              </w:rPr>
              <w:t>E4</w:t>
            </w:r>
          </w:p>
        </w:tc>
        <w:tc>
          <w:tcPr>
            <w:tcW w:type="dxa" w:w="2900"/>
            <w:tcMar>
              <w:top w:w="45" w:type="dxa"/>
              <w:bottom w:w="45" w:type="dxa"/>
              <w:start w:w="100" w:type="dxa"/>
              <w:end w:w="100" w:type="dxa"/>
            </w:tcMar>
          </w:tcPr>
          <w:p>
            <w:pPr>
              <w:keepLines/>
              <w:spacing w:after="0" w:line="252" w:lineRule="auto"/>
            </w:pPr>
            <w:r>
              <w:rPr>
                <w:rFonts w:ascii="Calibri" w:hAnsi="Calibri" w:eastAsia="Microsoft YaHei"/>
                <w:color w:val="0B2545"/>
                <w:sz w:val="14"/>
              </w:rPr>
              <w:t>EAST</w:t>
            </w:r>
          </w:p>
        </w:tc>
      </w:tr>
      <w:tr>
        <w:trPr>
          <w:cantSplit/>
        </w:trPr>
        <w:tc>
          <w:tcPr>
            <w:tcW w:type="dxa" w:w="1000"/>
            <w:tcMar>
              <w:top w:w="45" w:type="dxa"/>
              <w:bottom w:w="45" w:type="dxa"/>
              <w:start w:w="100" w:type="dxa"/>
              <w:end w:w="100" w:type="dxa"/>
            </w:tcMar>
          </w:tcPr>
          <w:p>
            <w:pPr>
              <w:keepLines/>
              <w:spacing w:after="0" w:line="252" w:lineRule="auto"/>
            </w:pPr>
            <w:r>
              <w:rPr>
                <w:rFonts w:ascii="Calibri" w:hAnsi="Calibri" w:eastAsia="Microsoft YaHei"/>
                <w:color w:val="0B2545"/>
                <w:sz w:val="14"/>
              </w:rPr>
              <w:t>PDT-004</w:t>
            </w:r>
          </w:p>
        </w:tc>
        <w:tc>
          <w:tcPr>
            <w:tcW w:type="dxa" w:w="900"/>
            <w:tcMar>
              <w:top w:w="45" w:type="dxa"/>
              <w:bottom w:w="45" w:type="dxa"/>
              <w:start w:w="100" w:type="dxa"/>
              <w:end w:w="100" w:type="dxa"/>
            </w:tcMar>
          </w:tcPr>
          <w:p>
            <w:pPr>
              <w:keepLines/>
              <w:spacing w:after="0" w:line="252" w:lineRule="auto"/>
            </w:pPr>
            <w:r>
              <w:rPr>
                <w:rFonts w:ascii="Calibri" w:hAnsi="Calibri" w:eastAsia="Microsoft YaHei"/>
                <w:color w:val="0B2545"/>
                <w:sz w:val="14"/>
              </w:rPr>
              <w:t>DG8</w:t>
            </w:r>
          </w:p>
        </w:tc>
        <w:tc>
          <w:tcPr>
            <w:tcW w:type="dxa" w:w="3760"/>
            <w:tcMar>
              <w:top w:w="45" w:type="dxa"/>
              <w:bottom w:w="45" w:type="dxa"/>
              <w:start w:w="100" w:type="dxa"/>
              <w:end w:w="100" w:type="dxa"/>
            </w:tcMar>
          </w:tcPr>
          <w:p>
            <w:pPr>
              <w:keepLines/>
              <w:spacing w:after="0" w:line="252" w:lineRule="auto"/>
            </w:pPr>
            <w:r>
              <w:rPr>
                <w:rFonts w:ascii="Calibri" w:hAnsi="Calibri" w:eastAsia="Microsoft YaHei"/>
                <w:color w:val="0B2545"/>
                <w:sz w:val="14"/>
              </w:rPr>
              <w:t>WEST 红外壁监视到射频功率退让的实时闭环</w:t>
            </w:r>
          </w:p>
        </w:tc>
        <w:tc>
          <w:tcPr>
            <w:tcW w:type="dxa" w:w="800"/>
            <w:tcMar>
              <w:top w:w="45" w:type="dxa"/>
              <w:bottom w:w="45" w:type="dxa"/>
              <w:start w:w="100" w:type="dxa"/>
              <w:end w:w="100" w:type="dxa"/>
            </w:tcMar>
          </w:tcPr>
          <w:p>
            <w:pPr>
              <w:keepLines/>
              <w:spacing w:after="0" w:line="252" w:lineRule="auto"/>
            </w:pPr>
            <w:r>
              <w:rPr>
                <w:rFonts w:ascii="Calibri" w:hAnsi="Calibri" w:eastAsia="Microsoft YaHei"/>
                <w:color w:val="0B2545"/>
                <w:sz w:val="14"/>
              </w:rPr>
              <w:t>E4</w:t>
            </w:r>
          </w:p>
        </w:tc>
        <w:tc>
          <w:tcPr>
            <w:tcW w:type="dxa" w:w="2900"/>
            <w:tcMar>
              <w:top w:w="45" w:type="dxa"/>
              <w:bottom w:w="45" w:type="dxa"/>
              <w:start w:w="100" w:type="dxa"/>
              <w:end w:w="100" w:type="dxa"/>
            </w:tcMar>
          </w:tcPr>
          <w:p>
            <w:pPr>
              <w:keepLines/>
              <w:spacing w:after="0" w:line="252" w:lineRule="auto"/>
            </w:pPr>
            <w:r>
              <w:rPr>
                <w:rFonts w:ascii="Calibri" w:hAnsi="Calibri" w:eastAsia="Microsoft YaHei"/>
                <w:color w:val="0B2545"/>
                <w:sz w:val="14"/>
              </w:rPr>
              <w:t>WEST</w:t>
            </w:r>
          </w:p>
        </w:tc>
      </w:tr>
      <w:tr>
        <w:trPr>
          <w:cantSplit/>
        </w:trPr>
        <w:tc>
          <w:tcPr>
            <w:tcW w:type="dxa" w:w="1000"/>
            <w:tcMar>
              <w:top w:w="45" w:type="dxa"/>
              <w:bottom w:w="45" w:type="dxa"/>
              <w:start w:w="100" w:type="dxa"/>
              <w:end w:w="100" w:type="dxa"/>
            </w:tcMar>
          </w:tcPr>
          <w:p>
            <w:pPr>
              <w:keepLines/>
              <w:spacing w:after="0" w:line="252" w:lineRule="auto"/>
            </w:pPr>
            <w:r>
              <w:rPr>
                <w:rFonts w:ascii="Calibri" w:hAnsi="Calibri" w:eastAsia="Microsoft YaHei"/>
                <w:color w:val="0B2545"/>
                <w:sz w:val="14"/>
              </w:rPr>
              <w:t>PDT-006</w:t>
            </w:r>
          </w:p>
        </w:tc>
        <w:tc>
          <w:tcPr>
            <w:tcW w:type="dxa" w:w="900"/>
            <w:tcMar>
              <w:top w:w="45" w:type="dxa"/>
              <w:bottom w:w="45" w:type="dxa"/>
              <w:start w:w="100" w:type="dxa"/>
              <w:end w:w="100" w:type="dxa"/>
            </w:tcMar>
          </w:tcPr>
          <w:p>
            <w:pPr>
              <w:keepLines/>
              <w:spacing w:after="0" w:line="252" w:lineRule="auto"/>
            </w:pPr>
            <w:r>
              <w:rPr>
                <w:rFonts w:ascii="Calibri" w:hAnsi="Calibri" w:eastAsia="Microsoft YaHei"/>
                <w:color w:val="0B2545"/>
                <w:sz w:val="14"/>
              </w:rPr>
              <w:t>DG8</w:t>
            </w:r>
          </w:p>
        </w:tc>
        <w:tc>
          <w:tcPr>
            <w:tcW w:type="dxa" w:w="3760"/>
            <w:tcMar>
              <w:top w:w="45" w:type="dxa"/>
              <w:bottom w:w="45" w:type="dxa"/>
              <w:start w:w="100" w:type="dxa"/>
              <w:end w:w="100" w:type="dxa"/>
            </w:tcMar>
          </w:tcPr>
          <w:p>
            <w:pPr>
              <w:keepLines/>
              <w:spacing w:after="0" w:line="252" w:lineRule="auto"/>
            </w:pPr>
            <w:r>
              <w:rPr>
                <w:rFonts w:ascii="Calibri" w:hAnsi="Calibri" w:eastAsia="Microsoft YaHei"/>
                <w:color w:val="0B2545"/>
                <w:sz w:val="14"/>
              </w:rPr>
              <w:t>W7-X 长脉冲热事件自动检测与图像数据库</w:t>
            </w:r>
          </w:p>
        </w:tc>
        <w:tc>
          <w:tcPr>
            <w:tcW w:type="dxa" w:w="800"/>
            <w:tcMar>
              <w:top w:w="45" w:type="dxa"/>
              <w:bottom w:w="45" w:type="dxa"/>
              <w:start w:w="100" w:type="dxa"/>
              <w:end w:w="100" w:type="dxa"/>
            </w:tcMar>
          </w:tcPr>
          <w:p>
            <w:pPr>
              <w:keepLines/>
              <w:spacing w:after="0" w:line="252" w:lineRule="auto"/>
            </w:pPr>
            <w:r>
              <w:rPr>
                <w:rFonts w:ascii="Calibri" w:hAnsi="Calibri" w:eastAsia="Microsoft YaHei"/>
                <w:color w:val="0B2545"/>
                <w:sz w:val="14"/>
              </w:rPr>
              <w:t>E4</w:t>
            </w:r>
          </w:p>
        </w:tc>
        <w:tc>
          <w:tcPr>
            <w:tcW w:type="dxa" w:w="2900"/>
            <w:tcMar>
              <w:top w:w="45" w:type="dxa"/>
              <w:bottom w:w="45" w:type="dxa"/>
              <w:start w:w="100" w:type="dxa"/>
              <w:end w:w="100" w:type="dxa"/>
            </w:tcMar>
          </w:tcPr>
          <w:p>
            <w:pPr>
              <w:keepLines/>
              <w:spacing w:after="0" w:line="252" w:lineRule="auto"/>
            </w:pPr>
            <w:r>
              <w:rPr>
                <w:rFonts w:ascii="Calibri" w:hAnsi="Calibri" w:eastAsia="Microsoft YaHei"/>
                <w:color w:val="0B2545"/>
                <w:sz w:val="14"/>
              </w:rPr>
              <w:t>Wendelstein 7-X</w:t>
            </w:r>
          </w:p>
        </w:tc>
      </w:tr>
      <w:tr>
        <w:trPr>
          <w:cantSplit/>
        </w:trPr>
        <w:tc>
          <w:tcPr>
            <w:tcW w:type="dxa" w:w="1000"/>
            <w:tcMar>
              <w:top w:w="45" w:type="dxa"/>
              <w:bottom w:w="45" w:type="dxa"/>
              <w:start w:w="100" w:type="dxa"/>
              <w:end w:w="100" w:type="dxa"/>
            </w:tcMar>
          </w:tcPr>
          <w:p>
            <w:pPr>
              <w:keepLines/>
              <w:spacing w:after="0" w:line="252" w:lineRule="auto"/>
            </w:pPr>
            <w:r>
              <w:rPr>
                <w:rFonts w:ascii="Calibri" w:hAnsi="Calibri" w:eastAsia="Microsoft YaHei"/>
                <w:color w:val="0B2545"/>
                <w:sz w:val="14"/>
              </w:rPr>
              <w:t>PDT-008</w:t>
            </w:r>
          </w:p>
        </w:tc>
        <w:tc>
          <w:tcPr>
            <w:tcW w:type="dxa" w:w="900"/>
            <w:tcMar>
              <w:top w:w="45" w:type="dxa"/>
              <w:bottom w:w="45" w:type="dxa"/>
              <w:start w:w="100" w:type="dxa"/>
              <w:end w:w="100" w:type="dxa"/>
            </w:tcMar>
          </w:tcPr>
          <w:p>
            <w:pPr>
              <w:keepLines/>
              <w:spacing w:after="0" w:line="252" w:lineRule="auto"/>
            </w:pPr>
            <w:r>
              <w:rPr>
                <w:rFonts w:ascii="Calibri" w:hAnsi="Calibri" w:eastAsia="Microsoft YaHei"/>
                <w:color w:val="0B2545"/>
                <w:sz w:val="14"/>
              </w:rPr>
              <w:t>DG8</w:t>
            </w:r>
          </w:p>
        </w:tc>
        <w:tc>
          <w:tcPr>
            <w:tcW w:type="dxa" w:w="3760"/>
            <w:tcMar>
              <w:top w:w="45" w:type="dxa"/>
              <w:bottom w:w="45" w:type="dxa"/>
              <w:start w:w="100" w:type="dxa"/>
              <w:end w:w="100" w:type="dxa"/>
            </w:tcMar>
          </w:tcPr>
          <w:p>
            <w:pPr>
              <w:keepLines/>
              <w:spacing w:after="0" w:line="252" w:lineRule="auto"/>
            </w:pPr>
            <w:r>
              <w:rPr>
                <w:rFonts w:ascii="Calibri" w:hAnsi="Calibri" w:eastAsia="Microsoft YaHei"/>
                <w:color w:val="0B2545"/>
                <w:sz w:val="14"/>
              </w:rPr>
              <w:t>大型托卡马克真空室电磁载荷—结构位移实时降阶监测</w:t>
            </w:r>
          </w:p>
        </w:tc>
        <w:tc>
          <w:tcPr>
            <w:tcW w:type="dxa" w:w="800"/>
            <w:tcMar>
              <w:top w:w="45" w:type="dxa"/>
              <w:bottom w:w="45" w:type="dxa"/>
              <w:start w:w="100" w:type="dxa"/>
              <w:end w:w="100" w:type="dxa"/>
            </w:tcMar>
          </w:tcPr>
          <w:p>
            <w:pPr>
              <w:keepLines/>
              <w:spacing w:after="0" w:line="252" w:lineRule="auto"/>
            </w:pPr>
            <w:r>
              <w:rPr>
                <w:rFonts w:ascii="Calibri" w:hAnsi="Calibri" w:eastAsia="Microsoft YaHei"/>
                <w:color w:val="0B2545"/>
                <w:sz w:val="14"/>
              </w:rPr>
              <w:t>E1</w:t>
            </w:r>
          </w:p>
        </w:tc>
        <w:tc>
          <w:tcPr>
            <w:tcW w:type="dxa" w:w="2900"/>
            <w:tcMar>
              <w:top w:w="45" w:type="dxa"/>
              <w:bottom w:w="45" w:type="dxa"/>
              <w:start w:w="100" w:type="dxa"/>
              <w:end w:w="100" w:type="dxa"/>
            </w:tcMar>
          </w:tcPr>
          <w:p>
            <w:pPr>
              <w:keepLines/>
              <w:spacing w:after="0" w:line="252" w:lineRule="auto"/>
            </w:pPr>
            <w:r>
              <w:rPr>
                <w:rFonts w:ascii="Calibri" w:hAnsi="Calibri" w:eastAsia="Microsoft YaHei"/>
                <w:color w:val="0B2545"/>
                <w:sz w:val="14"/>
              </w:rPr>
              <w:t>large-scale tokamak models; device-specific validation pending</w:t>
            </w:r>
          </w:p>
        </w:tc>
      </w:tr>
      <w:tr>
        <w:trPr>
          <w:cantSplit/>
        </w:trPr>
        <w:tc>
          <w:tcPr>
            <w:tcW w:type="dxa" w:w="1000"/>
            <w:tcMar>
              <w:top w:w="45" w:type="dxa"/>
              <w:bottom w:w="45" w:type="dxa"/>
              <w:start w:w="100" w:type="dxa"/>
              <w:end w:w="100" w:type="dxa"/>
            </w:tcMar>
          </w:tcPr>
          <w:p>
            <w:pPr>
              <w:keepLines/>
              <w:spacing w:after="0" w:line="252" w:lineRule="auto"/>
            </w:pPr>
            <w:r>
              <w:rPr>
                <w:rFonts w:ascii="Calibri" w:hAnsi="Calibri" w:eastAsia="Microsoft YaHei"/>
                <w:color w:val="0B2545"/>
                <w:sz w:val="14"/>
              </w:rPr>
              <w:t>PDT-010</w:t>
            </w:r>
          </w:p>
        </w:tc>
        <w:tc>
          <w:tcPr>
            <w:tcW w:type="dxa" w:w="900"/>
            <w:tcMar>
              <w:top w:w="45" w:type="dxa"/>
              <w:bottom w:w="45" w:type="dxa"/>
              <w:start w:w="100" w:type="dxa"/>
              <w:end w:w="100" w:type="dxa"/>
            </w:tcMar>
          </w:tcPr>
          <w:p>
            <w:pPr>
              <w:keepLines/>
              <w:spacing w:after="0" w:line="252" w:lineRule="auto"/>
            </w:pPr>
            <w:r>
              <w:rPr>
                <w:rFonts w:ascii="Calibri" w:hAnsi="Calibri" w:eastAsia="Microsoft YaHei"/>
                <w:color w:val="0B2545"/>
                <w:sz w:val="14"/>
              </w:rPr>
              <w:t>DG8</w:t>
            </w:r>
          </w:p>
        </w:tc>
        <w:tc>
          <w:tcPr>
            <w:tcW w:type="dxa" w:w="3760"/>
            <w:tcMar>
              <w:top w:w="45" w:type="dxa"/>
              <w:bottom w:w="45" w:type="dxa"/>
              <w:start w:w="100" w:type="dxa"/>
              <w:end w:w="100" w:type="dxa"/>
            </w:tcMar>
          </w:tcPr>
          <w:p>
            <w:pPr>
              <w:keepLines/>
              <w:spacing w:after="0" w:line="252" w:lineRule="auto"/>
            </w:pPr>
            <w:r>
              <w:rPr>
                <w:rFonts w:ascii="Calibri" w:hAnsi="Calibri" w:eastAsia="Microsoft YaHei"/>
                <w:color w:val="0B2545"/>
                <w:sz w:val="14"/>
              </w:rPr>
              <w:t>ITER 诊断残余气体分析器的燃料、氦灰与杂质监测</w:t>
            </w:r>
          </w:p>
        </w:tc>
        <w:tc>
          <w:tcPr>
            <w:tcW w:type="dxa" w:w="800"/>
            <w:tcMar>
              <w:top w:w="45" w:type="dxa"/>
              <w:bottom w:w="45" w:type="dxa"/>
              <w:start w:w="100" w:type="dxa"/>
              <w:end w:w="100" w:type="dxa"/>
            </w:tcMar>
          </w:tcPr>
          <w:p>
            <w:pPr>
              <w:keepLines/>
              <w:spacing w:after="0" w:line="252" w:lineRule="auto"/>
            </w:pPr>
            <w:r>
              <w:rPr>
                <w:rFonts w:ascii="Calibri" w:hAnsi="Calibri" w:eastAsia="Microsoft YaHei"/>
                <w:color w:val="0B2545"/>
                <w:sz w:val="14"/>
              </w:rPr>
              <w:t>E2</w:t>
            </w:r>
          </w:p>
        </w:tc>
        <w:tc>
          <w:tcPr>
            <w:tcW w:type="dxa" w:w="2900"/>
            <w:tcMar>
              <w:top w:w="45" w:type="dxa"/>
              <w:bottom w:w="45" w:type="dxa"/>
              <w:start w:w="100" w:type="dxa"/>
              <w:end w:w="100" w:type="dxa"/>
            </w:tcMar>
          </w:tcPr>
          <w:p>
            <w:pPr>
              <w:keepLines/>
              <w:spacing w:after="0" w:line="252" w:lineRule="auto"/>
            </w:pPr>
            <w:r>
              <w:rPr>
                <w:rFonts w:ascii="Calibri" w:hAnsi="Calibri" w:eastAsia="Microsoft YaHei"/>
                <w:color w:val="0B2545"/>
                <w:sz w:val="14"/>
              </w:rPr>
              <w:t>ITER prototype</w:t>
            </w:r>
          </w:p>
        </w:tc>
      </w:tr>
      <w:tr>
        <w:trPr>
          <w:cantSplit/>
        </w:trPr>
        <w:tc>
          <w:tcPr>
            <w:tcW w:type="dxa" w:w="1000"/>
            <w:tcMar>
              <w:top w:w="45" w:type="dxa"/>
              <w:bottom w:w="45" w:type="dxa"/>
              <w:start w:w="100" w:type="dxa"/>
              <w:end w:w="100" w:type="dxa"/>
            </w:tcMar>
          </w:tcPr>
          <w:p>
            <w:pPr>
              <w:keepLines/>
              <w:spacing w:after="0" w:line="252" w:lineRule="auto"/>
            </w:pPr>
            <w:r>
              <w:rPr>
                <w:rFonts w:ascii="Calibri" w:hAnsi="Calibri" w:eastAsia="Microsoft YaHei"/>
                <w:color w:val="0B2545"/>
                <w:sz w:val="14"/>
              </w:rPr>
              <w:t>PDT-011</w:t>
            </w:r>
          </w:p>
        </w:tc>
        <w:tc>
          <w:tcPr>
            <w:tcW w:type="dxa" w:w="900"/>
            <w:tcMar>
              <w:top w:w="45" w:type="dxa"/>
              <w:bottom w:w="45" w:type="dxa"/>
              <w:start w:w="100" w:type="dxa"/>
              <w:end w:w="100" w:type="dxa"/>
            </w:tcMar>
          </w:tcPr>
          <w:p>
            <w:pPr>
              <w:keepLines/>
              <w:spacing w:after="0" w:line="252" w:lineRule="auto"/>
            </w:pPr>
            <w:r>
              <w:rPr>
                <w:rFonts w:ascii="Calibri" w:hAnsi="Calibri" w:eastAsia="Microsoft YaHei"/>
                <w:color w:val="0B2545"/>
                <w:sz w:val="14"/>
              </w:rPr>
              <w:t>DG8</w:t>
            </w:r>
          </w:p>
        </w:tc>
        <w:tc>
          <w:tcPr>
            <w:tcW w:type="dxa" w:w="3760"/>
            <w:tcMar>
              <w:top w:w="45" w:type="dxa"/>
              <w:bottom w:w="45" w:type="dxa"/>
              <w:start w:w="100" w:type="dxa"/>
              <w:end w:w="100" w:type="dxa"/>
            </w:tcMar>
          </w:tcPr>
          <w:p>
            <w:pPr>
              <w:keepLines/>
              <w:spacing w:after="0" w:line="252" w:lineRule="auto"/>
            </w:pPr>
            <w:r>
              <w:rPr>
                <w:rFonts w:ascii="Calibri" w:hAnsi="Calibri" w:eastAsia="Microsoft YaHei"/>
                <w:color w:val="0B2545"/>
                <w:sz w:val="14"/>
              </w:rPr>
              <w:t>聚变堆冷却水内漏的示踪气体—质量谱定位</w:t>
            </w:r>
          </w:p>
        </w:tc>
        <w:tc>
          <w:tcPr>
            <w:tcW w:type="dxa" w:w="800"/>
            <w:tcMar>
              <w:top w:w="45" w:type="dxa"/>
              <w:bottom w:w="45" w:type="dxa"/>
              <w:start w:w="100" w:type="dxa"/>
              <w:end w:w="100" w:type="dxa"/>
            </w:tcMar>
          </w:tcPr>
          <w:p>
            <w:pPr>
              <w:keepLines/>
              <w:spacing w:after="0" w:line="252" w:lineRule="auto"/>
            </w:pPr>
            <w:r>
              <w:rPr>
                <w:rFonts w:ascii="Calibri" w:hAnsi="Calibri" w:eastAsia="Microsoft YaHei"/>
                <w:color w:val="0B2545"/>
                <w:sz w:val="14"/>
              </w:rPr>
              <w:t>E2</w:t>
            </w:r>
          </w:p>
        </w:tc>
        <w:tc>
          <w:tcPr>
            <w:tcW w:type="dxa" w:w="2900"/>
            <w:tcMar>
              <w:top w:w="45" w:type="dxa"/>
              <w:bottom w:w="45" w:type="dxa"/>
              <w:start w:w="100" w:type="dxa"/>
              <w:end w:w="100" w:type="dxa"/>
            </w:tcMar>
          </w:tcPr>
          <w:p>
            <w:pPr>
              <w:keepLines/>
              <w:spacing w:after="0" w:line="252" w:lineRule="auto"/>
            </w:pPr>
            <w:r>
              <w:rPr>
                <w:rFonts w:ascii="Calibri" w:hAnsi="Calibri" w:eastAsia="Microsoft YaHei"/>
                <w:color w:val="0B2545"/>
                <w:sz w:val="14"/>
              </w:rPr>
              <w:t>ITER-relevant water-loop test</w:t>
            </w:r>
          </w:p>
        </w:tc>
      </w:tr>
      <w:tr>
        <w:trPr>
          <w:cantSplit/>
        </w:trPr>
        <w:tc>
          <w:tcPr>
            <w:tcW w:type="dxa" w:w="1000"/>
            <w:tcMar>
              <w:top w:w="45" w:type="dxa"/>
              <w:bottom w:w="45" w:type="dxa"/>
              <w:start w:w="100" w:type="dxa"/>
              <w:end w:w="100" w:type="dxa"/>
            </w:tcMar>
          </w:tcPr>
          <w:p>
            <w:pPr>
              <w:keepLines/>
              <w:spacing w:after="0" w:line="252" w:lineRule="auto"/>
            </w:pPr>
            <w:r>
              <w:rPr>
                <w:rFonts w:ascii="Calibri" w:hAnsi="Calibri" w:eastAsia="Microsoft YaHei"/>
                <w:color w:val="0B2545"/>
                <w:sz w:val="14"/>
              </w:rPr>
              <w:t>PDT-012</w:t>
            </w:r>
          </w:p>
        </w:tc>
        <w:tc>
          <w:tcPr>
            <w:tcW w:type="dxa" w:w="900"/>
            <w:tcMar>
              <w:top w:w="45" w:type="dxa"/>
              <w:bottom w:w="45" w:type="dxa"/>
              <w:start w:w="100" w:type="dxa"/>
              <w:end w:w="100" w:type="dxa"/>
            </w:tcMar>
          </w:tcPr>
          <w:p>
            <w:pPr>
              <w:keepLines/>
              <w:spacing w:after="0" w:line="252" w:lineRule="auto"/>
            </w:pPr>
            <w:r>
              <w:rPr>
                <w:rFonts w:ascii="Calibri" w:hAnsi="Calibri" w:eastAsia="Microsoft YaHei"/>
                <w:color w:val="0B2545"/>
                <w:sz w:val="14"/>
              </w:rPr>
              <w:t>DG8</w:t>
            </w:r>
          </w:p>
        </w:tc>
        <w:tc>
          <w:tcPr>
            <w:tcW w:type="dxa" w:w="3760"/>
            <w:tcMar>
              <w:top w:w="45" w:type="dxa"/>
              <w:bottom w:w="45" w:type="dxa"/>
              <w:start w:w="100" w:type="dxa"/>
              <w:end w:w="100" w:type="dxa"/>
            </w:tcMar>
          </w:tcPr>
          <w:p>
            <w:pPr>
              <w:keepLines/>
              <w:spacing w:after="0" w:line="252" w:lineRule="auto"/>
            </w:pPr>
            <w:r>
              <w:rPr>
                <w:rFonts w:ascii="Calibri" w:hAnsi="Calibri" w:eastAsia="Microsoft YaHei"/>
                <w:color w:val="0B2545"/>
                <w:sz w:val="14"/>
              </w:rPr>
              <w:t>JET 氚燃料循环在线气相色谱与物料衡算</w:t>
            </w:r>
          </w:p>
        </w:tc>
        <w:tc>
          <w:tcPr>
            <w:tcW w:type="dxa" w:w="800"/>
            <w:tcMar>
              <w:top w:w="45" w:type="dxa"/>
              <w:bottom w:w="45" w:type="dxa"/>
              <w:start w:w="100" w:type="dxa"/>
              <w:end w:w="100" w:type="dxa"/>
            </w:tcMar>
          </w:tcPr>
          <w:p>
            <w:pPr>
              <w:keepLines/>
              <w:spacing w:after="0" w:line="252" w:lineRule="auto"/>
            </w:pPr>
            <w:r>
              <w:rPr>
                <w:rFonts w:ascii="Calibri" w:hAnsi="Calibri" w:eastAsia="Microsoft YaHei"/>
                <w:color w:val="0B2545"/>
                <w:sz w:val="14"/>
              </w:rPr>
              <w:t>E4</w:t>
            </w:r>
          </w:p>
        </w:tc>
        <w:tc>
          <w:tcPr>
            <w:tcW w:type="dxa" w:w="2900"/>
            <w:tcMar>
              <w:top w:w="45" w:type="dxa"/>
              <w:bottom w:w="45" w:type="dxa"/>
              <w:start w:w="100" w:type="dxa"/>
              <w:end w:w="100" w:type="dxa"/>
            </w:tcMar>
          </w:tcPr>
          <w:p>
            <w:pPr>
              <w:keepLines/>
              <w:spacing w:after="0" w:line="252" w:lineRule="auto"/>
            </w:pPr>
            <w:r>
              <w:rPr>
                <w:rFonts w:ascii="Calibri" w:hAnsi="Calibri" w:eastAsia="Microsoft YaHei"/>
                <w:color w:val="0B2545"/>
                <w:sz w:val="14"/>
              </w:rPr>
              <w:t>JET Active Gas Handling System</w:t>
            </w:r>
          </w:p>
        </w:tc>
      </w:tr>
      <w:tr>
        <w:trPr>
          <w:cantSplit/>
        </w:trPr>
        <w:tc>
          <w:tcPr>
            <w:tcW w:type="dxa" w:w="1000"/>
            <w:tcMar>
              <w:top w:w="45" w:type="dxa"/>
              <w:bottom w:w="45" w:type="dxa"/>
              <w:start w:w="100" w:type="dxa"/>
              <w:end w:w="100" w:type="dxa"/>
            </w:tcMar>
          </w:tcPr>
          <w:p>
            <w:pPr>
              <w:keepLines/>
              <w:spacing w:after="0" w:line="252" w:lineRule="auto"/>
            </w:pPr>
            <w:r>
              <w:rPr>
                <w:rFonts w:ascii="Calibri" w:hAnsi="Calibri" w:eastAsia="Microsoft YaHei"/>
                <w:color w:val="0B2545"/>
                <w:sz w:val="14"/>
              </w:rPr>
              <w:t>PDT-013</w:t>
            </w:r>
          </w:p>
        </w:tc>
        <w:tc>
          <w:tcPr>
            <w:tcW w:type="dxa" w:w="900"/>
            <w:tcMar>
              <w:top w:w="45" w:type="dxa"/>
              <w:bottom w:w="45" w:type="dxa"/>
              <w:start w:w="100" w:type="dxa"/>
              <w:end w:w="100" w:type="dxa"/>
            </w:tcMar>
          </w:tcPr>
          <w:p>
            <w:pPr>
              <w:keepLines/>
              <w:spacing w:after="0" w:line="252" w:lineRule="auto"/>
            </w:pPr>
            <w:r>
              <w:rPr>
                <w:rFonts w:ascii="Calibri" w:hAnsi="Calibri" w:eastAsia="Microsoft YaHei"/>
                <w:color w:val="0B2545"/>
                <w:sz w:val="14"/>
              </w:rPr>
              <w:t>DG8</w:t>
            </w:r>
          </w:p>
        </w:tc>
        <w:tc>
          <w:tcPr>
            <w:tcW w:type="dxa" w:w="3760"/>
            <w:tcMar>
              <w:top w:w="45" w:type="dxa"/>
              <w:bottom w:w="45" w:type="dxa"/>
              <w:start w:w="100" w:type="dxa"/>
              <w:end w:w="100" w:type="dxa"/>
            </w:tcMar>
          </w:tcPr>
          <w:p>
            <w:pPr>
              <w:keepLines/>
              <w:spacing w:after="0" w:line="252" w:lineRule="auto"/>
            </w:pPr>
            <w:r>
              <w:rPr>
                <w:rFonts w:ascii="Calibri" w:hAnsi="Calibri" w:eastAsia="Microsoft YaHei"/>
                <w:color w:val="0B2545"/>
                <w:sz w:val="14"/>
              </w:rPr>
              <w:t>DEMO 实时激光拉曼氚过程气体分析原型</w:t>
            </w:r>
          </w:p>
        </w:tc>
        <w:tc>
          <w:tcPr>
            <w:tcW w:type="dxa" w:w="800"/>
            <w:tcMar>
              <w:top w:w="45" w:type="dxa"/>
              <w:bottom w:w="45" w:type="dxa"/>
              <w:start w:w="100" w:type="dxa"/>
              <w:end w:w="100" w:type="dxa"/>
            </w:tcMar>
          </w:tcPr>
          <w:p>
            <w:pPr>
              <w:keepLines/>
              <w:spacing w:after="0" w:line="252" w:lineRule="auto"/>
            </w:pPr>
            <w:r>
              <w:rPr>
                <w:rFonts w:ascii="Calibri" w:hAnsi="Calibri" w:eastAsia="Microsoft YaHei"/>
                <w:color w:val="0B2545"/>
                <w:sz w:val="14"/>
              </w:rPr>
              <w:t>E2</w:t>
            </w:r>
          </w:p>
        </w:tc>
        <w:tc>
          <w:tcPr>
            <w:tcW w:type="dxa" w:w="2900"/>
            <w:tcMar>
              <w:top w:w="45" w:type="dxa"/>
              <w:bottom w:w="45" w:type="dxa"/>
              <w:start w:w="100" w:type="dxa"/>
              <w:end w:w="100" w:type="dxa"/>
            </w:tcMar>
          </w:tcPr>
          <w:p>
            <w:pPr>
              <w:keepLines/>
              <w:spacing w:after="0" w:line="252" w:lineRule="auto"/>
            </w:pPr>
            <w:r>
              <w:rPr>
                <w:rFonts w:ascii="Calibri" w:hAnsi="Calibri" w:eastAsia="Microsoft YaHei"/>
                <w:color w:val="0B2545"/>
                <w:sz w:val="14"/>
              </w:rPr>
              <w:t>DEMO fuel-cycle prototype</w:t>
            </w:r>
          </w:p>
        </w:tc>
      </w:tr>
      <w:tr>
        <w:trPr>
          <w:cantSplit/>
        </w:trPr>
        <w:tc>
          <w:tcPr>
            <w:tcW w:type="dxa" w:w="1000"/>
            <w:tcMar>
              <w:top w:w="45" w:type="dxa"/>
              <w:bottom w:w="45" w:type="dxa"/>
              <w:start w:w="100" w:type="dxa"/>
              <w:end w:w="100" w:type="dxa"/>
            </w:tcMar>
          </w:tcPr>
          <w:p>
            <w:pPr>
              <w:keepLines/>
              <w:spacing w:after="0" w:line="252" w:lineRule="auto"/>
            </w:pPr>
            <w:r>
              <w:rPr>
                <w:rFonts w:ascii="Calibri" w:hAnsi="Calibri" w:eastAsia="Microsoft YaHei"/>
                <w:color w:val="0B2545"/>
                <w:sz w:val="14"/>
              </w:rPr>
              <w:t>PDT-014</w:t>
            </w:r>
          </w:p>
        </w:tc>
        <w:tc>
          <w:tcPr>
            <w:tcW w:type="dxa" w:w="900"/>
            <w:tcMar>
              <w:top w:w="45" w:type="dxa"/>
              <w:bottom w:w="45" w:type="dxa"/>
              <w:start w:w="100" w:type="dxa"/>
              <w:end w:w="100" w:type="dxa"/>
            </w:tcMar>
          </w:tcPr>
          <w:p>
            <w:pPr>
              <w:keepLines/>
              <w:spacing w:after="0" w:line="252" w:lineRule="auto"/>
            </w:pPr>
            <w:r>
              <w:rPr>
                <w:rFonts w:ascii="Calibri" w:hAnsi="Calibri" w:eastAsia="Microsoft YaHei"/>
                <w:color w:val="0B2545"/>
                <w:sz w:val="14"/>
              </w:rPr>
              <w:t>DG8</w:t>
            </w:r>
          </w:p>
        </w:tc>
        <w:tc>
          <w:tcPr>
            <w:tcW w:type="dxa" w:w="3760"/>
            <w:tcMar>
              <w:top w:w="45" w:type="dxa"/>
              <w:bottom w:w="45" w:type="dxa"/>
              <w:start w:w="100" w:type="dxa"/>
              <w:end w:w="100" w:type="dxa"/>
            </w:tcMar>
          </w:tcPr>
          <w:p>
            <w:pPr>
              <w:keepLines/>
              <w:spacing w:after="0" w:line="252" w:lineRule="auto"/>
            </w:pPr>
            <w:r>
              <w:rPr>
                <w:rFonts w:ascii="Calibri" w:hAnsi="Calibri" w:eastAsia="Microsoft YaHei"/>
                <w:color w:val="0B2545"/>
                <w:sz w:val="14"/>
              </w:rPr>
              <w:t>JET 排气去氚系统腐蚀失效诊断与替换后运行监测</w:t>
            </w:r>
          </w:p>
        </w:tc>
        <w:tc>
          <w:tcPr>
            <w:tcW w:type="dxa" w:w="800"/>
            <w:tcMar>
              <w:top w:w="45" w:type="dxa"/>
              <w:bottom w:w="45" w:type="dxa"/>
              <w:start w:w="100" w:type="dxa"/>
              <w:end w:w="100" w:type="dxa"/>
            </w:tcMar>
          </w:tcPr>
          <w:p>
            <w:pPr>
              <w:keepLines/>
              <w:spacing w:after="0" w:line="252" w:lineRule="auto"/>
            </w:pPr>
            <w:r>
              <w:rPr>
                <w:rFonts w:ascii="Calibri" w:hAnsi="Calibri" w:eastAsia="Microsoft YaHei"/>
                <w:color w:val="0B2545"/>
                <w:sz w:val="14"/>
              </w:rPr>
              <w:t>E4</w:t>
            </w:r>
          </w:p>
        </w:tc>
        <w:tc>
          <w:tcPr>
            <w:tcW w:type="dxa" w:w="2900"/>
            <w:tcMar>
              <w:top w:w="45" w:type="dxa"/>
              <w:bottom w:w="45" w:type="dxa"/>
              <w:start w:w="100" w:type="dxa"/>
              <w:end w:w="100" w:type="dxa"/>
            </w:tcMar>
          </w:tcPr>
          <w:p>
            <w:pPr>
              <w:keepLines/>
              <w:spacing w:after="0" w:line="252" w:lineRule="auto"/>
            </w:pPr>
            <w:r>
              <w:rPr>
                <w:rFonts w:ascii="Calibri" w:hAnsi="Calibri" w:eastAsia="Microsoft YaHei"/>
                <w:color w:val="0B2545"/>
                <w:sz w:val="14"/>
              </w:rPr>
              <w:t>JET Active Gas Handling System</w:t>
            </w:r>
          </w:p>
        </w:tc>
      </w:tr>
      <w:tr>
        <w:trPr>
          <w:cantSplit/>
        </w:trPr>
        <w:tc>
          <w:tcPr>
            <w:tcW w:type="dxa" w:w="1000"/>
            <w:tcMar>
              <w:top w:w="45" w:type="dxa"/>
              <w:bottom w:w="45" w:type="dxa"/>
              <w:start w:w="100" w:type="dxa"/>
              <w:end w:w="100" w:type="dxa"/>
            </w:tcMar>
          </w:tcPr>
          <w:p>
            <w:pPr>
              <w:keepLines/>
              <w:spacing w:after="0" w:line="252" w:lineRule="auto"/>
            </w:pPr>
            <w:r>
              <w:rPr>
                <w:rFonts w:ascii="Calibri" w:hAnsi="Calibri" w:eastAsia="Microsoft YaHei"/>
                <w:color w:val="0B2545"/>
                <w:sz w:val="14"/>
              </w:rPr>
              <w:t>PDT-015</w:t>
            </w:r>
          </w:p>
        </w:tc>
        <w:tc>
          <w:tcPr>
            <w:tcW w:type="dxa" w:w="900"/>
            <w:tcMar>
              <w:top w:w="45" w:type="dxa"/>
              <w:bottom w:w="45" w:type="dxa"/>
              <w:start w:w="100" w:type="dxa"/>
              <w:end w:w="100" w:type="dxa"/>
            </w:tcMar>
          </w:tcPr>
          <w:p>
            <w:pPr>
              <w:keepLines/>
              <w:spacing w:after="0" w:line="252" w:lineRule="auto"/>
            </w:pPr>
            <w:r>
              <w:rPr>
                <w:rFonts w:ascii="Calibri" w:hAnsi="Calibri" w:eastAsia="Microsoft YaHei"/>
                <w:color w:val="0B2545"/>
                <w:sz w:val="14"/>
              </w:rPr>
              <w:t>DG8</w:t>
            </w:r>
          </w:p>
        </w:tc>
        <w:tc>
          <w:tcPr>
            <w:tcW w:type="dxa" w:w="3760"/>
            <w:tcMar>
              <w:top w:w="45" w:type="dxa"/>
              <w:bottom w:w="45" w:type="dxa"/>
              <w:start w:w="100" w:type="dxa"/>
              <w:end w:w="100" w:type="dxa"/>
            </w:tcMar>
          </w:tcPr>
          <w:p>
            <w:pPr>
              <w:keepLines/>
              <w:spacing w:after="0" w:line="252" w:lineRule="auto"/>
            </w:pPr>
            <w:r>
              <w:rPr>
                <w:rFonts w:ascii="Calibri" w:hAnsi="Calibri" w:eastAsia="Microsoft YaHei"/>
                <w:color w:val="0B2545"/>
                <w:sz w:val="14"/>
              </w:rPr>
              <w:t>ITER 在役远程视觉、计量与诊断维护</w:t>
            </w:r>
          </w:p>
        </w:tc>
        <w:tc>
          <w:tcPr>
            <w:tcW w:type="dxa" w:w="800"/>
            <w:tcMar>
              <w:top w:w="45" w:type="dxa"/>
              <w:bottom w:w="45" w:type="dxa"/>
              <w:start w:w="100" w:type="dxa"/>
              <w:end w:w="100" w:type="dxa"/>
            </w:tcMar>
          </w:tcPr>
          <w:p>
            <w:pPr>
              <w:keepLines/>
              <w:spacing w:after="0" w:line="252" w:lineRule="auto"/>
            </w:pPr>
            <w:r>
              <w:rPr>
                <w:rFonts w:ascii="Calibri" w:hAnsi="Calibri" w:eastAsia="Microsoft YaHei"/>
                <w:color w:val="0B2545"/>
                <w:sz w:val="14"/>
              </w:rPr>
              <w:t>E2</w:t>
            </w:r>
          </w:p>
        </w:tc>
        <w:tc>
          <w:tcPr>
            <w:tcW w:type="dxa" w:w="2900"/>
            <w:tcMar>
              <w:top w:w="45" w:type="dxa"/>
              <w:bottom w:w="45" w:type="dxa"/>
              <w:start w:w="100" w:type="dxa"/>
              <w:end w:w="100" w:type="dxa"/>
            </w:tcMar>
          </w:tcPr>
          <w:p>
            <w:pPr>
              <w:keepLines/>
              <w:spacing w:after="0" w:line="252" w:lineRule="auto"/>
            </w:pPr>
            <w:r>
              <w:rPr>
                <w:rFonts w:ascii="Calibri" w:hAnsi="Calibri" w:eastAsia="Microsoft YaHei"/>
                <w:color w:val="0B2545"/>
                <w:sz w:val="14"/>
              </w:rPr>
              <w:t>ITER remote handling prototypes；RACE mock-ups</w:t>
            </w:r>
          </w:p>
        </w:tc>
      </w:tr>
      <w:tr>
        <w:trPr>
          <w:cantSplit/>
        </w:trPr>
        <w:tc>
          <w:tcPr>
            <w:tcW w:type="dxa" w:w="1000"/>
            <w:tcMar>
              <w:top w:w="45" w:type="dxa"/>
              <w:bottom w:w="45" w:type="dxa"/>
              <w:start w:w="100" w:type="dxa"/>
              <w:end w:w="100" w:type="dxa"/>
            </w:tcMar>
          </w:tcPr>
          <w:p>
            <w:pPr>
              <w:keepLines/>
              <w:spacing w:after="0" w:line="252" w:lineRule="auto"/>
            </w:pPr>
            <w:r>
              <w:rPr>
                <w:rFonts w:ascii="Calibri" w:hAnsi="Calibri" w:eastAsia="Microsoft YaHei"/>
                <w:color w:val="0B2545"/>
                <w:sz w:val="14"/>
              </w:rPr>
              <w:t>PDT-016</w:t>
            </w:r>
          </w:p>
        </w:tc>
        <w:tc>
          <w:tcPr>
            <w:tcW w:type="dxa" w:w="900"/>
            <w:tcMar>
              <w:top w:w="45" w:type="dxa"/>
              <w:bottom w:w="45" w:type="dxa"/>
              <w:start w:w="100" w:type="dxa"/>
              <w:end w:w="100" w:type="dxa"/>
            </w:tcMar>
          </w:tcPr>
          <w:p>
            <w:pPr>
              <w:keepLines/>
              <w:spacing w:after="0" w:line="252" w:lineRule="auto"/>
            </w:pPr>
            <w:r>
              <w:rPr>
                <w:rFonts w:ascii="Calibri" w:hAnsi="Calibri" w:eastAsia="Microsoft YaHei"/>
                <w:color w:val="0B2545"/>
                <w:sz w:val="14"/>
              </w:rPr>
              <w:t>DG8</w:t>
            </w:r>
          </w:p>
        </w:tc>
        <w:tc>
          <w:tcPr>
            <w:tcW w:type="dxa" w:w="3760"/>
            <w:tcMar>
              <w:top w:w="45" w:type="dxa"/>
              <w:bottom w:w="45" w:type="dxa"/>
              <w:start w:w="100" w:type="dxa"/>
              <w:end w:w="100" w:type="dxa"/>
            </w:tcMar>
          </w:tcPr>
          <w:p>
            <w:pPr>
              <w:keepLines/>
              <w:spacing w:after="0" w:line="252" w:lineRule="auto"/>
            </w:pPr>
            <w:r>
              <w:rPr>
                <w:rFonts w:ascii="Calibri" w:hAnsi="Calibri" w:eastAsia="Microsoft YaHei"/>
                <w:color w:val="0B2545"/>
                <w:sz w:val="14"/>
              </w:rPr>
              <w:t>ITER 冷却水系统的热工、水化学、氚与环境排放监测</w:t>
            </w:r>
          </w:p>
        </w:tc>
        <w:tc>
          <w:tcPr>
            <w:tcW w:type="dxa" w:w="800"/>
            <w:tcMar>
              <w:top w:w="45" w:type="dxa"/>
              <w:bottom w:w="45" w:type="dxa"/>
              <w:start w:w="100" w:type="dxa"/>
              <w:end w:w="100" w:type="dxa"/>
            </w:tcMar>
          </w:tcPr>
          <w:p>
            <w:pPr>
              <w:keepLines/>
              <w:spacing w:after="0" w:line="252" w:lineRule="auto"/>
            </w:pPr>
            <w:r>
              <w:rPr>
                <w:rFonts w:ascii="Calibri" w:hAnsi="Calibri" w:eastAsia="Microsoft YaHei"/>
                <w:color w:val="0B2545"/>
                <w:sz w:val="14"/>
              </w:rPr>
              <w:t>E1</w:t>
            </w:r>
          </w:p>
        </w:tc>
        <w:tc>
          <w:tcPr>
            <w:tcW w:type="dxa" w:w="2900"/>
            <w:tcMar>
              <w:top w:w="45" w:type="dxa"/>
              <w:bottom w:w="45" w:type="dxa"/>
              <w:start w:w="100" w:type="dxa"/>
              <w:end w:w="100" w:type="dxa"/>
            </w:tcMar>
          </w:tcPr>
          <w:p>
            <w:pPr>
              <w:keepLines/>
              <w:spacing w:after="0" w:line="252" w:lineRule="auto"/>
            </w:pPr>
            <w:r>
              <w:rPr>
                <w:rFonts w:ascii="Calibri" w:hAnsi="Calibri" w:eastAsia="Microsoft YaHei"/>
                <w:color w:val="0B2545"/>
                <w:sz w:val="14"/>
              </w:rPr>
              <w:t>ITER cooling-water plant</w:t>
            </w:r>
          </w:p>
        </w:tc>
      </w:tr>
      <w:tr>
        <w:trPr>
          <w:cantSplit/>
        </w:trPr>
        <w:tc>
          <w:tcPr>
            <w:tcW w:type="dxa" w:w="1000"/>
            <w:tcMar>
              <w:top w:w="45" w:type="dxa"/>
              <w:bottom w:w="45" w:type="dxa"/>
              <w:start w:w="100" w:type="dxa"/>
              <w:end w:w="100" w:type="dxa"/>
            </w:tcMar>
          </w:tcPr>
          <w:p>
            <w:pPr>
              <w:keepLines/>
              <w:spacing w:after="0" w:line="252" w:lineRule="auto"/>
            </w:pPr>
            <w:r>
              <w:rPr>
                <w:rFonts w:ascii="Calibri" w:hAnsi="Calibri" w:eastAsia="Microsoft YaHei"/>
                <w:color w:val="0B2545"/>
                <w:sz w:val="14"/>
              </w:rPr>
              <w:t>PDT-017</w:t>
            </w:r>
          </w:p>
        </w:tc>
        <w:tc>
          <w:tcPr>
            <w:tcW w:type="dxa" w:w="900"/>
            <w:tcMar>
              <w:top w:w="45" w:type="dxa"/>
              <w:bottom w:w="45" w:type="dxa"/>
              <w:start w:w="100" w:type="dxa"/>
              <w:end w:w="100" w:type="dxa"/>
            </w:tcMar>
          </w:tcPr>
          <w:p>
            <w:pPr>
              <w:keepLines/>
              <w:spacing w:after="0" w:line="252" w:lineRule="auto"/>
            </w:pPr>
            <w:r>
              <w:rPr>
                <w:rFonts w:ascii="Calibri" w:hAnsi="Calibri" w:eastAsia="Microsoft YaHei"/>
                <w:color w:val="0B2545"/>
                <w:sz w:val="14"/>
              </w:rPr>
              <w:t>DG8</w:t>
            </w:r>
          </w:p>
        </w:tc>
        <w:tc>
          <w:tcPr>
            <w:tcW w:type="dxa" w:w="3760"/>
            <w:tcMar>
              <w:top w:w="45" w:type="dxa"/>
              <w:bottom w:w="45" w:type="dxa"/>
              <w:start w:w="100" w:type="dxa"/>
              <w:end w:w="100" w:type="dxa"/>
            </w:tcMar>
          </w:tcPr>
          <w:p>
            <w:pPr>
              <w:keepLines/>
              <w:spacing w:after="0" w:line="252" w:lineRule="auto"/>
            </w:pPr>
            <w:r>
              <w:rPr>
                <w:rFonts w:ascii="Calibri" w:hAnsi="Calibri" w:eastAsia="Microsoft YaHei"/>
                <w:color w:val="0B2545"/>
                <w:sz w:val="14"/>
              </w:rPr>
              <w:t>EU-DEMO 能量转换与 BOP 状态监测的公开证据缺口</w:t>
            </w:r>
          </w:p>
        </w:tc>
        <w:tc>
          <w:tcPr>
            <w:tcW w:type="dxa" w:w="800"/>
            <w:tcMar>
              <w:top w:w="45" w:type="dxa"/>
              <w:bottom w:w="45" w:type="dxa"/>
              <w:start w:w="100" w:type="dxa"/>
              <w:end w:w="100" w:type="dxa"/>
            </w:tcMar>
          </w:tcPr>
          <w:p>
            <w:pPr>
              <w:keepLines/>
              <w:spacing w:after="0" w:line="252" w:lineRule="auto"/>
            </w:pPr>
            <w:r>
              <w:rPr>
                <w:rFonts w:ascii="Calibri" w:hAnsi="Calibri" w:eastAsia="Microsoft YaHei"/>
                <w:color w:val="0B2545"/>
                <w:sz w:val="14"/>
              </w:rPr>
              <w:t>E0</w:t>
            </w:r>
          </w:p>
        </w:tc>
        <w:tc>
          <w:tcPr>
            <w:tcW w:type="dxa" w:w="2900"/>
            <w:tcMar>
              <w:top w:w="45" w:type="dxa"/>
              <w:bottom w:w="45" w:type="dxa"/>
              <w:start w:w="100" w:type="dxa"/>
              <w:end w:w="100" w:type="dxa"/>
            </w:tcMar>
          </w:tcPr>
          <w:p>
            <w:pPr>
              <w:keepLines/>
              <w:spacing w:after="0" w:line="252" w:lineRule="auto"/>
            </w:pPr>
            <w:r>
              <w:rPr>
                <w:rFonts w:ascii="Calibri" w:hAnsi="Calibri" w:eastAsia="Microsoft YaHei"/>
                <w:color w:val="0B2545"/>
                <w:sz w:val="14"/>
              </w:rPr>
              <w:t>EU-DEMO conceptual BOP; no fusion-plant deployment</w:t>
            </w:r>
          </w:p>
        </w:tc>
      </w:tr>
      <w:tr>
        <w:trPr>
          <w:cantSplit/>
        </w:trPr>
        <w:tc>
          <w:tcPr>
            <w:tcW w:type="dxa" w:w="1000"/>
            <w:tcMar>
              <w:top w:w="45" w:type="dxa"/>
              <w:bottom w:w="45" w:type="dxa"/>
              <w:start w:w="100" w:type="dxa"/>
              <w:end w:w="100" w:type="dxa"/>
            </w:tcMar>
          </w:tcPr>
          <w:p>
            <w:pPr>
              <w:keepLines/>
              <w:spacing w:after="0" w:line="252" w:lineRule="auto"/>
            </w:pPr>
            <w:r>
              <w:rPr>
                <w:rFonts w:ascii="Calibri" w:hAnsi="Calibri" w:eastAsia="Microsoft YaHei"/>
                <w:color w:val="0B2545"/>
                <w:sz w:val="14"/>
              </w:rPr>
              <w:t>PDT-018</w:t>
            </w:r>
          </w:p>
        </w:tc>
        <w:tc>
          <w:tcPr>
            <w:tcW w:type="dxa" w:w="900"/>
            <w:tcMar>
              <w:top w:w="45" w:type="dxa"/>
              <w:bottom w:w="45" w:type="dxa"/>
              <w:start w:w="100" w:type="dxa"/>
              <w:end w:w="100" w:type="dxa"/>
            </w:tcMar>
          </w:tcPr>
          <w:p>
            <w:pPr>
              <w:keepLines/>
              <w:spacing w:after="0" w:line="252" w:lineRule="auto"/>
            </w:pPr>
            <w:r>
              <w:rPr>
                <w:rFonts w:ascii="Calibri" w:hAnsi="Calibri" w:eastAsia="Microsoft YaHei"/>
                <w:color w:val="0B2545"/>
                <w:sz w:val="14"/>
              </w:rPr>
              <w:t>DG8</w:t>
            </w:r>
          </w:p>
        </w:tc>
        <w:tc>
          <w:tcPr>
            <w:tcW w:type="dxa" w:w="3760"/>
            <w:tcMar>
              <w:top w:w="45" w:type="dxa"/>
              <w:bottom w:w="45" w:type="dxa"/>
              <w:start w:w="100" w:type="dxa"/>
              <w:end w:w="100" w:type="dxa"/>
            </w:tcMar>
          </w:tcPr>
          <w:p>
            <w:pPr>
              <w:keepLines/>
              <w:spacing w:after="0" w:line="252" w:lineRule="auto"/>
            </w:pPr>
            <w:r>
              <w:rPr>
                <w:rFonts w:ascii="Calibri" w:hAnsi="Calibri" w:eastAsia="Microsoft YaHei"/>
                <w:color w:val="0B2545"/>
                <w:sz w:val="14"/>
              </w:rPr>
              <w:t>W7-X 超导线圈独立保护与设备状态链</w:t>
            </w:r>
          </w:p>
        </w:tc>
        <w:tc>
          <w:tcPr>
            <w:tcW w:type="dxa" w:w="800"/>
            <w:tcMar>
              <w:top w:w="45" w:type="dxa"/>
              <w:bottom w:w="45" w:type="dxa"/>
              <w:start w:w="100" w:type="dxa"/>
              <w:end w:w="100" w:type="dxa"/>
            </w:tcMar>
          </w:tcPr>
          <w:p>
            <w:pPr>
              <w:keepLines/>
              <w:spacing w:after="0" w:line="252" w:lineRule="auto"/>
            </w:pPr>
            <w:r>
              <w:rPr>
                <w:rFonts w:ascii="Calibri" w:hAnsi="Calibri" w:eastAsia="Microsoft YaHei"/>
                <w:color w:val="0B2545"/>
                <w:sz w:val="14"/>
              </w:rPr>
              <w:t>E3</w:t>
            </w:r>
          </w:p>
        </w:tc>
        <w:tc>
          <w:tcPr>
            <w:tcW w:type="dxa" w:w="2900"/>
            <w:tcMar>
              <w:top w:w="45" w:type="dxa"/>
              <w:bottom w:w="45" w:type="dxa"/>
              <w:start w:w="100" w:type="dxa"/>
              <w:end w:w="100" w:type="dxa"/>
            </w:tcMar>
          </w:tcPr>
          <w:p>
            <w:pPr>
              <w:keepLines/>
              <w:spacing w:after="0" w:line="252" w:lineRule="auto"/>
            </w:pPr>
            <w:r>
              <w:rPr>
                <w:rFonts w:ascii="Calibri" w:hAnsi="Calibri" w:eastAsia="Microsoft YaHei"/>
                <w:color w:val="0B2545"/>
                <w:sz w:val="14"/>
              </w:rPr>
              <w:t>Wendelstein 7-X</w:t>
            </w:r>
          </w:p>
        </w:tc>
      </w:tr>
      <w:tr>
        <w:trPr>
          <w:cantSplit/>
        </w:trPr>
        <w:tc>
          <w:tcPr>
            <w:tcW w:type="dxa" w:w="1000"/>
            <w:tcMar>
              <w:top w:w="45" w:type="dxa"/>
              <w:bottom w:w="45" w:type="dxa"/>
              <w:start w:w="100" w:type="dxa"/>
              <w:end w:w="100" w:type="dxa"/>
            </w:tcMar>
          </w:tcPr>
          <w:p>
            <w:pPr>
              <w:keepLines/>
              <w:spacing w:after="0" w:line="252" w:lineRule="auto"/>
            </w:pPr>
            <w:r>
              <w:rPr>
                <w:rFonts w:ascii="Calibri" w:hAnsi="Calibri" w:eastAsia="Microsoft YaHei"/>
                <w:color w:val="0B2545"/>
                <w:sz w:val="14"/>
              </w:rPr>
              <w:t>PDT-019</w:t>
            </w:r>
          </w:p>
        </w:tc>
        <w:tc>
          <w:tcPr>
            <w:tcW w:type="dxa" w:w="900"/>
            <w:tcMar>
              <w:top w:w="45" w:type="dxa"/>
              <w:bottom w:w="45" w:type="dxa"/>
              <w:start w:w="100" w:type="dxa"/>
              <w:end w:w="100" w:type="dxa"/>
            </w:tcMar>
          </w:tcPr>
          <w:p>
            <w:pPr>
              <w:keepLines/>
              <w:spacing w:after="0" w:line="252" w:lineRule="auto"/>
            </w:pPr>
            <w:r>
              <w:rPr>
                <w:rFonts w:ascii="Calibri" w:hAnsi="Calibri" w:eastAsia="Microsoft YaHei"/>
                <w:color w:val="0B2545"/>
                <w:sz w:val="14"/>
              </w:rPr>
              <w:t>DG8</w:t>
            </w:r>
          </w:p>
        </w:tc>
        <w:tc>
          <w:tcPr>
            <w:tcW w:type="dxa" w:w="3760"/>
            <w:tcMar>
              <w:top w:w="45" w:type="dxa"/>
              <w:bottom w:w="45" w:type="dxa"/>
              <w:start w:w="100" w:type="dxa"/>
              <w:end w:w="100" w:type="dxa"/>
            </w:tcMar>
          </w:tcPr>
          <w:p>
            <w:pPr>
              <w:keepLines/>
              <w:spacing w:after="0" w:line="252" w:lineRule="auto"/>
            </w:pPr>
            <w:r>
              <w:rPr>
                <w:rFonts w:ascii="Calibri" w:hAnsi="Calibri" w:eastAsia="Microsoft YaHei"/>
                <w:color w:val="0B2545"/>
                <w:sz w:val="14"/>
              </w:rPr>
              <w:t>NSTX-U 物理诊断与工程 EPICS 数据的统一可追溯归档</w:t>
            </w:r>
          </w:p>
        </w:tc>
        <w:tc>
          <w:tcPr>
            <w:tcW w:type="dxa" w:w="800"/>
            <w:tcMar>
              <w:top w:w="45" w:type="dxa"/>
              <w:bottom w:w="45" w:type="dxa"/>
              <w:start w:w="100" w:type="dxa"/>
              <w:end w:w="100" w:type="dxa"/>
            </w:tcMar>
          </w:tcPr>
          <w:p>
            <w:pPr>
              <w:keepLines/>
              <w:spacing w:after="0" w:line="252" w:lineRule="auto"/>
            </w:pPr>
            <w:r>
              <w:rPr>
                <w:rFonts w:ascii="Calibri" w:hAnsi="Calibri" w:eastAsia="Microsoft YaHei"/>
                <w:color w:val="0B2545"/>
                <w:sz w:val="14"/>
              </w:rPr>
              <w:t>E2</w:t>
            </w:r>
          </w:p>
        </w:tc>
        <w:tc>
          <w:tcPr>
            <w:tcW w:type="dxa" w:w="2900"/>
            <w:tcMar>
              <w:top w:w="45" w:type="dxa"/>
              <w:bottom w:w="45" w:type="dxa"/>
              <w:start w:w="100" w:type="dxa"/>
              <w:end w:w="100" w:type="dxa"/>
            </w:tcMar>
          </w:tcPr>
          <w:p>
            <w:pPr>
              <w:keepLines/>
              <w:spacing w:after="0" w:line="252" w:lineRule="auto"/>
            </w:pPr>
            <w:r>
              <w:rPr>
                <w:rFonts w:ascii="Calibri" w:hAnsi="Calibri" w:eastAsia="Microsoft YaHei"/>
                <w:color w:val="0B2545"/>
                <w:sz w:val="14"/>
              </w:rPr>
              <w:t>NSTX-U</w:t>
            </w:r>
          </w:p>
        </w:tc>
      </w:tr>
      <w:tr>
        <w:trPr>
          <w:cantSplit/>
        </w:trPr>
        <w:tc>
          <w:tcPr>
            <w:tcW w:type="dxa" w:w="1000"/>
            <w:tcMar>
              <w:top w:w="45" w:type="dxa"/>
              <w:bottom w:w="45" w:type="dxa"/>
              <w:start w:w="100" w:type="dxa"/>
              <w:end w:w="100" w:type="dxa"/>
            </w:tcMar>
          </w:tcPr>
          <w:p>
            <w:pPr>
              <w:keepLines/>
              <w:spacing w:after="0" w:line="252" w:lineRule="auto"/>
            </w:pPr>
            <w:r>
              <w:rPr>
                <w:rFonts w:ascii="Calibri" w:hAnsi="Calibri" w:eastAsia="Microsoft YaHei"/>
                <w:color w:val="0B2545"/>
                <w:sz w:val="14"/>
              </w:rPr>
              <w:t>PDT-020</w:t>
            </w:r>
          </w:p>
        </w:tc>
        <w:tc>
          <w:tcPr>
            <w:tcW w:type="dxa" w:w="900"/>
            <w:tcMar>
              <w:top w:w="45" w:type="dxa"/>
              <w:bottom w:w="45" w:type="dxa"/>
              <w:start w:w="100" w:type="dxa"/>
              <w:end w:w="100" w:type="dxa"/>
            </w:tcMar>
          </w:tcPr>
          <w:p>
            <w:pPr>
              <w:keepLines/>
              <w:spacing w:after="0" w:line="252" w:lineRule="auto"/>
            </w:pPr>
            <w:r>
              <w:rPr>
                <w:rFonts w:ascii="Calibri" w:hAnsi="Calibri" w:eastAsia="Microsoft YaHei"/>
                <w:color w:val="0B2545"/>
                <w:sz w:val="14"/>
              </w:rPr>
              <w:t>DG8</w:t>
            </w:r>
          </w:p>
        </w:tc>
        <w:tc>
          <w:tcPr>
            <w:tcW w:type="dxa" w:w="3760"/>
            <w:tcMar>
              <w:top w:w="45" w:type="dxa"/>
              <w:bottom w:w="45" w:type="dxa"/>
              <w:start w:w="100" w:type="dxa"/>
              <w:end w:w="100" w:type="dxa"/>
            </w:tcMar>
          </w:tcPr>
          <w:p>
            <w:pPr>
              <w:keepLines/>
              <w:spacing w:after="0" w:line="252" w:lineRule="auto"/>
            </w:pPr>
            <w:r>
              <w:rPr>
                <w:rFonts w:ascii="Calibri" w:hAnsi="Calibri" w:eastAsia="Microsoft YaHei"/>
                <w:color w:val="0B2545"/>
                <w:sz w:val="14"/>
              </w:rPr>
              <w:t>SPARC 诊断电子学与部件的强场、辐照、热、真空环境资格</w:t>
            </w:r>
          </w:p>
        </w:tc>
        <w:tc>
          <w:tcPr>
            <w:tcW w:type="dxa" w:w="800"/>
            <w:tcMar>
              <w:top w:w="45" w:type="dxa"/>
              <w:bottom w:w="45" w:type="dxa"/>
              <w:start w:w="100" w:type="dxa"/>
              <w:end w:w="100" w:type="dxa"/>
            </w:tcMar>
          </w:tcPr>
          <w:p>
            <w:pPr>
              <w:keepLines/>
              <w:spacing w:after="0" w:line="252" w:lineRule="auto"/>
            </w:pPr>
            <w:r>
              <w:rPr>
                <w:rFonts w:ascii="Calibri" w:hAnsi="Calibri" w:eastAsia="Microsoft YaHei"/>
                <w:color w:val="0B2545"/>
                <w:sz w:val="14"/>
              </w:rPr>
              <w:t>E2</w:t>
            </w:r>
          </w:p>
        </w:tc>
        <w:tc>
          <w:tcPr>
            <w:tcW w:type="dxa" w:w="2900"/>
            <w:tcMar>
              <w:top w:w="45" w:type="dxa"/>
              <w:bottom w:w="45" w:type="dxa"/>
              <w:start w:w="100" w:type="dxa"/>
              <w:end w:w="100" w:type="dxa"/>
            </w:tcMar>
          </w:tcPr>
          <w:p>
            <w:pPr>
              <w:keepLines/>
              <w:spacing w:after="0" w:line="252" w:lineRule="auto"/>
            </w:pPr>
            <w:r>
              <w:rPr>
                <w:rFonts w:ascii="Calibri" w:hAnsi="Calibri" w:eastAsia="Microsoft YaHei"/>
                <w:color w:val="0B2545"/>
                <w:sz w:val="14"/>
              </w:rPr>
              <w:t>SPARC diagnostic prototypes</w:t>
            </w:r>
          </w:p>
        </w:tc>
      </w:tr>
      <w:tr>
        <w:trPr>
          <w:cantSplit/>
        </w:trPr>
        <w:tc>
          <w:tcPr>
            <w:tcW w:type="dxa" w:w="1000"/>
            <w:tcMar>
              <w:top w:w="45" w:type="dxa"/>
              <w:bottom w:w="45" w:type="dxa"/>
              <w:start w:w="100" w:type="dxa"/>
              <w:end w:w="100" w:type="dxa"/>
            </w:tcMar>
          </w:tcPr>
          <w:p>
            <w:pPr>
              <w:keepLines/>
              <w:spacing w:after="0" w:line="252" w:lineRule="auto"/>
            </w:pPr>
            <w:r>
              <w:rPr>
                <w:rFonts w:ascii="Calibri" w:hAnsi="Calibri" w:eastAsia="Microsoft YaHei"/>
                <w:color w:val="0B2545"/>
                <w:sz w:val="14"/>
              </w:rPr>
              <w:t>DSI-034</w:t>
            </w:r>
          </w:p>
        </w:tc>
        <w:tc>
          <w:tcPr>
            <w:tcW w:type="dxa" w:w="900"/>
            <w:tcMar>
              <w:top w:w="45" w:type="dxa"/>
              <w:bottom w:w="45" w:type="dxa"/>
              <w:start w:w="100" w:type="dxa"/>
              <w:end w:w="100" w:type="dxa"/>
            </w:tcMar>
          </w:tcPr>
          <w:p>
            <w:pPr>
              <w:keepLines/>
              <w:spacing w:after="0" w:line="252" w:lineRule="auto"/>
            </w:pPr>
            <w:r>
              <w:rPr>
                <w:rFonts w:ascii="Calibri" w:hAnsi="Calibri" w:eastAsia="Microsoft YaHei"/>
                <w:color w:val="0B2545"/>
                <w:sz w:val="14"/>
              </w:rPr>
              <w:t>DG10</w:t>
            </w:r>
          </w:p>
        </w:tc>
        <w:tc>
          <w:tcPr>
            <w:tcW w:type="dxa" w:w="3760"/>
            <w:tcMar>
              <w:top w:w="45" w:type="dxa"/>
              <w:bottom w:w="45" w:type="dxa"/>
              <w:start w:w="100" w:type="dxa"/>
              <w:end w:w="100" w:type="dxa"/>
            </w:tcMar>
          </w:tcPr>
          <w:p>
            <w:pPr>
              <w:keepLines/>
              <w:spacing w:after="0" w:line="252" w:lineRule="auto"/>
            </w:pPr>
            <w:r>
              <w:rPr>
                <w:rFonts w:ascii="Calibri" w:hAnsi="Calibri" w:eastAsia="Microsoft YaHei"/>
                <w:color w:val="0B2545"/>
                <w:sz w:val="14"/>
              </w:rPr>
              <w:t>Diag2Diag 多模态诊断超分辨与代理观测</w:t>
            </w:r>
          </w:p>
        </w:tc>
        <w:tc>
          <w:tcPr>
            <w:tcW w:type="dxa" w:w="800"/>
            <w:tcMar>
              <w:top w:w="45" w:type="dxa"/>
              <w:bottom w:w="45" w:type="dxa"/>
              <w:start w:w="100" w:type="dxa"/>
              <w:end w:w="100" w:type="dxa"/>
            </w:tcMar>
          </w:tcPr>
          <w:p>
            <w:pPr>
              <w:keepLines/>
              <w:spacing w:after="0" w:line="252" w:lineRule="auto"/>
            </w:pPr>
            <w:r>
              <w:rPr>
                <w:rFonts w:ascii="Calibri" w:hAnsi="Calibri" w:eastAsia="Microsoft YaHei"/>
                <w:color w:val="0B2545"/>
                <w:sz w:val="14"/>
              </w:rPr>
              <w:t>E3</w:t>
            </w:r>
          </w:p>
        </w:tc>
        <w:tc>
          <w:tcPr>
            <w:tcW w:type="dxa" w:w="2900"/>
            <w:tcMar>
              <w:top w:w="45" w:type="dxa"/>
              <w:bottom w:w="45" w:type="dxa"/>
              <w:start w:w="100" w:type="dxa"/>
              <w:end w:w="100" w:type="dxa"/>
            </w:tcMar>
          </w:tcPr>
          <w:p>
            <w:pPr>
              <w:keepLines/>
              <w:spacing w:after="0" w:line="252" w:lineRule="auto"/>
            </w:pPr>
            <w:r>
              <w:rPr>
                <w:rFonts w:ascii="Calibri" w:hAnsi="Calibri" w:eastAsia="Microsoft YaHei"/>
                <w:color w:val="0B2545"/>
                <w:sz w:val="14"/>
              </w:rPr>
              <w:t>DIII-D</w:t>
            </w:r>
          </w:p>
        </w:tc>
      </w:tr>
    </w:tbl>
    <w:p>
      <w:pPr>
        <w:keepNext/>
        <w:pageBreakBefore/>
        <w:spacing w:before="0" w:after="100"/>
      </w:pPr>
      <w:r>
        <w:rPr>
          <w:rFonts w:ascii="Calibri" w:hAnsi="Calibri" w:eastAsia="Microsoft YaHei"/>
          <w:b/>
          <w:caps/>
          <w:color w:val="008C95"/>
          <w:sz w:val="17"/>
        </w:rPr>
        <w:t>16A / CROSS-CUTTING SYNTHESIS</w:t>
      </w:r>
    </w:p>
    <w:p>
      <w:pPr>
        <w:pStyle w:val="Heading1"/>
      </w:pPr>
      <w:r>
        <w:t>跨类别综合判断：真正的诊断孪生必须同时闭合仪器、状态、模型与证据</w:t>
      </w:r>
    </w:p>
    <w:tbl>
      <w:tblPr>
        <w:tblStyle w:val="TableGrid"/>
        <w:tblW w:type="dxa" w:w="9360"/>
        <w:jc w:val="left"/>
        <w:tblLayout w:type="fixed"/>
        <w:tblLook w:firstColumn="1" w:firstRow="1" w:lastColumn="0" w:lastRow="0" w:noHBand="0" w:noVBand="1" w:val="04A0"/>
        <w:tblInd w:w="120" w:type="dxa"/>
      </w:tblPr>
      <w:tblGrid>
        <w:gridCol w:w="9360"/>
      </w:tblGrid>
      <w:tr>
        <w:trPr>
          <w:cantSplit/>
        </w:trPr>
        <w:tc>
          <w:tcPr>
            <w:tcW w:type="dxa" w:w="9360"/>
            <w:tcMar>
              <w:top w:w="80" w:type="dxa"/>
              <w:bottom w:w="80" w:type="dxa"/>
              <w:start w:w="120" w:type="dxa"/>
              <w:end w:w="120" w:type="dxa"/>
            </w:tcMar>
            <w:vAlign w:val="center"/>
            <w:shd w:fill="EEF7F7"/>
          </w:tcPr>
          <w:p>
            <w:pPr>
              <w:keepNext/>
              <w:keepLines/>
              <w:spacing w:after="40"/>
            </w:pPr>
            <w:r>
              <w:rPr>
                <w:rFonts w:ascii="Calibri" w:hAnsi="Calibri" w:eastAsia="Microsoft YaHei"/>
                <w:b/>
                <w:color w:val="008C95"/>
                <w:sz w:val="17"/>
              </w:rPr>
              <w:t>为何单独成章</w:t>
            </w:r>
          </w:p>
          <w:p>
            <w:pPr>
              <w:spacing w:after="0"/>
            </w:pPr>
            <w:r>
              <w:rPr>
                <w:rFonts w:ascii="Calibri" w:hAnsi="Calibri" w:eastAsia="Microsoft YaHei"/>
                <w:color w:val="0B2545"/>
                <w:sz w:val="20"/>
              </w:rPr>
              <w:t>条目目录回答‘有哪些工作’，本章回答‘这些工作如何共同组成可验证的诊断系统’。内容保留跨诊断共性、装置差异、VVUQ 和工程实施判断，不用重复条目数量来充当成熟度。</w:t>
            </w:r>
          </w:p>
        </w:tc>
      </w:tr>
    </w:tbl>
    <w:p>
      <w:pPr>
        <w:spacing w:after="40"/>
      </w:pPr>
    </w:p>
    <w:p>
      <w:pPr>
        <w:pStyle w:val="Heading2"/>
      </w:pPr>
      <w:r>
        <w:t>主等离子体诊断：分类边界、装置交叉验证与证据风险</w:t>
      </w:r>
    </w:p>
    <w:p>
      <w:pPr>
        <w:pStyle w:val="Heading3"/>
      </w:pPr>
      <w:r>
        <w:t>分类边界</w:t>
      </w:r>
    </w:p>
    <w:p>
      <w:pPr>
        <w:pStyle w:val="Heading3"/>
      </w:pPr>
      <w:r>
        <w:t>DG1 磁平衡 / 电流 / 位形</w:t>
      </w:r>
    </w:p>
    <w:p>
      <w:pPr>
        <w:widowControl/>
      </w:pPr>
      <w:r>
        <w:rPr>
          <w:rFonts w:ascii="Calibri" w:hAnsi="Calibri" w:eastAsia="Microsoft YaHei"/>
        </w:rPr>
        <w:t>包括磁通环、拾取线圈、罗戈夫斯基、霍尔稳态磁测量、光纤电流传感、MSE 内部磁场约束和实时平衡反演。MSE 虽然是光学诊断，但其主要任务是内部磁场/电流剖面，因此主类为 DG1。rtEFIT 以计算反演为主，但它直接把磁观测转成位形状态，也归 DG1，并关联 DG10/DG11。</w:t>
      </w:r>
    </w:p>
    <w:p>
      <w:pPr>
        <w:pStyle w:val="Heading3"/>
      </w:pPr>
      <w:r>
        <w:t>DG2 电子密度 / 温度</w:t>
      </w:r>
    </w:p>
    <w:p>
      <w:pPr>
        <w:widowControl/>
      </w:pPr>
      <w:r>
        <w:rPr>
          <w:rFonts w:ascii="Calibri" w:hAnsi="Calibri" w:eastAsia="Microsoft YaHei"/>
        </w:rPr>
        <w:t>包括常规与 LIDAR 汤姆逊散射、干涉/偏振、ECE、剖面反射计。若 ECE/ECEI 主要研究 MHD 或二维涨落，则分别归 DG2 与 DG6：一维绝对/剖面 ECE 主 DG2，二维涨落 ECEI 主 DG6。</w:t>
      </w:r>
    </w:p>
    <w:p>
      <w:pPr>
        <w:pStyle w:val="Heading3"/>
      </w:pPr>
      <w:r>
        <w:t>DG3 离子 / 流动 / 组分 / 中性</w:t>
      </w:r>
    </w:p>
    <w:p>
      <w:pPr>
        <w:widowControl/>
      </w:pPr>
      <w:r>
        <w:rPr>
          <w:rFonts w:ascii="Calibri" w:hAnsi="Calibri" w:eastAsia="Microsoft YaHei"/>
        </w:rPr>
        <w:t>包括 CXRS/CER、XICS、NPA、主离子同位素谱和 ITER DNB-CXRS。FIDA 虽同样使用电荷交换光谱，但主要目标是快离子相空间，因此归 DG5；NPA 同时关联 DG5，但在本表以离子/中性谱技术链主归 DG3。</w:t>
      </w:r>
    </w:p>
    <w:p>
      <w:pPr>
        <w:pStyle w:val="Heading3"/>
      </w:pPr>
      <w:r>
        <w:t>DG4 辐射 / 杂质 / 功率损失</w:t>
      </w:r>
    </w:p>
    <w:p>
      <w:pPr>
        <w:widowControl/>
      </w:pPr>
      <w:r>
        <w:rPr>
          <w:rFonts w:ascii="Calibri" w:hAnsi="Calibri" w:eastAsia="Microsoft YaHei"/>
        </w:rPr>
        <w:t>包括测辐射热计、SXR、VUV、可见光杂质/燃料谱和 HXR 逃逸电子监测。SXR/HXR 也可服务 MHD 或高能粒子，但若主观测量是辐射场/制动辐射，主类保持 DG4，再通过 relatedTasks 连接 DG5/DG6。</w:t>
      </w:r>
    </w:p>
    <w:p>
      <w:pPr>
        <w:pStyle w:val="Heading3"/>
      </w:pPr>
      <w:r>
        <w:t>DG5 聚变产物 / 中子 / 伽马 / 高能粒子</w:t>
      </w:r>
    </w:p>
    <w:p>
      <w:pPr>
        <w:widowControl/>
      </w:pPr>
      <w:r>
        <w:rPr>
          <w:rFonts w:ascii="Calibri" w:hAnsi="Calibri" w:eastAsia="Microsoft YaHei"/>
        </w:rPr>
        <w:t>包括总中子率、径向中子相机、中子谱、活化、伽马谱、FIDA/IFIDA、CTS 和 FILD。这里把“聚变功率计量”和“快离子相空间诊断”放在同一一级类，但在后续网站筛选时应再用标签区分 neutron-metrology、spectroscopy 和 fast-ion。</w:t>
      </w:r>
    </w:p>
    <w:p>
      <w:pPr>
        <w:pStyle w:val="Heading3"/>
      </w:pPr>
      <w:r>
        <w:t>DG6 MHD / 波动 / 湍流</w:t>
      </w:r>
    </w:p>
    <w:p>
      <w:pPr>
        <w:widowControl/>
      </w:pPr>
      <w:r>
        <w:rPr>
          <w:rFonts w:ascii="Calibri" w:hAnsi="Calibri" w:eastAsia="Microsoft YaHei"/>
        </w:rPr>
        <w:t>包括 Mirnov、ECEI、BES、Doppler/相关反射计、PCI、HIBP 和 GPI。分类依据是主要科学量为模态、涨落、电势或湍流，而不是传感器的物理载体。</w:t>
      </w:r>
    </w:p>
    <w:p>
      <w:pPr>
        <w:pStyle w:val="Heading3"/>
      </w:pPr>
      <w:r>
        <w:t>DG7 边界 / SOL / 偏滤器 / PFC</w:t>
      </w:r>
    </w:p>
    <w:p>
      <w:pPr>
        <w:widowControl/>
      </w:pPr>
      <w:r>
        <w:rPr>
          <w:rFonts w:ascii="Calibri" w:hAnsi="Calibri" w:eastAsia="Microsoft YaHei"/>
        </w:rPr>
        <w:t>包括探针、IR、偏滤器 TS、Balmer/Stark 谱、QMB、LIBS/LIDS、第一镜/尘埃/侵蚀沉积监测。壁材料工作只要主要目标是等离子体—材料相互作用、表面热/粒子通量或材料迁移，就主归 DG7；只有泵、阀、电源、冷却等工程设备状态才应主归 DG8。</w:t>
      </w:r>
    </w:p>
    <w:p>
      <w:pPr>
        <w:pStyle w:val="Heading3"/>
      </w:pPr>
      <w:r>
        <w:t>DG0 / DG9 / DG10 / DG11 的关联用法</w:t>
      </w:r>
    </w:p>
    <w:p>
      <w:pPr>
        <w:numPr>
          <w:ilvl w:val="0"/>
          <w:numId w:val="10"/>
        </w:numPr>
        <w:spacing w:after="80" w:line="300" w:lineRule="auto"/>
      </w:pPr>
      <w:r>
        <w:rPr>
          <w:rFonts w:ascii="Calibri" w:hAnsi="Calibri" w:eastAsia="Microsoft YaHei"/>
        </w:rPr>
        <w:t>DG0：传感器计量、标定、辐照寿命、健康管理；</w:t>
      </w:r>
    </w:p>
    <w:p>
      <w:pPr>
        <w:numPr>
          <w:ilvl w:val="0"/>
          <w:numId w:val="10"/>
        </w:numPr>
        <w:spacing w:after="80" w:line="300" w:lineRule="auto"/>
      </w:pPr>
      <w:r>
        <w:rPr>
          <w:rFonts w:ascii="Calibri" w:hAnsi="Calibri" w:eastAsia="Microsoft YaHei"/>
        </w:rPr>
        <w:t>DG9：合成诊断或明确的前向观测模型；</w:t>
      </w:r>
    </w:p>
    <w:p>
      <w:pPr>
        <w:numPr>
          <w:ilvl w:val="0"/>
          <w:numId w:val="10"/>
        </w:numPr>
        <w:spacing w:after="80" w:line="300" w:lineRule="auto"/>
      </w:pPr>
      <w:r>
        <w:rPr>
          <w:rFonts w:ascii="Calibri" w:hAnsi="Calibri" w:eastAsia="Microsoft YaHei"/>
        </w:rPr>
        <w:t>DG10：层析、联合反演、正则化、数据同化；</w:t>
      </w:r>
    </w:p>
    <w:p>
      <w:pPr>
        <w:numPr>
          <w:ilvl w:val="0"/>
          <w:numId w:val="10"/>
        </w:numPr>
        <w:spacing w:after="80" w:line="300" w:lineRule="auto"/>
      </w:pPr>
      <w:r>
        <w:rPr>
          <w:rFonts w:ascii="Calibri" w:hAnsi="Calibri" w:eastAsia="Microsoft YaHei"/>
        </w:rPr>
        <w:t>DG11：实时发布、控制/保护接口或 AI 质量门控。</w:t>
      </w:r>
    </w:p>
    <w:p>
      <w:pPr>
        <w:widowControl/>
      </w:pPr>
      <w:r>
        <w:rPr>
          <w:rFonts w:ascii="Calibri" w:hAnsi="Calibri" w:eastAsia="Microsoft YaHei"/>
        </w:rPr>
        <w:t>这些是横切能力，不抢占 DG1–DG7 的主要物理任务分类。</w:t>
      </w:r>
    </w:p>
    <w:p>
      <w:pPr>
        <w:pStyle w:val="Heading3"/>
      </w:pPr>
      <w:r>
        <w:t>Technique family 边界</w:t>
      </w:r>
    </w:p>
    <w:p>
      <w:pPr>
        <w:widowControl/>
      </w:pPr>
      <w:r>
        <w:rPr>
          <w:rFonts w:ascii="Calibri" w:hAnsi="Calibri" w:eastAsia="Microsoft YaHei"/>
        </w:rPr>
        <w:t>family · 使用边界</w:t>
      </w:r>
    </w:p>
    <w:p>
      <w:pPr>
        <w:widowControl/>
      </w:pPr>
      <w:r>
        <w:rPr>
          <w:rFonts w:ascii="Calibri" w:hAnsi="Calibri" w:eastAsia="Microsoft YaHei"/>
        </w:rPr>
        <w:t>MAGNETIC · 磁感应、霍尔、磁扰动线圈</w:t>
      </w:r>
    </w:p>
    <w:p>
      <w:pPr>
        <w:widowControl/>
      </w:pPr>
      <w:r>
        <w:rPr>
          <w:rFonts w:ascii="Calibri" w:hAnsi="Calibri" w:eastAsia="Microsoft YaHei"/>
        </w:rPr>
        <w:t>MICROWAVE · ECE、反射计、CTS 等毫米波/微波系统</w:t>
      </w:r>
    </w:p>
    <w:p>
      <w:pPr>
        <w:widowControl/>
      </w:pPr>
      <w:r>
        <w:rPr>
          <w:rFonts w:ascii="Calibri" w:hAnsi="Calibri" w:eastAsia="Microsoft YaHei"/>
        </w:rPr>
        <w:t>LASER · 主动激光散射、干涉和 PCI</w:t>
      </w:r>
    </w:p>
    <w:p>
      <w:pPr>
        <w:widowControl/>
      </w:pPr>
      <w:r>
        <w:rPr>
          <w:rFonts w:ascii="Calibri" w:hAnsi="Calibri" w:eastAsia="Microsoft YaHei"/>
        </w:rPr>
        <w:t>OPTICAL · 可见/VUV/X 射线光谱、成像和电荷交换光学</w:t>
      </w:r>
    </w:p>
    <w:p>
      <w:pPr>
        <w:widowControl/>
      </w:pPr>
      <w:r>
        <w:rPr>
          <w:rFonts w:ascii="Calibri" w:hAnsi="Calibri" w:eastAsia="Microsoft YaHei"/>
        </w:rPr>
        <w:t>NUCLEAR_PARTICLE · 中子、伽马、NPA、HIBP、粒子损失</w:t>
      </w:r>
    </w:p>
    <w:p>
      <w:pPr>
        <w:widowControl/>
      </w:pPr>
      <w:r>
        <w:rPr>
          <w:rFonts w:ascii="Calibri" w:hAnsi="Calibri" w:eastAsia="Microsoft YaHei"/>
        </w:rPr>
        <w:t>PROBE_SAMPLING · 直接插入或固定接触边界等离子体的探针</w:t>
      </w:r>
    </w:p>
    <w:p>
      <w:pPr>
        <w:widowControl/>
      </w:pPr>
      <w:r>
        <w:rPr>
          <w:rFonts w:ascii="Calibri" w:hAnsi="Calibri" w:eastAsia="Microsoft YaHei"/>
        </w:rPr>
        <w:t>ENGINEERING_SENSOR · 热成像、测辐射热计、QMB、第一镜健康等工程化传感链</w:t>
      </w:r>
    </w:p>
    <w:p>
      <w:pPr>
        <w:widowControl/>
      </w:pPr>
      <w:r>
        <w:rPr>
          <w:rFonts w:ascii="Calibri" w:hAnsi="Calibri" w:eastAsia="Microsoft YaHei"/>
        </w:rPr>
        <w:t>COMPUTATIONAL · 记录主体是反演/状态估计服务而非单一硬件</w:t>
      </w:r>
    </w:p>
    <w:p>
      <w:pPr>
        <w:pStyle w:val="Heading3"/>
      </w:pPr>
      <w:r>
        <w:t>证据与部署等级</w:t>
      </w:r>
    </w:p>
    <w:p>
      <w:pPr>
        <w:pStyle w:val="Heading3"/>
      </w:pPr>
      <w:r>
        <w:t>Evidence level</w:t>
      </w:r>
    </w:p>
    <w:p>
      <w:pPr>
        <w:numPr>
          <w:ilvl w:val="0"/>
          <w:numId w:val="10"/>
        </w:numPr>
        <w:spacing w:after="80" w:line="300" w:lineRule="auto"/>
      </w:pPr>
      <w:r>
        <w:rPr>
          <w:rFonts w:ascii="Calibri" w:hAnsi="Calibri" w:eastAsia="Microsoft YaHei"/>
        </w:rPr>
        <w:t>E0：需求或概念；</w:t>
      </w:r>
    </w:p>
    <w:p>
      <w:pPr>
        <w:numPr>
          <w:ilvl w:val="0"/>
          <w:numId w:val="10"/>
        </w:numPr>
        <w:spacing w:after="80" w:line="300" w:lineRule="auto"/>
      </w:pPr>
      <w:r>
        <w:rPr>
          <w:rFonts w:ascii="Calibri" w:hAnsi="Calibri" w:eastAsia="Microsoft YaHei"/>
        </w:rPr>
        <w:t>E1：数值/前向设计；</w:t>
      </w:r>
    </w:p>
    <w:p>
      <w:pPr>
        <w:numPr>
          <w:ilvl w:val="0"/>
          <w:numId w:val="10"/>
        </w:numPr>
        <w:spacing w:after="80" w:line="300" w:lineRule="auto"/>
      </w:pPr>
      <w:r>
        <w:rPr>
          <w:rFonts w:ascii="Calibri" w:hAnsi="Calibri" w:eastAsia="Microsoft YaHei"/>
        </w:rPr>
        <w:t>E2：台架标定或原型；</w:t>
      </w:r>
    </w:p>
    <w:p>
      <w:pPr>
        <w:numPr>
          <w:ilvl w:val="0"/>
          <w:numId w:val="10"/>
        </w:numPr>
        <w:spacing w:after="80" w:line="300" w:lineRule="auto"/>
      </w:pPr>
      <w:r>
        <w:rPr>
          <w:rFonts w:ascii="Calibri" w:hAnsi="Calibri" w:eastAsia="Microsoft YaHei"/>
        </w:rPr>
        <w:t>E3：已安装、调试，或已有装置数据但尚不能证明例行服务；</w:t>
      </w:r>
    </w:p>
    <w:p>
      <w:pPr>
        <w:numPr>
          <w:ilvl w:val="0"/>
          <w:numId w:val="10"/>
        </w:numPr>
        <w:spacing w:after="80" w:line="300" w:lineRule="auto"/>
      </w:pPr>
      <w:r>
        <w:rPr>
          <w:rFonts w:ascii="Calibri" w:hAnsi="Calibri" w:eastAsia="Microsoft YaHei"/>
        </w:rPr>
        <w:t>E4：有明确的装置例行在线使用或长期运行证据。</w:t>
      </w:r>
    </w:p>
    <w:p>
      <w:pPr>
        <w:widowControl/>
      </w:pPr>
      <w:r>
        <w:rPr>
          <w:rFonts w:ascii="Calibri" w:hAnsi="Calibri" w:eastAsia="Microsoft YaHei"/>
        </w:rPr>
        <w:t>统计：E1 = 4，E2 = 4，E3 = 15，E4 = 19。此前把 ITER 设计/性能预测及仅有装置离线数据的条目计入 E4；本版已按“例行在线或常规使用须有直接证据”的口径保守降级。</w:t>
      </w:r>
    </w:p>
    <w:p>
      <w:pPr>
        <w:pStyle w:val="Heading3"/>
      </w:pPr>
      <w:r>
        <w:t>Deployment level</w:t>
      </w:r>
    </w:p>
    <w:p>
      <w:pPr>
        <w:numPr>
          <w:ilvl w:val="0"/>
          <w:numId w:val="10"/>
        </w:numPr>
        <w:spacing w:after="80" w:line="300" w:lineRule="auto"/>
      </w:pPr>
      <w:r>
        <w:rPr>
          <w:rFonts w:ascii="Calibri" w:hAnsi="Calibri" w:eastAsia="Microsoft YaHei"/>
        </w:rPr>
        <w:t>D1：概念；</w:t>
      </w:r>
    </w:p>
    <w:p>
      <w:pPr>
        <w:numPr>
          <w:ilvl w:val="0"/>
          <w:numId w:val="10"/>
        </w:numPr>
        <w:spacing w:after="80" w:line="300" w:lineRule="auto"/>
      </w:pPr>
      <w:r>
        <w:rPr>
          <w:rFonts w:ascii="Calibri" w:hAnsi="Calibri" w:eastAsia="Microsoft YaHei"/>
        </w:rPr>
        <w:t>D2：实验室/原型；</w:t>
      </w:r>
    </w:p>
    <w:p>
      <w:pPr>
        <w:numPr>
          <w:ilvl w:val="0"/>
          <w:numId w:val="10"/>
        </w:numPr>
        <w:spacing w:after="80" w:line="300" w:lineRule="auto"/>
      </w:pPr>
      <w:r>
        <w:rPr>
          <w:rFonts w:ascii="Calibri" w:hAnsi="Calibri" w:eastAsia="Microsoft YaHei"/>
        </w:rPr>
        <w:t>D3：已安装、调试或稳定离线工作流；</w:t>
      </w:r>
    </w:p>
    <w:p>
      <w:pPr>
        <w:numPr>
          <w:ilvl w:val="0"/>
          <w:numId w:val="10"/>
        </w:numPr>
        <w:spacing w:after="80" w:line="300" w:lineRule="auto"/>
      </w:pPr>
      <w:r>
        <w:rPr>
          <w:rFonts w:ascii="Calibri" w:hAnsi="Calibri" w:eastAsia="Microsoft YaHei"/>
        </w:rPr>
        <w:t>D4：例行实验或实时服务；</w:t>
      </w:r>
    </w:p>
    <w:p>
      <w:pPr>
        <w:numPr>
          <w:ilvl w:val="0"/>
          <w:numId w:val="10"/>
        </w:numPr>
        <w:spacing w:after="80" w:line="300" w:lineRule="auto"/>
      </w:pPr>
      <w:r>
        <w:rPr>
          <w:rFonts w:ascii="Calibri" w:hAnsi="Calibri" w:eastAsia="Microsoft YaHei"/>
        </w:rPr>
        <w:t>D5：经正式安全/机器保护治理批准的功能。</w:t>
      </w:r>
    </w:p>
    <w:p>
      <w:pPr>
        <w:widowControl/>
      </w:pPr>
      <w:r>
        <w:rPr>
          <w:rFonts w:ascii="Calibri" w:hAnsi="Calibri" w:eastAsia="Microsoft YaHei"/>
        </w:rPr>
        <w:t>统计：D2 = 8，D3 = 15，D4 = 19，D5 = 0。没有任何工作被推断为 D5。即便论文提到“用于保护”或“可实时”，如果没有正式安全等级、审批边界、失效策略和治理证据，也不能标 D5。</w:t>
      </w:r>
    </w:p>
    <w:p>
      <w:pPr>
        <w:pStyle w:val="Heading3"/>
      </w:pPr>
      <w:r>
        <w:t>建议装置交叉索引</w:t>
      </w:r>
    </w:p>
    <w:p>
      <w:pPr>
        <w:widowControl/>
      </w:pPr>
      <w:r>
        <w:rPr>
          <w:rFonts w:ascii="Calibri" w:hAnsi="Calibri" w:eastAsia="Microsoft YaHei"/>
        </w:rPr>
        <w:t>装置/项目 · 优先索引的记录 · 说明</w:t>
      </w:r>
    </w:p>
    <w:p>
      <w:pPr>
        <w:widowControl/>
      </w:pPr>
      <w:r>
        <w:rPr>
          <w:rFonts w:ascii="Calibri" w:hAnsi="Calibri" w:eastAsia="Microsoft YaHei"/>
        </w:rPr>
        <w:t>ITER · DG1-001/002/003、DG2-006/008/009、DG3-013/015、DG4-016/018/020、DG5-021–025/027、DG7-037–042 · 大量记录属于设计、制造、原型或校准规划；不能统一写成“已在 ITER 等离子体运行”</w:t>
      </w:r>
    </w:p>
    <w:p>
      <w:pPr>
        <w:widowControl/>
      </w:pPr>
      <w:r>
        <w:rPr>
          <w:rFonts w:ascii="Calibri" w:hAnsi="Calibri" w:eastAsia="Microsoft YaHei"/>
        </w:rPr>
        <w:t>DIII-D · DG1-001/004/005、DG2-006/008/009、DG3-011/014、DG4-017/020、DG5-021/022/026/028、DG6-029–031/035、DG7-036/038/041/042 · 适合建立“诊断—PCS—实验验证”成熟链条示范</w:t>
      </w:r>
    </w:p>
    <w:p>
      <w:pPr>
        <w:widowControl/>
      </w:pPr>
      <w:r>
        <w:rPr>
          <w:rFonts w:ascii="Calibri" w:hAnsi="Calibri" w:eastAsia="Microsoft YaHei"/>
        </w:rPr>
        <w:t>EAST · DG1-001/003/005、DG2-006/008–010、DG3-012/013、DG4-016–020、DG5-021、DG6-029/030/032、DG7-036/037/040 · 长脉冲、超导装置与 PFC/边界诊断可形成重点专题</w:t>
      </w:r>
    </w:p>
    <w:p>
      <w:pPr>
        <w:widowControl/>
      </w:pPr>
      <w:r>
        <w:rPr>
          <w:rFonts w:ascii="Calibri" w:hAnsi="Calibri" w:eastAsia="Microsoft YaHei"/>
        </w:rPr>
        <w:t>JET · DG1-001、DG2-007、DG3-011、DG4-016/019、DG5-021–025、DG7-037/039/040/042 · D-T、中子/伽马计量与 ITER-like wall 证据最强</w:t>
      </w:r>
    </w:p>
    <w:p>
      <w:pPr>
        <w:widowControl/>
      </w:pPr>
      <w:r>
        <w:rPr>
          <w:rFonts w:ascii="Calibri" w:hAnsi="Calibri" w:eastAsia="Microsoft YaHei"/>
        </w:rPr>
        <w:t>KSTAR · DG1-004/005、DG2-008/009、DG3-011/012、DG4-018、DG6-029/030、DG7-038 · ECEI、XICS、VUV 原型和长脉冲诊断交叉价值高</w:t>
      </w:r>
    </w:p>
    <w:p>
      <w:pPr>
        <w:widowControl/>
      </w:pPr>
      <w:r>
        <w:rPr>
          <w:rFonts w:ascii="Calibri" w:hAnsi="Calibri" w:eastAsia="Microsoft YaHei"/>
        </w:rPr>
        <w:t>ASDEX Upgrade · DG4-016/017、DG5-027/028、DG6-032、DG7-036/037 · 辐射控制、快离子、Doppler 和实时 IR 的集成案例</w:t>
      </w:r>
    </w:p>
    <w:p>
      <w:pPr>
        <w:widowControl/>
      </w:pPr>
      <w:r>
        <w:rPr>
          <w:rFonts w:ascii="Calibri" w:hAnsi="Calibri" w:eastAsia="Microsoft YaHei"/>
        </w:rPr>
        <w:t>SPARC · DG2-010、DG3-012、DG4-017/020 · 目前以设计/合成性能论文为主，应和运行装置证据分层展示</w:t>
      </w:r>
    </w:p>
    <w:p>
      <w:pPr>
        <w:widowControl/>
      </w:pPr>
      <w:r>
        <w:rPr>
          <w:rFonts w:ascii="Calibri" w:hAnsi="Calibri" w:eastAsia="Microsoft YaHei"/>
        </w:rPr>
        <w:t>MAST Upgrade / MAST · DG2-010、DG5-026/028、DG6-029/031、DG7-036/039 · 球形托卡马克边缘、快离子和反射计专题</w:t>
      </w:r>
    </w:p>
    <w:p>
      <w:pPr>
        <w:widowControl/>
      </w:pPr>
      <w:r>
        <w:rPr>
          <w:rFonts w:ascii="Calibri" w:hAnsi="Calibri" w:eastAsia="Microsoft YaHei"/>
        </w:rPr>
        <w:t>TCV · DG6-033/035、DG7-039 · 脱靶谱、GPI、PCI/边缘集成反演适合作为方法验证链</w:t>
      </w:r>
    </w:p>
    <w:p>
      <w:pPr>
        <w:widowControl/>
      </w:pPr>
      <w:r>
        <w:rPr>
          <w:rFonts w:ascii="Calibri" w:hAnsi="Calibri" w:eastAsia="Microsoft YaHei"/>
        </w:rPr>
        <w:t>ST40 · DG3-013 · NPA 为代表性装置工作，部署成熟度需按论文逐项更新</w:t>
      </w:r>
    </w:p>
    <w:p>
      <w:pPr>
        <w:widowControl/>
      </w:pPr>
      <w:r>
        <w:rPr>
          <w:rFonts w:ascii="Calibri" w:hAnsi="Calibri" w:eastAsia="Microsoft YaHei"/>
        </w:rPr>
        <w:t>HL-2A / HL-2M · DG1-005、DG3-011、DG4-020 · 国内实时平衡、CXRS 与 HXR 可形成控制接口专题</w:t>
      </w:r>
    </w:p>
    <w:p>
      <w:pPr>
        <w:widowControl/>
      </w:pPr>
      <w:r>
        <w:rPr>
          <w:rFonts w:ascii="Calibri" w:hAnsi="Calibri" w:eastAsia="Microsoft YaHei"/>
        </w:rPr>
        <w:t>建议网站端提供两级筛选：</w:t>
      </w:r>
    </w:p>
    <w:p>
      <w:pPr>
        <w:numPr>
          <w:ilvl w:val="0"/>
          <w:numId w:val="10"/>
        </w:numPr>
        <w:spacing w:after="80" w:line="300" w:lineRule="auto"/>
      </w:pPr>
      <w:r>
        <w:rPr>
          <w:rFonts w:ascii="Calibri" w:hAnsi="Calibri" w:eastAsia="Microsoft YaHei"/>
        </w:rPr>
        <w:t>先按装置；</w:t>
      </w:r>
    </w:p>
    <w:p>
      <w:pPr>
        <w:numPr>
          <w:ilvl w:val="0"/>
          <w:numId w:val="10"/>
        </w:numPr>
        <w:spacing w:after="80" w:line="300" w:lineRule="auto"/>
      </w:pPr>
      <w:r>
        <w:rPr>
          <w:rFonts w:ascii="Calibri" w:hAnsi="Calibri" w:eastAsia="Microsoft YaHei"/>
        </w:rPr>
        <w:t>再按“运行证据 / 设计原型 / 合成诊断 / 代码开放度”。</w:t>
      </w:r>
    </w:p>
    <w:p>
      <w:pPr>
        <w:widowControl/>
      </w:pPr>
      <w:r>
        <w:rPr>
          <w:rFonts w:ascii="Calibri" w:hAnsi="Calibri" w:eastAsia="Microsoft YaHei"/>
        </w:rPr>
        <w:t>否则 ITER、SPARC 等设计工作会与 DIII-D、EAST、JET 的装置运行证据混在一起。</w:t>
      </w:r>
    </w:p>
    <w:p>
      <w:pPr>
        <w:pStyle w:val="Heading3"/>
      </w:pPr>
      <w:r>
        <w:t>主要证据风险</w:t>
      </w:r>
    </w:p>
    <w:p>
      <w:pPr>
        <w:pStyle w:val="Heading3"/>
      </w:pPr>
      <w:r>
        <w:t>7.1 论文元数据仍需机器化规范</w:t>
      </w:r>
    </w:p>
    <w:p>
      <w:pPr>
        <w:widowControl/>
      </w:pPr>
      <w:r>
        <w:rPr>
          <w:rFonts w:ascii="Calibri" w:hAnsi="Calibri" w:eastAsia="Microsoft YaHei"/>
        </w:rPr>
        <w:t>部分 records 的 authors 使用“装置团队”或“首作者 et al.”短写，避免在未读取完整版权页时臆造作者列表。正式 Word 报告和网站引用前，建议以 DOI 通过 Crossref/出版社元数据批量补齐全体作者、卷期、页码和出版日期，并保存 BibTeX/CSL-JSON。此项不影响论文主链接，但影响正式参考文献样式。</w:t>
      </w:r>
    </w:p>
    <w:p>
      <w:pPr>
        <w:pStyle w:val="Heading3"/>
      </w:pPr>
      <w:r>
        <w:t>7.2 “设计完成”不等于“装置运行”</w:t>
      </w:r>
    </w:p>
    <w:p>
      <w:pPr>
        <w:widowControl/>
      </w:pPr>
      <w:r>
        <w:rPr>
          <w:rFonts w:ascii="Calibri" w:hAnsi="Calibri" w:eastAsia="Microsoft YaHei"/>
        </w:rPr>
        <w:t>ITER、SPARC、部分 DEMO 工作有强设计与原型证据，却没有等离子体运行验证。当前记录已通过 E/D 等级分开；正文撰写必须避免“已用于 ITER 运行”之类越级表述。</w:t>
      </w:r>
    </w:p>
    <w:p>
      <w:pPr>
        <w:pStyle w:val="Heading3"/>
      </w:pPr>
      <w:r>
        <w:t>7.3 运行软件高度不开放</w:t>
      </w:r>
    </w:p>
    <w:p>
      <w:pPr>
        <w:widowControl/>
      </w:pPr>
      <w:r>
        <w:rPr>
          <w:rFonts w:ascii="Calibri" w:hAnsi="Calibri" w:eastAsia="Microsoft YaHei"/>
        </w:rPr>
        <w:t>40 个代码关联项为 not-public。这不是证明“没有代码”，而是没有发现可核验的官方公开仓库。装置团队常通过 PCS、MDSplus、内部 GitLab、标定数据库和受控配置发布生产算法。后续合作调研应单列：</w:t>
      </w:r>
    </w:p>
    <w:p>
      <w:pPr>
        <w:numPr>
          <w:ilvl w:val="0"/>
          <w:numId w:val="10"/>
        </w:numPr>
        <w:spacing w:after="80" w:line="300" w:lineRule="auto"/>
      </w:pPr>
      <w:r>
        <w:rPr>
          <w:rFonts w:ascii="Calibri" w:hAnsi="Calibri" w:eastAsia="Microsoft YaHei"/>
        </w:rPr>
        <w:t>源码是否可获得；</w:t>
      </w:r>
    </w:p>
    <w:p>
      <w:pPr>
        <w:numPr>
          <w:ilvl w:val="0"/>
          <w:numId w:val="10"/>
        </w:numPr>
        <w:spacing w:after="80" w:line="300" w:lineRule="auto"/>
      </w:pPr>
      <w:r>
        <w:rPr>
          <w:rFonts w:ascii="Calibri" w:hAnsi="Calibri" w:eastAsia="Microsoft YaHei"/>
        </w:rPr>
        <w:t>配置/标定是否可导出；</w:t>
      </w:r>
    </w:p>
    <w:p>
      <w:pPr>
        <w:numPr>
          <w:ilvl w:val="0"/>
          <w:numId w:val="10"/>
        </w:numPr>
        <w:spacing w:after="80" w:line="300" w:lineRule="auto"/>
      </w:pPr>
      <w:r>
        <w:rPr>
          <w:rFonts w:ascii="Calibri" w:hAnsi="Calibri" w:eastAsia="Microsoft YaHei"/>
        </w:rPr>
        <w:t>是否有回放容器；</w:t>
      </w:r>
    </w:p>
    <w:p>
      <w:pPr>
        <w:numPr>
          <w:ilvl w:val="0"/>
          <w:numId w:val="10"/>
        </w:numPr>
        <w:spacing w:after="80" w:line="300" w:lineRule="auto"/>
      </w:pPr>
      <w:r>
        <w:rPr>
          <w:rFonts w:ascii="Calibri" w:hAnsi="Calibri" w:eastAsia="Microsoft YaHei"/>
        </w:rPr>
        <w:t>是否有合成输入和黄金炮测试；</w:t>
      </w:r>
    </w:p>
    <w:p>
      <w:pPr>
        <w:numPr>
          <w:ilvl w:val="0"/>
          <w:numId w:val="10"/>
        </w:numPr>
        <w:spacing w:after="80" w:line="300" w:lineRule="auto"/>
      </w:pPr>
      <w:r>
        <w:rPr>
          <w:rFonts w:ascii="Calibri" w:hAnsi="Calibri" w:eastAsia="Microsoft YaHei"/>
        </w:rPr>
        <w:t>是否能在装置外部署；</w:t>
      </w:r>
    </w:p>
    <w:p>
      <w:pPr>
        <w:numPr>
          <w:ilvl w:val="0"/>
          <w:numId w:val="10"/>
        </w:numPr>
        <w:spacing w:after="80" w:line="300" w:lineRule="auto"/>
      </w:pPr>
      <w:r>
        <w:rPr>
          <w:rFonts w:ascii="Calibri" w:hAnsi="Calibri" w:eastAsia="Microsoft YaHei"/>
        </w:rPr>
        <w:t>许可与出口管制。</w:t>
      </w:r>
    </w:p>
    <w:p>
      <w:pPr>
        <w:pStyle w:val="Heading3"/>
      </w:pPr>
      <w:r>
        <w:t>7.4 标定迁移是数字孪生的首要风险</w:t>
      </w:r>
    </w:p>
    <w:p>
      <w:pPr>
        <w:widowControl/>
      </w:pPr>
      <w:r>
        <w:rPr>
          <w:rFonts w:ascii="Calibri" w:hAnsi="Calibri" w:eastAsia="Microsoft YaHei"/>
        </w:rPr>
        <w:t>很多诊断在论文中验证了物理原理，但电厂寿命周期还需要处理辐照、窗口/镜面污染、材料迁移、电子学漂移、传感器更换与几何重测。数字孪生不应只保存“测量值”，还必须保存：</w:t>
      </w:r>
    </w:p>
    <w:p>
      <w:pPr>
        <w:numPr>
          <w:ilvl w:val="0"/>
          <w:numId w:val="10"/>
        </w:numPr>
        <w:spacing w:after="80" w:line="300" w:lineRule="auto"/>
      </w:pPr>
      <w:r>
        <w:rPr>
          <w:rFonts w:ascii="Calibri" w:hAnsi="Calibri" w:eastAsia="Microsoft YaHei"/>
        </w:rPr>
        <w:t>原始信号；</w:t>
      </w:r>
    </w:p>
    <w:p>
      <w:pPr>
        <w:numPr>
          <w:ilvl w:val="0"/>
          <w:numId w:val="10"/>
        </w:numPr>
        <w:spacing w:after="80" w:line="300" w:lineRule="auto"/>
      </w:pPr>
      <w:r>
        <w:rPr>
          <w:rFonts w:ascii="Calibri" w:hAnsi="Calibri" w:eastAsia="Microsoft YaHei"/>
        </w:rPr>
        <w:t>标定数据和有效期；</w:t>
      </w:r>
    </w:p>
    <w:p>
      <w:pPr>
        <w:numPr>
          <w:ilvl w:val="0"/>
          <w:numId w:val="10"/>
        </w:numPr>
        <w:spacing w:after="80" w:line="300" w:lineRule="auto"/>
      </w:pPr>
      <w:r>
        <w:rPr>
          <w:rFonts w:ascii="Calibri" w:hAnsi="Calibri" w:eastAsia="Microsoft YaHei"/>
        </w:rPr>
        <w:t>几何/响应矩阵版本；</w:t>
      </w:r>
    </w:p>
    <w:p>
      <w:pPr>
        <w:numPr>
          <w:ilvl w:val="0"/>
          <w:numId w:val="10"/>
        </w:numPr>
        <w:spacing w:after="80" w:line="300" w:lineRule="auto"/>
      </w:pPr>
      <w:r>
        <w:rPr>
          <w:rFonts w:ascii="Calibri" w:hAnsi="Calibri" w:eastAsia="Microsoft YaHei"/>
        </w:rPr>
        <w:t>通道健康与失效原因；</w:t>
      </w:r>
    </w:p>
    <w:p>
      <w:pPr>
        <w:numPr>
          <w:ilvl w:val="0"/>
          <w:numId w:val="10"/>
        </w:numPr>
        <w:spacing w:after="80" w:line="300" w:lineRule="auto"/>
      </w:pPr>
      <w:r>
        <w:rPr>
          <w:rFonts w:ascii="Calibri" w:hAnsi="Calibri" w:eastAsia="Microsoft YaHei"/>
        </w:rPr>
        <w:t>反演先验、残差和协方差；</w:t>
      </w:r>
    </w:p>
    <w:p>
      <w:pPr>
        <w:numPr>
          <w:ilvl w:val="0"/>
          <w:numId w:val="10"/>
        </w:numPr>
        <w:spacing w:after="80" w:line="300" w:lineRule="auto"/>
      </w:pPr>
      <w:r>
        <w:rPr>
          <w:rFonts w:ascii="Calibri" w:hAnsi="Calibri" w:eastAsia="Microsoft YaHei"/>
        </w:rPr>
        <w:t>原子/核数据版本；</w:t>
      </w:r>
    </w:p>
    <w:p>
      <w:pPr>
        <w:numPr>
          <w:ilvl w:val="0"/>
          <w:numId w:val="10"/>
        </w:numPr>
        <w:spacing w:after="80" w:line="300" w:lineRule="auto"/>
      </w:pPr>
      <w:r>
        <w:rPr>
          <w:rFonts w:ascii="Calibri" w:hAnsi="Calibri" w:eastAsia="Microsoft YaHei"/>
        </w:rPr>
        <w:t>软件、模型和配置哈希。</w:t>
      </w:r>
    </w:p>
    <w:p>
      <w:pPr>
        <w:pStyle w:val="Heading3"/>
      </w:pPr>
      <w:r>
        <w:t>7.5 反演结果不是直接真值</w:t>
      </w:r>
    </w:p>
    <w:p>
      <w:pPr>
        <w:widowControl/>
      </w:pPr>
      <w:r>
        <w:rPr>
          <w:rFonts w:ascii="Calibri" w:hAnsi="Calibri" w:eastAsia="Microsoft YaHei"/>
        </w:rPr>
        <w:t>rtEFIT、反射计、层析、FIDA、Balmer、IR 热流等都存在病态反问题。网站应明确区分：</w:t>
      </w:r>
    </w:p>
    <w:p>
      <w:pPr>
        <w:numPr>
          <w:ilvl w:val="0"/>
          <w:numId w:val="10"/>
        </w:numPr>
        <w:spacing w:after="80" w:line="300" w:lineRule="auto"/>
      </w:pPr>
      <w:r>
        <w:rPr>
          <w:rFonts w:ascii="Calibri" w:hAnsi="Calibri" w:eastAsia="Microsoft YaHei"/>
        </w:rPr>
        <w:t>原始观测；</w:t>
      </w:r>
    </w:p>
    <w:p>
      <w:pPr>
        <w:numPr>
          <w:ilvl w:val="0"/>
          <w:numId w:val="10"/>
        </w:numPr>
        <w:spacing w:after="80" w:line="300" w:lineRule="auto"/>
      </w:pPr>
      <w:r>
        <w:rPr>
          <w:rFonts w:ascii="Calibri" w:hAnsi="Calibri" w:eastAsia="Microsoft YaHei"/>
        </w:rPr>
        <w:t>标定后的工程量；</w:t>
      </w:r>
    </w:p>
    <w:p>
      <w:pPr>
        <w:numPr>
          <w:ilvl w:val="0"/>
          <w:numId w:val="10"/>
        </w:numPr>
        <w:spacing w:after="80" w:line="300" w:lineRule="auto"/>
      </w:pPr>
      <w:r>
        <w:rPr>
          <w:rFonts w:ascii="Calibri" w:hAnsi="Calibri" w:eastAsia="Microsoft YaHei"/>
        </w:rPr>
        <w:t>模型依赖反演量；</w:t>
      </w:r>
    </w:p>
    <w:p>
      <w:pPr>
        <w:numPr>
          <w:ilvl w:val="0"/>
          <w:numId w:val="10"/>
        </w:numPr>
        <w:spacing w:after="80" w:line="300" w:lineRule="auto"/>
      </w:pPr>
      <w:r>
        <w:rPr>
          <w:rFonts w:ascii="Calibri" w:hAnsi="Calibri" w:eastAsia="Microsoft YaHei"/>
        </w:rPr>
        <w:t>多诊断融合状态；</w:t>
      </w:r>
    </w:p>
    <w:p>
      <w:pPr>
        <w:numPr>
          <w:ilvl w:val="0"/>
          <w:numId w:val="10"/>
        </w:numPr>
        <w:spacing w:after="80" w:line="300" w:lineRule="auto"/>
      </w:pPr>
      <w:r>
        <w:rPr>
          <w:rFonts w:ascii="Calibri" w:hAnsi="Calibri" w:eastAsia="Microsoft YaHei"/>
        </w:rPr>
        <w:t>控制/决策使用量。</w:t>
      </w:r>
    </w:p>
    <w:p>
      <w:pPr>
        <w:widowControl/>
      </w:pPr>
      <w:r>
        <w:rPr>
          <w:rFonts w:ascii="Calibri" w:hAnsi="Calibri" w:eastAsia="Microsoft YaHei"/>
        </w:rPr>
        <w:t>每一级都应携带不确定度、适用域和质量标志。</w:t>
      </w:r>
    </w:p>
    <w:p>
      <w:pPr>
        <w:pStyle w:val="Heading3"/>
      </w:pPr>
      <w:r>
        <w:t>7.6 安全与保护证据缺口</w:t>
      </w:r>
    </w:p>
    <w:p>
      <w:pPr>
        <w:widowControl/>
      </w:pPr>
      <w:r>
        <w:rPr>
          <w:rFonts w:ascii="Calibri" w:hAnsi="Calibri" w:eastAsia="Microsoft YaHei"/>
        </w:rPr>
        <w:t>本表 D5 为零。实时诊断、热斑告警、中子功率或逃逸电子监测可能服务控制/保护，但论文通常没有完整安全生命周期证据。进入机器保护或核安全用途前，还缺：</w:t>
      </w:r>
    </w:p>
    <w:p>
      <w:pPr>
        <w:numPr>
          <w:ilvl w:val="0"/>
          <w:numId w:val="10"/>
        </w:numPr>
        <w:spacing w:after="80" w:line="300" w:lineRule="auto"/>
      </w:pPr>
      <w:r>
        <w:rPr>
          <w:rFonts w:ascii="Calibri" w:hAnsi="Calibri" w:eastAsia="Microsoft YaHei"/>
        </w:rPr>
        <w:t>安全需求与危害分析；</w:t>
      </w:r>
    </w:p>
    <w:p>
      <w:pPr>
        <w:numPr>
          <w:ilvl w:val="0"/>
          <w:numId w:val="10"/>
        </w:numPr>
        <w:spacing w:after="80" w:line="300" w:lineRule="auto"/>
      </w:pPr>
      <w:r>
        <w:rPr>
          <w:rFonts w:ascii="Calibri" w:hAnsi="Calibri" w:eastAsia="Microsoft YaHei"/>
        </w:rPr>
        <w:t>独立性/冗余与共因失效评估；</w:t>
      </w:r>
    </w:p>
    <w:p>
      <w:pPr>
        <w:numPr>
          <w:ilvl w:val="0"/>
          <w:numId w:val="10"/>
        </w:numPr>
        <w:spacing w:after="80" w:line="300" w:lineRule="auto"/>
      </w:pPr>
      <w:r>
        <w:rPr>
          <w:rFonts w:ascii="Calibri" w:hAnsi="Calibri" w:eastAsia="Microsoft YaHei"/>
        </w:rPr>
        <w:t>诊断覆盖率和故障注入；</w:t>
      </w:r>
    </w:p>
    <w:p>
      <w:pPr>
        <w:numPr>
          <w:ilvl w:val="0"/>
          <w:numId w:val="10"/>
        </w:numPr>
        <w:spacing w:after="80" w:line="300" w:lineRule="auto"/>
      </w:pPr>
      <w:r>
        <w:rPr>
          <w:rFonts w:ascii="Calibri" w:hAnsi="Calibri" w:eastAsia="Microsoft YaHei"/>
        </w:rPr>
        <w:t>确定性时延与最坏情况执行时间；</w:t>
      </w:r>
    </w:p>
    <w:p>
      <w:pPr>
        <w:numPr>
          <w:ilvl w:val="0"/>
          <w:numId w:val="10"/>
        </w:numPr>
        <w:spacing w:after="80" w:line="300" w:lineRule="auto"/>
      </w:pPr>
      <w:r>
        <w:rPr>
          <w:rFonts w:ascii="Calibri" w:hAnsi="Calibri" w:eastAsia="Microsoft YaHei"/>
        </w:rPr>
        <w:t>配置与变更治理；</w:t>
      </w:r>
    </w:p>
    <w:p>
      <w:pPr>
        <w:numPr>
          <w:ilvl w:val="0"/>
          <w:numId w:val="10"/>
        </w:numPr>
        <w:spacing w:after="80" w:line="300" w:lineRule="auto"/>
      </w:pPr>
      <w:r>
        <w:rPr>
          <w:rFonts w:ascii="Calibri" w:hAnsi="Calibri" w:eastAsia="Microsoft YaHei"/>
        </w:rPr>
        <w:t>失效安全策略；</w:t>
      </w:r>
    </w:p>
    <w:p>
      <w:pPr>
        <w:numPr>
          <w:ilvl w:val="0"/>
          <w:numId w:val="10"/>
        </w:numPr>
        <w:spacing w:after="80" w:line="300" w:lineRule="auto"/>
      </w:pPr>
      <w:r>
        <w:rPr>
          <w:rFonts w:ascii="Calibri" w:hAnsi="Calibri" w:eastAsia="Microsoft YaHei"/>
        </w:rPr>
        <w:t>独立 V&amp;V 与审批记录。</w:t>
      </w:r>
    </w:p>
    <w:p>
      <w:pPr>
        <w:pStyle w:val="Heading3"/>
      </w:pPr>
      <w:r>
        <w:t>推荐的下一轮精化</w:t>
      </w:r>
    </w:p>
    <w:p>
      <w:pPr>
        <w:numPr>
          <w:ilvl w:val="0"/>
          <w:numId w:val="10"/>
        </w:numPr>
        <w:spacing w:after="80" w:line="300" w:lineRule="auto"/>
      </w:pPr>
      <w:r>
        <w:rPr>
          <w:rFonts w:ascii="Calibri" w:hAnsi="Calibri" w:eastAsia="Microsoft YaHei"/>
        </w:rPr>
        <w:t>对 88 条文献做 DOI 元数据归一与全文归档，生成 BibTeX/CSL-JSON；</w:t>
      </w:r>
    </w:p>
    <w:p>
      <w:pPr>
        <w:numPr>
          <w:ilvl w:val="0"/>
          <w:numId w:val="10"/>
        </w:numPr>
        <w:spacing w:after="80" w:line="300" w:lineRule="auto"/>
      </w:pPr>
      <w:r>
        <w:rPr>
          <w:rFonts w:ascii="Calibri" w:hAnsi="Calibri" w:eastAsia="Microsoft YaHei"/>
        </w:rPr>
        <w:t>对 110 个论文/代码 URL 做可重复的 HTTP 状态、重定向和归档时间审计；</w:t>
      </w:r>
    </w:p>
    <w:p>
      <w:pPr>
        <w:numPr>
          <w:ilvl w:val="0"/>
          <w:numId w:val="10"/>
        </w:numPr>
        <w:spacing w:after="80" w:line="300" w:lineRule="auto"/>
      </w:pPr>
      <w:r>
        <w:rPr>
          <w:rFonts w:ascii="Calibri" w:hAnsi="Calibri" w:eastAsia="Microsoft YaHei"/>
        </w:rPr>
        <w:t>将设备名映射到统一主数据，例如 `DIII-D`、`MAST Upgrade`、`ASDEX Upgrade`，避免别名分裂；</w:t>
      </w:r>
    </w:p>
    <w:p>
      <w:pPr>
        <w:numPr>
          <w:ilvl w:val="0"/>
          <w:numId w:val="10"/>
        </w:numPr>
        <w:spacing w:after="80" w:line="300" w:lineRule="auto"/>
      </w:pPr>
      <w:r>
        <w:rPr>
          <w:rFonts w:ascii="Calibri" w:hAnsi="Calibri" w:eastAsia="Microsoft YaHei"/>
        </w:rPr>
        <w:t>增加 `readinessEvidence`、`uncertaintyBudget`、`latency`、`samplingRate`、`spatialResolution`、`dataSystem` 等二级字段；</w:t>
      </w:r>
    </w:p>
    <w:p>
      <w:pPr>
        <w:numPr>
          <w:ilvl w:val="0"/>
          <w:numId w:val="10"/>
        </w:numPr>
        <w:spacing w:after="80" w:line="300" w:lineRule="auto"/>
      </w:pPr>
      <w:r>
        <w:rPr>
          <w:rFonts w:ascii="Calibri" w:hAnsi="Calibri" w:eastAsia="Microsoft YaHei"/>
        </w:rPr>
        <w:t>与 DG9/DG10 子任务合并时，保留“测量硬件记录”和“合成/联合反演记录”的一对多关系，不把前向模型误标为装置直接代码；</w:t>
      </w:r>
    </w:p>
    <w:p>
      <w:pPr>
        <w:numPr>
          <w:ilvl w:val="0"/>
          <w:numId w:val="10"/>
        </w:numPr>
        <w:spacing w:after="80" w:line="300" w:lineRule="auto"/>
      </w:pPr>
      <w:r>
        <w:rPr>
          <w:rFonts w:ascii="Calibri" w:hAnsi="Calibri" w:eastAsia="Microsoft YaHei"/>
        </w:rPr>
        <w:t>选 DIII-D、EAST、JET、KSTAR 各做一条完整的“传感器—标定—反演—MDSplus/PCS—实验验证—数字孪生 API”样板链。</w:t>
      </w:r>
    </w:p>
    <w:p>
      <w:pPr>
        <w:pStyle w:val="Heading2"/>
      </w:pPr>
      <w:r>
        <w:t>合成诊断、集成反演与实时智能：从前向模型到受治理状态</w:t>
      </w:r>
    </w:p>
    <w:p>
      <w:pPr>
        <w:pStyle w:val="Heading3"/>
      </w:pPr>
      <w:r>
        <w:t>范围、口径与结论</w:t>
      </w:r>
    </w:p>
    <w:p>
      <w:pPr>
        <w:widowControl/>
      </w:pPr>
      <w:r>
        <w:rPr>
          <w:rFonts w:ascii="Calibri" w:hAnsi="Calibri" w:eastAsia="Microsoft YaHei"/>
        </w:rPr>
        <w:t>本分册覆盖四个主类：</w:t>
      </w:r>
    </w:p>
    <w:p>
      <w:pPr>
        <w:numPr>
          <w:ilvl w:val="0"/>
          <w:numId w:val="10"/>
        </w:numPr>
        <w:spacing w:after="80" w:line="300" w:lineRule="auto"/>
      </w:pPr>
      <w:r>
        <w:rPr>
          <w:rFonts w:ascii="Calibri" w:hAnsi="Calibri" w:eastAsia="Microsoft YaHei"/>
        </w:rPr>
        <w:t>DG0 系统工程 / 计量 / 健康：诊断数据从传感器到可审计证据所依赖的数据结构、时间基准、几何、校准、数据访问、实时采集、运行状态与治理。</w:t>
      </w:r>
    </w:p>
    <w:p>
      <w:pPr>
        <w:numPr>
          <w:ilvl w:val="0"/>
          <w:numId w:val="10"/>
        </w:numPr>
        <w:spacing w:after="80" w:line="300" w:lineRule="auto"/>
      </w:pPr>
      <w:r>
        <w:rPr>
          <w:rFonts w:ascii="Calibri" w:hAnsi="Calibri" w:eastAsia="Microsoft YaHei"/>
        </w:rPr>
        <w:t>DG9 合成诊断：以物理状态、机器几何和仪器响应为输入，生成与真实通道同构的合成信号；重点是 forward operator，而不是求一个“更像实验”的漂亮图。</w:t>
      </w:r>
    </w:p>
    <w:p>
      <w:pPr>
        <w:numPr>
          <w:ilvl w:val="0"/>
          <w:numId w:val="10"/>
        </w:numPr>
        <w:spacing w:after="80" w:line="300" w:lineRule="auto"/>
      </w:pPr>
      <w:r>
        <w:rPr>
          <w:rFonts w:ascii="Calibri" w:hAnsi="Calibri" w:eastAsia="Microsoft YaHei"/>
        </w:rPr>
        <w:t>DG10 集成反演 / 层析 / 数据同化：由多个诊断观测和模型共同估计不可直接测量的等离子体状态、校准参数及不确定度。</w:t>
      </w:r>
    </w:p>
    <w:p>
      <w:pPr>
        <w:numPr>
          <w:ilvl w:val="0"/>
          <w:numId w:val="10"/>
        </w:numPr>
        <w:spacing w:after="80" w:line="300" w:lineRule="auto"/>
      </w:pPr>
      <w:r>
        <w:rPr>
          <w:rFonts w:ascii="Calibri" w:hAnsi="Calibri" w:eastAsia="Microsoft YaHei"/>
        </w:rPr>
        <w:t>DG11 实时诊断 / AI / 决策接口：把状态估计、虚拟传感器、异常检测和风险预测送入实时控制或运维流程，同时明确其权限边界。</w:t>
      </w:r>
    </w:p>
    <w:p>
      <w:pPr>
        <w:widowControl/>
      </w:pPr>
      <w:r>
        <w:rPr>
          <w:rFonts w:ascii="Calibri" w:hAnsi="Calibri" w:eastAsia="Microsoft YaHei"/>
        </w:rPr>
        <w:t>数据集收录 35 个唯一工作/工具链：DG0 8 个、DG9 14 个、DG10 10 个、DG11 3 个。它不是“所有发表过的诊断算法”的罗列，而是一组能解释端到端链条、具有一手证据且可区分软件关系的代表性资产。本版将 TRIPPy 与 Diag2Diag 按其主要科学职责归入 DG10；实时/AI 仅作为相关任务，避免把反演或重建方法一概归为 DG11。</w:t>
      </w:r>
    </w:p>
    <w:p>
      <w:pPr>
        <w:widowControl/>
      </w:pPr>
      <w:r>
        <w:rPr>
          <w:rFonts w:ascii="Calibri" w:hAnsi="Calibri" w:eastAsia="Microsoft YaHei"/>
        </w:rPr>
        <w:t>最重要的三点结论是：</w:t>
      </w:r>
    </w:p>
    <w:p>
      <w:pPr>
        <w:numPr>
          <w:ilvl w:val="0"/>
          <w:numId w:val="10"/>
        </w:numPr>
        <w:spacing w:after="80" w:line="300" w:lineRule="auto"/>
      </w:pPr>
      <w:r>
        <w:rPr>
          <w:rFonts w:ascii="Calibri" w:hAnsi="Calibri" w:eastAsia="Microsoft YaHei"/>
        </w:rPr>
        <w:t>**诊断数字孪生的最小闭环不是“传感器 → 数值”，而是“真实状态 → 仪器前向响应 → 原始数据 → 校准与质量控制 → 联合反演 → 状态后验 → 重投影残差”。**</w:t>
      </w:r>
    </w:p>
    <w:p>
      <w:pPr>
        <w:numPr>
          <w:ilvl w:val="0"/>
          <w:numId w:val="10"/>
        </w:numPr>
        <w:spacing w:after="80" w:line="300" w:lineRule="auto"/>
      </w:pPr>
      <w:r>
        <w:rPr>
          <w:rFonts w:ascii="Calibri" w:hAnsi="Calibri" w:eastAsia="Microsoft YaHei"/>
        </w:rPr>
        <w:t>**合成诊断只能是诊断体系中的一个子域。**它解决的是观测算子和可测性问题；不能替代硬件、计量、数据采集、反演、资产健康或安全治理。</w:t>
      </w:r>
    </w:p>
    <w:p>
      <w:pPr>
        <w:numPr>
          <w:ilvl w:val="0"/>
          <w:numId w:val="10"/>
        </w:numPr>
        <w:spacing w:after="80" w:line="300" w:lineRule="auto"/>
      </w:pPr>
      <w:r>
        <w:rPr>
          <w:rFonts w:ascii="Calibri" w:hAnsi="Calibri" w:eastAsia="Microsoft YaHei"/>
        </w:rPr>
        <w:t>**现有 IDA 和实时 AI 距离电厂级数字孪生的主要差距不是算法数量，而是数据契约、模型误差、相关不确定度、运行域监测、降级策略和独立 V&amp;V。**</w:t>
      </w:r>
    </w:p>
    <w:p>
      <w:pPr>
        <w:pStyle w:val="Heading3"/>
      </w:pPr>
      <w:r>
        <w:t>为什么“合成诊断”应是子域，而不是一级总称</w:t>
      </w:r>
    </w:p>
    <w:p>
      <w:pPr>
        <w:widowControl/>
      </w:pPr>
      <w:r>
        <w:rPr>
          <w:rFonts w:ascii="Calibri" w:hAnsi="Calibri" w:eastAsia="Microsoft YaHei"/>
        </w:rPr>
        <w:t>“聚变诊断”在工程上是一条完整测量链：</w:t>
      </w:r>
    </w:p>
    <w:tbl>
      <w:tblPr>
        <w:tblStyle w:val="TableGrid"/>
        <w:tblW w:type="dxa" w:w="9360"/>
        <w:jc w:val="left"/>
        <w:tblLayout w:type="fixed"/>
        <w:tblLook w:firstColumn="1" w:firstRow="1" w:lastColumn="0" w:lastRow="0" w:noHBand="0" w:noVBand="1" w:val="04A0"/>
        <w:tblInd w:w="120" w:type="dxa"/>
      </w:tblPr>
      <w:tblGrid>
        <w:gridCol w:w="9360"/>
      </w:tblGrid>
      <w:tr>
        <w:trPr>
          <w:cantSplit/>
        </w:trPr>
        <w:tc>
          <w:tcPr>
            <w:tcW w:type="dxa" w:w="9360"/>
            <w:tcMar>
              <w:top w:w="80" w:type="dxa"/>
              <w:bottom w:w="80" w:type="dxa"/>
              <w:start w:w="120" w:type="dxa"/>
              <w:end w:w="120" w:type="dxa"/>
            </w:tcMar>
            <w:vAlign w:val="center"/>
            <w:shd w:fill="EEF7F7"/>
          </w:tcPr>
          <w:p>
            <w:pPr>
              <w:keepNext/>
              <w:keepLines/>
              <w:spacing w:after="40"/>
            </w:pPr>
            <w:r>
              <w:rPr>
                <w:rFonts w:ascii="Calibri" w:hAnsi="Calibri" w:eastAsia="Microsoft YaHei"/>
                <w:b/>
                <w:color w:val="008C95"/>
                <w:sz w:val="17"/>
              </w:rPr>
              <w:t>OBSERVATION MODEL</w:t>
            </w:r>
          </w:p>
          <w:p>
            <w:pPr>
              <w:spacing w:after="0"/>
            </w:pPr>
            <w:r>
              <w:rPr>
                <w:rFonts w:ascii="Calibri" w:hAnsi="Calibri" w:eastAsia="Microsoft YaHei"/>
                <w:color w:val="0B2545"/>
                <w:sz w:val="20"/>
              </w:rPr>
              <w:t>物理/工程真实量</w:t>
              <w:br/>
              <w:t>→ 与探针、光子、中子、微波或激光的相互作用</w:t>
              <w:br/>
              <w:t>→ 光学/粒子输运与几何遮挡</w:t>
              <w:br/>
              <w:t>→ 探测器和模拟前端</w:t>
              <w:br/>
              <w:t>→ ADC、时钟、触发、网络与归档</w:t>
              <w:br/>
              <w:t>→ 校准、坏道、漂移和质量标志</w:t>
              <w:br/>
              <w:t>→ 前向模型/反演/数据融合</w:t>
              <w:br/>
              <w:t>→ 状态估计、控制与运维决策</w:t>
            </w:r>
          </w:p>
        </w:tc>
      </w:tr>
    </w:tbl>
    <w:p>
      <w:pPr>
        <w:spacing w:after="40"/>
      </w:pPr>
    </w:p>
    <w:p>
      <w:pPr>
        <w:widowControl/>
      </w:pPr>
      <w:r>
        <w:rPr>
          <w:rFonts w:ascii="Calibri" w:hAnsi="Calibri" w:eastAsia="Microsoft YaHei"/>
        </w:rPr>
        <w:t>合成诊断只覆盖其中的“真实状态到测量数据”方向。典型形式为：</w:t>
      </w:r>
    </w:p>
    <w:p>
      <w:pPr>
        <w:widowControl/>
      </w:pPr>
      <w:r>
        <w:rPr>
          <w:rFonts w:ascii="Calibri" w:hAnsi="Calibri" w:eastAsia="Microsoft YaHei"/>
        </w:rPr>
        <w:t xml:space="preserve">[ y = H(x, g, c, </w:t>
        <w:tab/>
        <w:t>heta_m) + epsilon ]</w:t>
      </w:r>
    </w:p>
    <w:p>
      <w:pPr>
        <w:widowControl/>
      </w:pPr>
      <w:r>
        <w:rPr>
          <w:rFonts w:ascii="Calibri" w:hAnsi="Calibri" w:eastAsia="Microsoft YaHei"/>
        </w:rPr>
        <w:t>其中 (x) 是等离子体或工程状态，(g) 是机器与诊断几何，(c) 是校准参数，(</w:t>
        <w:tab/>
        <w:t>heta_m) 是原子、核、辐射输运等模型参数，(epsilon) 是随机噪声。CHERAB、FIDASIM、SOFT、ECRad、REFMUL、DRESS 等分别实现不同的 (H)。</w:t>
      </w:r>
    </w:p>
    <w:p>
      <w:pPr>
        <w:widowControl/>
      </w:pPr>
      <w:r>
        <w:rPr>
          <w:rFonts w:ascii="Calibri" w:hAnsi="Calibri" w:eastAsia="Microsoft YaHei"/>
        </w:rPr>
        <w:t>如果把整个知识域命名为“合成诊断”，会产生五类概念错误：</w:t>
      </w:r>
    </w:p>
    <w:p>
      <w:pPr>
        <w:numPr>
          <w:ilvl w:val="0"/>
          <w:numId w:val="10"/>
        </w:numPr>
        <w:spacing w:after="80" w:line="300" w:lineRule="auto"/>
      </w:pPr>
      <w:r>
        <w:rPr>
          <w:rFonts w:ascii="Calibri" w:hAnsi="Calibri" w:eastAsia="Microsoft YaHei"/>
        </w:rPr>
        <w:t>**把传感器实体消失掉。**合成相机不会描述镜面污染、辐照损伤、增益老化、接地回路、触发丢失或维护状态。</w:t>
      </w:r>
    </w:p>
    <w:p>
      <w:pPr>
        <w:numPr>
          <w:ilvl w:val="0"/>
          <w:numId w:val="10"/>
        </w:numPr>
        <w:spacing w:after="80" w:line="300" w:lineRule="auto"/>
      </w:pPr>
      <w:r>
        <w:rPr>
          <w:rFonts w:ascii="Calibri" w:hAnsi="Calibri" w:eastAsia="Microsoft YaHei"/>
        </w:rPr>
        <w:t>**把计量和可视化混为一谈。**一幅合成图可能视觉逼真，但没有单位、不确定度、校准有效期与证书链，不能成为实验或电厂证据。</w:t>
      </w:r>
    </w:p>
    <w:p>
      <w:pPr>
        <w:numPr>
          <w:ilvl w:val="0"/>
          <w:numId w:val="10"/>
        </w:numPr>
        <w:spacing w:after="80" w:line="300" w:lineRule="auto"/>
      </w:pPr>
      <w:r>
        <w:rPr>
          <w:rFonts w:ascii="Calibri" w:hAnsi="Calibri" w:eastAsia="Microsoft YaHei"/>
        </w:rPr>
        <w:t>**把前向问题与逆问题混为一谈。**前向算子可唯一计算并不意味着状态可唯一反演；许多诊断仍有零空间和强先验依赖。</w:t>
      </w:r>
    </w:p>
    <w:p>
      <w:pPr>
        <w:numPr>
          <w:ilvl w:val="0"/>
          <w:numId w:val="10"/>
        </w:numPr>
        <w:spacing w:after="80" w:line="300" w:lineRule="auto"/>
      </w:pPr>
      <w:r>
        <w:rPr>
          <w:rFonts w:ascii="Calibri" w:hAnsi="Calibri" w:eastAsia="Microsoft YaHei"/>
        </w:rPr>
        <w:t>**把离线物理分析误当成实时服务。**高保真 FDTD、Monte Carlo 或全轨道模型通常不满足实时 WCET、内存和故障恢复要求。</w:t>
      </w:r>
    </w:p>
    <w:p>
      <w:pPr>
        <w:numPr>
          <w:ilvl w:val="0"/>
          <w:numId w:val="10"/>
        </w:numPr>
        <w:spacing w:after="80" w:line="300" w:lineRule="auto"/>
      </w:pPr>
      <w:r>
        <w:rPr>
          <w:rFonts w:ascii="Calibri" w:hAnsi="Calibri" w:eastAsia="Microsoft YaHei"/>
        </w:rPr>
        <w:t>**把研究验证误当成保护资格。**即使与若干放电吻合，也不等于经过独立 V&amp;V、配置管理、网络安全和失效安全评估。</w:t>
      </w:r>
    </w:p>
    <w:p>
      <w:pPr>
        <w:widowControl/>
      </w:pPr>
      <w:r>
        <w:rPr>
          <w:rFonts w:ascii="Calibri" w:hAnsi="Calibri" w:eastAsia="Microsoft YaHei"/>
        </w:rPr>
        <w:t>因此建议一级知识域使用 “聚变诊断” 或四字标题 “感知诊断”；下设：</w:t>
      </w:r>
    </w:p>
    <w:p>
      <w:pPr>
        <w:numPr>
          <w:ilvl w:val="0"/>
          <w:numId w:val="10"/>
        </w:numPr>
        <w:spacing w:after="80" w:line="300" w:lineRule="auto"/>
      </w:pPr>
      <w:r>
        <w:rPr>
          <w:rFonts w:ascii="Calibri" w:hAnsi="Calibri" w:eastAsia="Microsoft YaHei"/>
        </w:rPr>
        <w:t>诊断系统工程与计量（DG0）</w:t>
      </w:r>
    </w:p>
    <w:p>
      <w:pPr>
        <w:numPr>
          <w:ilvl w:val="0"/>
          <w:numId w:val="10"/>
        </w:numPr>
        <w:spacing w:after="80" w:line="300" w:lineRule="auto"/>
      </w:pPr>
      <w:r>
        <w:rPr>
          <w:rFonts w:ascii="Calibri" w:hAnsi="Calibri" w:eastAsia="Microsoft YaHei"/>
        </w:rPr>
        <w:t>磁平衡、电子态、离子/组分、辐射/杂质、聚变产物/MHD/边界/工程状态（DG1–DG8）</w:t>
      </w:r>
    </w:p>
    <w:p>
      <w:pPr>
        <w:numPr>
          <w:ilvl w:val="0"/>
          <w:numId w:val="10"/>
        </w:numPr>
        <w:spacing w:after="80" w:line="300" w:lineRule="auto"/>
      </w:pPr>
      <w:r>
        <w:rPr>
          <w:rFonts w:ascii="Calibri" w:hAnsi="Calibri" w:eastAsia="Microsoft YaHei"/>
        </w:rPr>
        <w:t>合成诊断（DG9）</w:t>
      </w:r>
    </w:p>
    <w:p>
      <w:pPr>
        <w:numPr>
          <w:ilvl w:val="0"/>
          <w:numId w:val="10"/>
        </w:numPr>
        <w:spacing w:after="80" w:line="300" w:lineRule="auto"/>
      </w:pPr>
      <w:r>
        <w:rPr>
          <w:rFonts w:ascii="Calibri" w:hAnsi="Calibri" w:eastAsia="Microsoft YaHei"/>
        </w:rPr>
        <w:t>集成反演与同化（DG10）</w:t>
      </w:r>
    </w:p>
    <w:p>
      <w:pPr>
        <w:numPr>
          <w:ilvl w:val="0"/>
          <w:numId w:val="10"/>
        </w:numPr>
        <w:spacing w:after="80" w:line="300" w:lineRule="auto"/>
      </w:pPr>
      <w:r>
        <w:rPr>
          <w:rFonts w:ascii="Calibri" w:hAnsi="Calibri" w:eastAsia="Microsoft YaHei"/>
        </w:rPr>
        <w:t>实时诊断、AI 与决策接口（DG11）</w:t>
      </w:r>
    </w:p>
    <w:p>
      <w:pPr>
        <w:widowControl/>
      </w:pPr>
      <w:r>
        <w:rPr>
          <w:rFonts w:ascii="Calibri" w:hAnsi="Calibri" w:eastAsia="Microsoft YaHei"/>
        </w:rPr>
        <w:t>若首页需要替换原“智能诊断”，推荐使用 “感知诊断”。它比“合成诊断”更能覆盖传感、计量、数据融合、状态估计和健康管理，也不会暗示全部诊断都由 AI 完成。</w:t>
      </w:r>
    </w:p>
    <w:p>
      <w:pPr>
        <w:pStyle w:val="Heading3"/>
      </w:pPr>
      <w:r>
        <w:t>四类资产如何拼成端到端链条</w:t>
      </w:r>
    </w:p>
    <w:p>
      <w:pPr>
        <w:pStyle w:val="Heading3"/>
      </w:pPr>
      <w:r>
        <w:t>3.1 DG0：数据与证据底座</w:t>
      </w:r>
    </w:p>
    <w:p>
      <w:pPr>
        <w:widowControl/>
      </w:pPr>
      <w:r>
        <w:rPr>
          <w:rFonts w:ascii="Calibri" w:hAnsi="Calibri" w:eastAsia="Microsoft YaHei"/>
        </w:rPr>
        <w:t>IMAS 提供跨代码数据语义，MDSplus 提供脉冲树和时序证据，UDA 把站点数据源抽象为统一访问层，OMAS 降低 IMAS 原型接入门槛。它们互补，不能相互替代：</w:t>
      </w:r>
    </w:p>
    <w:p>
      <w:pPr>
        <w:numPr>
          <w:ilvl w:val="0"/>
          <w:numId w:val="10"/>
        </w:numPr>
        <w:spacing w:after="80" w:line="300" w:lineRule="auto"/>
      </w:pPr>
      <w:r>
        <w:rPr>
          <w:rFonts w:ascii="Calibri" w:hAnsi="Calibri" w:eastAsia="Microsoft YaHei"/>
        </w:rPr>
        <w:t>IMAS 回答“这个字段在物理上是什么”；</w:t>
      </w:r>
    </w:p>
    <w:p>
      <w:pPr>
        <w:numPr>
          <w:ilvl w:val="0"/>
          <w:numId w:val="10"/>
        </w:numPr>
        <w:spacing w:after="80" w:line="300" w:lineRule="auto"/>
      </w:pPr>
      <w:r>
        <w:rPr>
          <w:rFonts w:ascii="Calibri" w:hAnsi="Calibri" w:eastAsia="Microsoft YaHei"/>
        </w:rPr>
        <w:t>MDSplus 回答“这一炮的原始/处理数据和配置在哪里”；</w:t>
      </w:r>
    </w:p>
    <w:p>
      <w:pPr>
        <w:numPr>
          <w:ilvl w:val="0"/>
          <w:numId w:val="10"/>
        </w:numPr>
        <w:spacing w:after="80" w:line="300" w:lineRule="auto"/>
      </w:pPr>
      <w:r>
        <w:rPr>
          <w:rFonts w:ascii="Calibri" w:hAnsi="Calibri" w:eastAsia="Microsoft YaHei"/>
        </w:rPr>
        <w:t>UDA 回答“如何从异构后端取到它”；</w:t>
      </w:r>
    </w:p>
    <w:p>
      <w:pPr>
        <w:numPr>
          <w:ilvl w:val="0"/>
          <w:numId w:val="10"/>
        </w:numPr>
        <w:spacing w:after="80" w:line="300" w:lineRule="auto"/>
      </w:pPr>
      <w:r>
        <w:rPr>
          <w:rFonts w:ascii="Calibri" w:hAnsi="Calibri" w:eastAsia="Microsoft YaHei"/>
        </w:rPr>
        <w:t>OMAS 回答“如何在普通 Python 环境中按 IMAS 结构处理它”。</w:t>
      </w:r>
    </w:p>
    <w:p>
      <w:pPr>
        <w:widowControl/>
      </w:pPr>
      <w:r>
        <w:rPr>
          <w:rFonts w:ascii="Calibri" w:hAnsi="Calibri" w:eastAsia="Microsoft YaHei"/>
        </w:rPr>
        <w:t>Calcam 代表常被忽略的几何计量：像素到三维射线不是静态常数，它与 CAD 版本、端口机械位置、热变形和维护事件有关。MARTe2–MDSplus 代表实时链与脉冲档案的一体化，避免实时配置和离线回放使用两套事实。ITER Plant I&amp;C/CODAC 与 RNC 校准治理则说明，走向聚变堆后必须把时间权威、运行状态、网络分区、接口控制文件、参考源和交叉校准写进系统工程，而不只是把研究代码容器化。</w:t>
      </w:r>
    </w:p>
    <w:p>
      <w:pPr>
        <w:widowControl/>
      </w:pPr>
      <w:r>
        <w:rPr>
          <w:rFonts w:ascii="Calibri" w:hAnsi="Calibri" w:eastAsia="Microsoft YaHei"/>
        </w:rPr>
        <w:t>FAIR4Fusion 的价值在责任与治理：谁产生数据、能否开放、何时失效、如何引用、修改后是否可追溯。它是 enabling，不是可直接承担装置运行的数据平台。</w:t>
      </w:r>
    </w:p>
    <w:p>
      <w:pPr>
        <w:pStyle w:val="Heading3"/>
      </w:pPr>
      <w:r>
        <w:t>3.2 DG9：高保真观测算子</w:t>
      </w:r>
    </w:p>
    <w:p>
      <w:pPr>
        <w:widowControl/>
      </w:pPr>
      <w:r>
        <w:rPr>
          <w:rFonts w:ascii="Calibri" w:hAnsi="Calibri" w:eastAsia="Microsoft YaHei"/>
        </w:rPr>
        <w:t>可以把合成诊断按观测物理分成五簇：</w:t>
      </w:r>
    </w:p>
    <w:p>
      <w:pPr>
        <w:numPr>
          <w:ilvl w:val="0"/>
          <w:numId w:val="10"/>
        </w:numPr>
        <w:spacing w:after="80" w:line="300" w:lineRule="auto"/>
      </w:pPr>
      <w:r>
        <w:rPr>
          <w:rFonts w:ascii="Calibri" w:hAnsi="Calibri" w:eastAsia="Microsoft YaHei"/>
        </w:rPr>
        <w:t>**光学/光谱与几何**：CHERAB–Raysect、CHERAB-TS、ToFu、TRIPPy、XICSRT。</w:t>
      </w:r>
    </w:p>
    <w:p>
      <w:pPr>
        <w:numPr>
          <w:ilvl w:val="0"/>
          <w:numId w:val="10"/>
        </w:numPr>
        <w:spacing w:after="80" w:line="300" w:lineRule="auto"/>
      </w:pPr>
      <w:r>
        <w:rPr>
          <w:rFonts w:ascii="Calibri" w:hAnsi="Calibri" w:eastAsia="Microsoft YaHei"/>
        </w:rPr>
        <w:t>**微波**：ECRad、REFMUL。</w:t>
      </w:r>
    </w:p>
    <w:p>
      <w:pPr>
        <w:numPr>
          <w:ilvl w:val="0"/>
          <w:numId w:val="10"/>
        </w:numPr>
        <w:spacing w:after="80" w:line="300" w:lineRule="auto"/>
      </w:pPr>
      <w:r>
        <w:rPr>
          <w:rFonts w:ascii="Calibri" w:hAnsi="Calibri" w:eastAsia="Microsoft YaHei"/>
        </w:rPr>
        <w:t>**快离子/聚变产物**：FIDASIM、ASCOT5 诊断响应、DRESS/pydress、ScintSuite/FILDSIM。</w:t>
      </w:r>
    </w:p>
    <w:p>
      <w:pPr>
        <w:numPr>
          <w:ilvl w:val="0"/>
          <w:numId w:val="10"/>
        </w:numPr>
        <w:spacing w:after="80" w:line="300" w:lineRule="auto"/>
      </w:pPr>
      <w:r>
        <w:rPr>
          <w:rFonts w:ascii="Calibri" w:hAnsi="Calibri" w:eastAsia="Microsoft YaHei"/>
        </w:rPr>
        <w:t>**逃逸电子**：SOFT。</w:t>
      </w:r>
    </w:p>
    <w:p>
      <w:pPr>
        <w:numPr>
          <w:ilvl w:val="0"/>
          <w:numId w:val="10"/>
        </w:numPr>
        <w:spacing w:after="80" w:line="300" w:lineRule="auto"/>
      </w:pPr>
      <w:r>
        <w:rPr>
          <w:rFonts w:ascii="Calibri" w:hAnsi="Calibri" w:eastAsia="Microsoft YaHei"/>
        </w:rPr>
        <w:t>**束发射与湍流观测**：RENATE、XGC1 synthetic BES。</w:t>
      </w:r>
    </w:p>
    <w:p>
      <w:pPr>
        <w:widowControl/>
      </w:pPr>
      <w:r>
        <w:rPr>
          <w:rFonts w:ascii="Calibri" w:hAnsi="Calibri" w:eastAsia="Microsoft YaHei"/>
        </w:rPr>
        <w:t>它们的共同工程接口应至少包含：</w:t>
      </w:r>
    </w:p>
    <w:p>
      <w:pPr>
        <w:numPr>
          <w:ilvl w:val="0"/>
          <w:numId w:val="10"/>
        </w:numPr>
        <w:spacing w:after="80" w:line="300" w:lineRule="auto"/>
      </w:pPr>
      <w:r>
        <w:rPr>
          <w:rFonts w:ascii="Calibri" w:hAnsi="Calibri" w:eastAsia="Microsoft YaHei"/>
        </w:rPr>
        <w:t>输入状态及其坐标和单位；</w:t>
      </w:r>
    </w:p>
    <w:p>
      <w:pPr>
        <w:numPr>
          <w:ilvl w:val="0"/>
          <w:numId w:val="10"/>
        </w:numPr>
        <w:spacing w:after="80" w:line="300" w:lineRule="auto"/>
      </w:pPr>
      <w:r>
        <w:rPr>
          <w:rFonts w:ascii="Calibri" w:hAnsi="Calibri" w:eastAsia="Microsoft YaHei"/>
        </w:rPr>
        <w:t>机器/诊断几何版本；</w:t>
      </w:r>
    </w:p>
    <w:p>
      <w:pPr>
        <w:numPr>
          <w:ilvl w:val="0"/>
          <w:numId w:val="10"/>
        </w:numPr>
        <w:spacing w:after="80" w:line="300" w:lineRule="auto"/>
      </w:pPr>
      <w:r>
        <w:rPr>
          <w:rFonts w:ascii="Calibri" w:hAnsi="Calibri" w:eastAsia="Microsoft YaHei"/>
        </w:rPr>
        <w:t>仪器响应和校准版本；</w:t>
      </w:r>
    </w:p>
    <w:p>
      <w:pPr>
        <w:numPr>
          <w:ilvl w:val="0"/>
          <w:numId w:val="10"/>
        </w:numPr>
        <w:spacing w:after="80" w:line="300" w:lineRule="auto"/>
      </w:pPr>
      <w:r>
        <w:rPr>
          <w:rFonts w:ascii="Calibri" w:hAnsi="Calibri" w:eastAsia="Microsoft YaHei"/>
        </w:rPr>
        <w:t>噪声与数据质量模型；</w:t>
      </w:r>
    </w:p>
    <w:p>
      <w:pPr>
        <w:numPr>
          <w:ilvl w:val="0"/>
          <w:numId w:val="10"/>
        </w:numPr>
        <w:spacing w:after="80" w:line="300" w:lineRule="auto"/>
      </w:pPr>
      <w:r>
        <w:rPr>
          <w:rFonts w:ascii="Calibri" w:hAnsi="Calibri" w:eastAsia="Microsoft YaHei"/>
        </w:rPr>
        <w:t>输出通道定义、时间窗和空间/频率响应；</w:t>
      </w:r>
    </w:p>
    <w:p>
      <w:pPr>
        <w:numPr>
          <w:ilvl w:val="0"/>
          <w:numId w:val="10"/>
        </w:numPr>
        <w:spacing w:after="80" w:line="300" w:lineRule="auto"/>
      </w:pPr>
      <w:r>
        <w:rPr>
          <w:rFonts w:ascii="Calibri" w:hAnsi="Calibri" w:eastAsia="Microsoft YaHei"/>
        </w:rPr>
        <w:t>数值误差、模型适用域和代码版本；</w:t>
      </w:r>
    </w:p>
    <w:p>
      <w:pPr>
        <w:numPr>
          <w:ilvl w:val="0"/>
          <w:numId w:val="10"/>
        </w:numPr>
        <w:spacing w:after="80" w:line="300" w:lineRule="auto"/>
      </w:pPr>
      <w:r>
        <w:rPr>
          <w:rFonts w:ascii="Calibri" w:hAnsi="Calibri" w:eastAsia="Microsoft YaHei"/>
        </w:rPr>
        <w:t>可执行的解析、单元、积分和装置回放测试。</w:t>
      </w:r>
    </w:p>
    <w:p>
      <w:pPr>
        <w:widowControl/>
      </w:pPr>
      <w:r>
        <w:rPr>
          <w:rFonts w:ascii="Calibri" w:hAnsi="Calibri" w:eastAsia="Microsoft YaHei"/>
        </w:rPr>
        <w:t>不能把 ASCOT5、XGC1、DREAM 这类物理求解器直接标成“诊断代码”。当它们只生成快离子分布或湍流场时，其代码关系是 enabling；只有把物理场变成真实 FILD、BES、相机或光谱通道的实现才是 official-direct。本数据集据此区分。</w:t>
      </w:r>
    </w:p>
    <w:p>
      <w:pPr>
        <w:pStyle w:val="Heading3"/>
      </w:pPr>
      <w:r>
        <w:t>3.3 DG10：从信号到状态分布</w:t>
      </w:r>
    </w:p>
    <w:p>
      <w:pPr>
        <w:widowControl/>
      </w:pPr>
      <w:r>
        <w:rPr>
          <w:rFonts w:ascii="Calibri" w:hAnsi="Calibri" w:eastAsia="Microsoft YaHei"/>
        </w:rPr>
        <w:t>Minerva、AUG IDA、JET 微波联合反演、BEAST 展示了概率化集成分析的成熟路线；Tomotok 是较轻量的二维层析基线；快离子速度空间层析和 BITE/Aurora 展示了“跨诊断 + 物理模型 + 不确定度”的复杂反问题；InDiCA 则试图把数据容器、单位、坐标、血缘和 operator 工程化。</w:t>
      </w:r>
    </w:p>
    <w:p>
      <w:pPr>
        <w:widowControl/>
      </w:pPr>
      <w:r>
        <w:rPr>
          <w:rFonts w:ascii="Calibri" w:hAnsi="Calibri" w:eastAsia="Microsoft YaHei"/>
        </w:rPr>
        <w:t>数字孪生不应只保存 MAP 或最小二乘结果，而应至少保存：</w:t>
      </w:r>
    </w:p>
    <w:p>
      <w:pPr>
        <w:numPr>
          <w:ilvl w:val="0"/>
          <w:numId w:val="10"/>
        </w:numPr>
        <w:spacing w:after="80" w:line="300" w:lineRule="auto"/>
      </w:pPr>
      <w:r>
        <w:rPr>
          <w:rFonts w:ascii="Calibri" w:hAnsi="Calibri" w:eastAsia="Microsoft YaHei"/>
        </w:rPr>
        <w:t>后验样本、低秩协方差或可查询的不确定度近似；</w:t>
      </w:r>
    </w:p>
    <w:p>
      <w:pPr>
        <w:numPr>
          <w:ilvl w:val="0"/>
          <w:numId w:val="10"/>
        </w:numPr>
        <w:spacing w:after="80" w:line="300" w:lineRule="auto"/>
      </w:pPr>
      <w:r>
        <w:rPr>
          <w:rFonts w:ascii="Calibri" w:hAnsi="Calibri" w:eastAsia="Microsoft YaHei"/>
        </w:rPr>
        <w:t>使用了哪些原始通道、哪些被剔除及原因；</w:t>
      </w:r>
    </w:p>
    <w:p>
      <w:pPr>
        <w:numPr>
          <w:ilvl w:val="0"/>
          <w:numId w:val="10"/>
        </w:numPr>
        <w:spacing w:after="80" w:line="300" w:lineRule="auto"/>
      </w:pPr>
      <w:r>
        <w:rPr>
          <w:rFonts w:ascii="Calibri" w:hAnsi="Calibri" w:eastAsia="Microsoft YaHei"/>
        </w:rPr>
        <w:t>先验、正则化和模型版本；</w:t>
      </w:r>
    </w:p>
    <w:p>
      <w:pPr>
        <w:numPr>
          <w:ilvl w:val="0"/>
          <w:numId w:val="10"/>
        </w:numPr>
        <w:spacing w:after="80" w:line="300" w:lineRule="auto"/>
      </w:pPr>
      <w:r>
        <w:rPr>
          <w:rFonts w:ascii="Calibri" w:hAnsi="Calibri" w:eastAsia="Microsoft YaHei"/>
        </w:rPr>
        <w:t>前向重投影及逐通道残差；</w:t>
      </w:r>
    </w:p>
    <w:p>
      <w:pPr>
        <w:numPr>
          <w:ilvl w:val="0"/>
          <w:numId w:val="10"/>
        </w:numPr>
        <w:spacing w:after="80" w:line="300" w:lineRule="auto"/>
      </w:pPr>
      <w:r>
        <w:rPr>
          <w:rFonts w:ascii="Calibri" w:hAnsi="Calibri" w:eastAsia="Microsoft YaHei"/>
        </w:rPr>
        <w:t>可辨识性/零空间说明；</w:t>
      </w:r>
    </w:p>
    <w:p>
      <w:pPr>
        <w:numPr>
          <w:ilvl w:val="0"/>
          <w:numId w:val="10"/>
        </w:numPr>
        <w:spacing w:after="80" w:line="300" w:lineRule="auto"/>
      </w:pPr>
      <w:r>
        <w:rPr>
          <w:rFonts w:ascii="Calibri" w:hAnsi="Calibri" w:eastAsia="Microsoft YaHei"/>
        </w:rPr>
        <w:t>模型证据或比较结果；</w:t>
      </w:r>
    </w:p>
    <w:p>
      <w:pPr>
        <w:numPr>
          <w:ilvl w:val="0"/>
          <w:numId w:val="10"/>
        </w:numPr>
        <w:spacing w:after="80" w:line="300" w:lineRule="auto"/>
      </w:pPr>
      <w:r>
        <w:rPr>
          <w:rFonts w:ascii="Calibri" w:hAnsi="Calibri" w:eastAsia="Microsoft YaHei"/>
        </w:rPr>
        <w:t>处理延迟和结果有效时间。</w:t>
      </w:r>
    </w:p>
    <w:p>
      <w:pPr>
        <w:widowControl/>
      </w:pPr>
      <w:r>
        <w:rPr>
          <w:rFonts w:ascii="Calibri" w:hAnsi="Calibri" w:eastAsia="Microsoft YaHei"/>
        </w:rPr>
        <w:t>“所有诊断都同意”不能作为唯一正确性指标，因为多个诊断可能共享同一错误平衡、原子数据库、时间轴或几何。共享偏差会制造虚假的一致性。</w:t>
      </w:r>
    </w:p>
    <w:p>
      <w:pPr>
        <w:pStyle w:val="Heading3"/>
      </w:pPr>
      <w:r>
        <w:t>3.4 DG11：实时链、虚拟传感器和 AI 权限</w:t>
      </w:r>
    </w:p>
    <w:p>
      <w:pPr>
        <w:widowControl/>
      </w:pPr>
      <w:r>
        <w:rPr>
          <w:rFonts w:ascii="Calibri" w:hAnsi="Calibri" w:eastAsia="Microsoft YaHei"/>
        </w:rPr>
        <w:t>RAPTOR 是物理约束实时状态估计器，FRNN 是跨装置破裂风险模型，DisruptionPy 是数据与特征流水线，Diag2Diag 是多模态虚拟传感器，ITER Tokamak Systems Monitor（TSM）异常检测是工程系统资产健康侧车服务。五者在架构上角色不同：</w:t>
      </w:r>
    </w:p>
    <w:p>
      <w:pPr>
        <w:numPr>
          <w:ilvl w:val="0"/>
          <w:numId w:val="10"/>
        </w:numPr>
        <w:spacing w:after="80" w:line="300" w:lineRule="auto"/>
      </w:pPr>
      <w:r>
        <w:rPr>
          <w:rFonts w:ascii="Calibri" w:hAnsi="Calibri" w:eastAsia="Microsoft YaHei"/>
        </w:rPr>
        <w:t>状态观测器：允许进入控制输入候选，但必须有残差门控和降级模式；</w:t>
      </w:r>
    </w:p>
    <w:p>
      <w:pPr>
        <w:numPr>
          <w:ilvl w:val="0"/>
          <w:numId w:val="10"/>
        </w:numPr>
        <w:spacing w:after="80" w:line="300" w:lineRule="auto"/>
      </w:pPr>
      <w:r>
        <w:rPr>
          <w:rFonts w:ascii="Calibri" w:hAnsi="Calibri" w:eastAsia="Microsoft YaHei"/>
        </w:rPr>
        <w:t>风险预测器：输出概率/评分，必须重新校准并绑定运行域；</w:t>
      </w:r>
    </w:p>
    <w:p>
      <w:pPr>
        <w:numPr>
          <w:ilvl w:val="0"/>
          <w:numId w:val="10"/>
        </w:numPr>
        <w:spacing w:after="80" w:line="300" w:lineRule="auto"/>
      </w:pPr>
      <w:r>
        <w:rPr>
          <w:rFonts w:ascii="Calibri" w:hAnsi="Calibri" w:eastAsia="Microsoft YaHei"/>
        </w:rPr>
        <w:t>数据流水线：不应被描述为预测器；</w:t>
      </w:r>
    </w:p>
    <w:p>
      <w:pPr>
        <w:numPr>
          <w:ilvl w:val="0"/>
          <w:numId w:val="10"/>
        </w:numPr>
        <w:spacing w:after="80" w:line="300" w:lineRule="auto"/>
      </w:pPr>
      <w:r>
        <w:rPr>
          <w:rFonts w:ascii="Calibri" w:hAnsi="Calibri" w:eastAsia="Microsoft YaHei"/>
        </w:rPr>
        <w:t>虚拟传感器：只能输出“估计值 + 来源 + 置信/质量位”，不能覆盖原始测量；</w:t>
      </w:r>
    </w:p>
    <w:p>
      <w:pPr>
        <w:numPr>
          <w:ilvl w:val="0"/>
          <w:numId w:val="10"/>
        </w:numPr>
        <w:spacing w:after="80" w:line="300" w:lineRule="auto"/>
      </w:pPr>
      <w:r>
        <w:rPr>
          <w:rFonts w:ascii="Calibri" w:hAnsi="Calibri" w:eastAsia="Microsoft YaHei"/>
        </w:rPr>
        <w:t>健康监视器：可触发检查或维护，不能默认获得机器保护权限。</w:t>
      </w:r>
    </w:p>
    <w:p>
      <w:pPr>
        <w:widowControl/>
      </w:pPr>
      <w:r>
        <w:rPr>
          <w:rFonts w:ascii="Calibri" w:hAnsi="Calibri" w:eastAsia="Microsoft YaHei"/>
        </w:rPr>
        <w:t>任何 AI 输出进入控制或保护前，都需要明确的 authority gate：</w:t>
      </w:r>
    </w:p>
    <w:tbl>
      <w:tblPr>
        <w:tblStyle w:val="TableGrid"/>
        <w:tblW w:type="dxa" w:w="9360"/>
        <w:jc w:val="left"/>
        <w:tblLayout w:type="fixed"/>
        <w:tblLook w:firstColumn="1" w:firstRow="1" w:lastColumn="0" w:lastRow="0" w:noHBand="0" w:noVBand="1" w:val="04A0"/>
        <w:tblInd w:w="120" w:type="dxa"/>
      </w:tblPr>
      <w:tblGrid>
        <w:gridCol w:w="9360"/>
      </w:tblGrid>
      <w:tr>
        <w:trPr>
          <w:cantSplit/>
        </w:trPr>
        <w:tc>
          <w:tcPr>
            <w:tcW w:type="dxa" w:w="9360"/>
            <w:tcMar>
              <w:top w:w="80" w:type="dxa"/>
              <w:bottom w:w="80" w:type="dxa"/>
              <w:start w:w="120" w:type="dxa"/>
              <w:end w:w="120" w:type="dxa"/>
            </w:tcMar>
            <w:vAlign w:val="center"/>
            <w:shd w:fill="EEF7F7"/>
          </w:tcPr>
          <w:p>
            <w:pPr>
              <w:keepNext/>
              <w:keepLines/>
              <w:spacing w:after="40"/>
            </w:pPr>
            <w:r>
              <w:rPr>
                <w:rFonts w:ascii="Calibri" w:hAnsi="Calibri" w:eastAsia="Microsoft YaHei"/>
                <w:b/>
                <w:color w:val="008C95"/>
                <w:sz w:val="17"/>
              </w:rPr>
              <w:t>OBSERVATION MODEL</w:t>
            </w:r>
          </w:p>
          <w:p>
            <w:pPr>
              <w:spacing w:after="0"/>
            </w:pPr>
            <w:r>
              <w:rPr>
                <w:rFonts w:ascii="Calibri" w:hAnsi="Calibri" w:eastAsia="Microsoft YaHei"/>
                <w:color w:val="0B2545"/>
                <w:sz w:val="20"/>
              </w:rPr>
              <w:t>模型输出</w:t>
              <w:br/>
              <w:t>→ 数据质量与 OOD 检查</w:t>
              <w:br/>
              <w:t>→ 物理/工程约束</w:t>
              <w:br/>
              <w:t>→ 时效性与延迟检查</w:t>
              <w:br/>
              <w:t>→ 独立规则或保护系统仲裁</w:t>
              <w:br/>
              <w:t>→ 建议 / 监督控制 / 闭环控制（分级授权）</w:t>
            </w:r>
          </w:p>
        </w:tc>
      </w:tr>
    </w:tbl>
    <w:p>
      <w:pPr>
        <w:spacing w:after="40"/>
      </w:pPr>
    </w:p>
    <w:p>
      <w:pPr>
        <w:pStyle w:val="Heading3"/>
      </w:pPr>
      <w:r>
        <w:t>数字孪生诊断数据契约</w:t>
      </w:r>
    </w:p>
    <w:p>
      <w:pPr>
        <w:widowControl/>
      </w:pPr>
      <w:r>
        <w:rPr>
          <w:rFonts w:ascii="Calibri" w:hAnsi="Calibri" w:eastAsia="Microsoft YaHei"/>
        </w:rPr>
        <w:t>建议用下列 12 组对象作为最小契约。它们可映射到 IMAS IDS、MDSplus 节点、对象存储和事件总线，但语义必须独立于具体后端。</w:t>
      </w:r>
    </w:p>
    <w:p>
      <w:pPr>
        <w:pStyle w:val="Heading3"/>
      </w:pPr>
      <w:r>
        <w:t>4.1 Identity：对象身份</w:t>
      </w:r>
    </w:p>
    <w:p>
      <w:pPr>
        <w:numPr>
          <w:ilvl w:val="0"/>
          <w:numId w:val="10"/>
        </w:numPr>
        <w:spacing w:after="80" w:line="300" w:lineRule="auto"/>
      </w:pPr>
      <w:r>
        <w:rPr>
          <w:rFonts w:ascii="Calibri" w:hAnsi="Calibri" w:eastAsia="Microsoft YaHei"/>
        </w:rPr>
        <w:t>facility、device、shot/run、scenario、phase；</w:t>
      </w:r>
    </w:p>
    <w:p>
      <w:pPr>
        <w:numPr>
          <w:ilvl w:val="0"/>
          <w:numId w:val="10"/>
        </w:numPr>
        <w:spacing w:after="80" w:line="300" w:lineRule="auto"/>
      </w:pPr>
      <w:r>
        <w:rPr>
          <w:rFonts w:ascii="Calibri" w:hAnsi="Calibri" w:eastAsia="Microsoft YaHei"/>
        </w:rPr>
        <w:t>diagnostic、subsystem、channel、hardware serial；</w:t>
      </w:r>
    </w:p>
    <w:p>
      <w:pPr>
        <w:numPr>
          <w:ilvl w:val="0"/>
          <w:numId w:val="10"/>
        </w:numPr>
        <w:spacing w:after="80" w:line="300" w:lineRule="auto"/>
      </w:pPr>
      <w:r>
        <w:rPr>
          <w:rFonts w:ascii="Calibri" w:hAnsi="Calibri" w:eastAsia="Microsoft YaHei"/>
        </w:rPr>
        <w:t>producer、owner、access classification；</w:t>
      </w:r>
    </w:p>
    <w:p>
      <w:pPr>
        <w:numPr>
          <w:ilvl w:val="0"/>
          <w:numId w:val="10"/>
        </w:numPr>
        <w:spacing w:after="80" w:line="300" w:lineRule="auto"/>
      </w:pPr>
      <w:r>
        <w:rPr>
          <w:rFonts w:ascii="Calibri" w:hAnsi="Calibri" w:eastAsia="Microsoft YaHei"/>
        </w:rPr>
        <w:t>stable UUID 与人类可读名称。</w:t>
      </w:r>
    </w:p>
    <w:p>
      <w:pPr>
        <w:pStyle w:val="Heading3"/>
      </w:pPr>
      <w:r>
        <w:t>4.2 Time：时间权威</w:t>
      </w:r>
    </w:p>
    <w:p>
      <w:pPr>
        <w:numPr>
          <w:ilvl w:val="0"/>
          <w:numId w:val="10"/>
        </w:numPr>
        <w:spacing w:after="80" w:line="300" w:lineRule="auto"/>
      </w:pPr>
      <w:r>
        <w:rPr>
          <w:rFonts w:ascii="Calibri" w:hAnsi="Calibri" w:eastAsia="Microsoft YaHei"/>
        </w:rPr>
        <w:t>原始时钟域、UTC/PTP/TCN 或装置时间；</w:t>
      </w:r>
    </w:p>
    <w:p>
      <w:pPr>
        <w:numPr>
          <w:ilvl w:val="0"/>
          <w:numId w:val="10"/>
        </w:numPr>
        <w:spacing w:after="80" w:line="300" w:lineRule="auto"/>
      </w:pPr>
      <w:r>
        <w:rPr>
          <w:rFonts w:ascii="Calibri" w:hAnsi="Calibri" w:eastAsia="Microsoft YaHei"/>
        </w:rPr>
        <w:t>采样时间、触发时间、窗口中心与曝光时间；</w:t>
      </w:r>
    </w:p>
    <w:p>
      <w:pPr>
        <w:numPr>
          <w:ilvl w:val="0"/>
          <w:numId w:val="10"/>
        </w:numPr>
        <w:spacing w:after="80" w:line="300" w:lineRule="auto"/>
      </w:pPr>
      <w:r>
        <w:rPr>
          <w:rFonts w:ascii="Calibri" w:hAnsi="Calibri" w:eastAsia="Microsoft YaHei"/>
        </w:rPr>
        <w:t>时钟偏移、漂移、重采样算法及误差；</w:t>
      </w:r>
    </w:p>
    <w:p>
      <w:pPr>
        <w:numPr>
          <w:ilvl w:val="0"/>
          <w:numId w:val="10"/>
        </w:numPr>
        <w:spacing w:after="80" w:line="300" w:lineRule="auto"/>
      </w:pPr>
      <w:r>
        <w:rPr>
          <w:rFonts w:ascii="Calibri" w:hAnsi="Calibri" w:eastAsia="Microsoft YaHei"/>
        </w:rPr>
        <w:t>数据到达时间、处理完成时间和“有效到”时间；</w:t>
      </w:r>
    </w:p>
    <w:p>
      <w:pPr>
        <w:numPr>
          <w:ilvl w:val="0"/>
          <w:numId w:val="10"/>
        </w:numPr>
        <w:spacing w:after="80" w:line="300" w:lineRule="auto"/>
      </w:pPr>
      <w:r>
        <w:rPr>
          <w:rFonts w:ascii="Calibri" w:hAnsi="Calibri" w:eastAsia="Microsoft YaHei"/>
        </w:rPr>
        <w:t>放电事件及事件版本。</w:t>
      </w:r>
    </w:p>
    <w:p>
      <w:pPr>
        <w:widowControl/>
      </w:pPr>
      <w:r>
        <w:rPr>
          <w:rFonts w:ascii="Calibri" w:hAnsi="Calibri" w:eastAsia="Microsoft YaHei"/>
        </w:rPr>
        <w:t>只存一个浮点时间数组不够，因为跨系统微秒误差会在 MHD、BES、控制和快速保护中改变因果关系。</w:t>
      </w:r>
    </w:p>
    <w:p>
      <w:pPr>
        <w:pStyle w:val="Heading3"/>
      </w:pPr>
      <w:r>
        <w:t>4.3 Geometry and Coordinates：几何与坐标</w:t>
      </w:r>
    </w:p>
    <w:p>
      <w:pPr>
        <w:numPr>
          <w:ilvl w:val="0"/>
          <w:numId w:val="10"/>
        </w:numPr>
        <w:spacing w:after="80" w:line="300" w:lineRule="auto"/>
      </w:pPr>
      <w:r>
        <w:rPr>
          <w:rFonts w:ascii="Calibri" w:hAnsi="Calibri" w:eastAsia="Microsoft YaHei"/>
        </w:rPr>
        <w:t>CAD/mesh/coil/equilibrium 版本；</w:t>
      </w:r>
    </w:p>
    <w:p>
      <w:pPr>
        <w:numPr>
          <w:ilvl w:val="0"/>
          <w:numId w:val="10"/>
        </w:numPr>
        <w:spacing w:after="80" w:line="300" w:lineRule="auto"/>
      </w:pPr>
      <w:r>
        <w:rPr>
          <w:rFonts w:ascii="Calibri" w:hAnsi="Calibri" w:eastAsia="Microsoft YaHei"/>
        </w:rPr>
        <w:t>传感器位姿、内外参、视线、孔径和遮挡；</w:t>
      </w:r>
    </w:p>
    <w:p>
      <w:pPr>
        <w:numPr>
          <w:ilvl w:val="0"/>
          <w:numId w:val="10"/>
        </w:numPr>
        <w:spacing w:after="80" w:line="300" w:lineRule="auto"/>
      </w:pPr>
      <w:r>
        <w:rPr>
          <w:rFonts w:ascii="Calibri" w:hAnsi="Calibri" w:eastAsia="Microsoft YaHei"/>
        </w:rPr>
        <w:t>坐标系、手性、基准、单位、变换链；</w:t>
      </w:r>
    </w:p>
    <w:p>
      <w:pPr>
        <w:numPr>
          <w:ilvl w:val="0"/>
          <w:numId w:val="10"/>
        </w:numPr>
        <w:spacing w:after="80" w:line="300" w:lineRule="auto"/>
      </w:pPr>
      <w:r>
        <w:rPr>
          <w:rFonts w:ascii="Calibri" w:hAnsi="Calibri" w:eastAsia="Microsoft YaHei"/>
        </w:rPr>
        <w:t>磁通坐标映射所用平衡及其时间；</w:t>
      </w:r>
    </w:p>
    <w:p>
      <w:pPr>
        <w:numPr>
          <w:ilvl w:val="0"/>
          <w:numId w:val="10"/>
        </w:numPr>
        <w:spacing w:after="80" w:line="300" w:lineRule="auto"/>
      </w:pPr>
      <w:r>
        <w:rPr>
          <w:rFonts w:ascii="Calibri" w:hAnsi="Calibri" w:eastAsia="Microsoft YaHei"/>
        </w:rPr>
        <w:t>几何参数的协方差和有效期。</w:t>
      </w:r>
    </w:p>
    <w:p>
      <w:pPr>
        <w:pStyle w:val="Heading3"/>
      </w:pPr>
      <w:r>
        <w:t>4.4 Measurement：测量值</w:t>
      </w:r>
    </w:p>
    <w:p>
      <w:pPr>
        <w:numPr>
          <w:ilvl w:val="0"/>
          <w:numId w:val="10"/>
        </w:numPr>
        <w:spacing w:after="80" w:line="300" w:lineRule="auto"/>
      </w:pPr>
      <w:r>
        <w:rPr>
          <w:rFonts w:ascii="Calibri" w:hAnsi="Calibri" w:eastAsia="Microsoft YaHei"/>
        </w:rPr>
        <w:t>raw ADC / photon count / frame / spectrum；</w:t>
      </w:r>
    </w:p>
    <w:p>
      <w:pPr>
        <w:numPr>
          <w:ilvl w:val="0"/>
          <w:numId w:val="10"/>
        </w:numPr>
        <w:spacing w:after="80" w:line="300" w:lineRule="auto"/>
      </w:pPr>
      <w:r>
        <w:rPr>
          <w:rFonts w:ascii="Calibri" w:hAnsi="Calibri" w:eastAsia="Microsoft YaHei"/>
        </w:rPr>
        <w:t>calibration-ready intermediate；</w:t>
      </w:r>
    </w:p>
    <w:p>
      <w:pPr>
        <w:numPr>
          <w:ilvl w:val="0"/>
          <w:numId w:val="10"/>
        </w:numPr>
        <w:spacing w:after="80" w:line="300" w:lineRule="auto"/>
      </w:pPr>
      <w:r>
        <w:rPr>
          <w:rFonts w:ascii="Calibri" w:hAnsi="Calibri" w:eastAsia="Microsoft YaHei"/>
        </w:rPr>
        <w:t>calibrated engineering/physics quantity；</w:t>
      </w:r>
    </w:p>
    <w:p>
      <w:pPr>
        <w:numPr>
          <w:ilvl w:val="0"/>
          <w:numId w:val="10"/>
        </w:numPr>
        <w:spacing w:after="80" w:line="300" w:lineRule="auto"/>
      </w:pPr>
      <w:r>
        <w:rPr>
          <w:rFonts w:ascii="Calibri" w:hAnsi="Calibri" w:eastAsia="Microsoft YaHei"/>
        </w:rPr>
        <w:t>unit、dimension、sampling、dynamic range、saturation；</w:t>
      </w:r>
    </w:p>
    <w:p>
      <w:pPr>
        <w:numPr>
          <w:ilvl w:val="0"/>
          <w:numId w:val="10"/>
        </w:numPr>
        <w:spacing w:after="80" w:line="300" w:lineRule="auto"/>
      </w:pPr>
      <w:r>
        <w:rPr>
          <w:rFonts w:ascii="Calibri" w:hAnsi="Calibri" w:eastAsia="Microsoft YaHei"/>
        </w:rPr>
        <w:t>compression 与量化信息。</w:t>
      </w:r>
    </w:p>
    <w:p>
      <w:pPr>
        <w:widowControl/>
      </w:pPr>
      <w:r>
        <w:rPr>
          <w:rFonts w:ascii="Calibri" w:hAnsi="Calibri" w:eastAsia="Microsoft YaHei"/>
        </w:rPr>
        <w:t>原始数据必须可追溯；不能只保存最终 Te、ne 或 emissivity。</w:t>
      </w:r>
    </w:p>
    <w:p>
      <w:pPr>
        <w:pStyle w:val="Heading3"/>
      </w:pPr>
      <w:r>
        <w:t>4.5 Calibration：校准</w:t>
      </w:r>
    </w:p>
    <w:p>
      <w:pPr>
        <w:numPr>
          <w:ilvl w:val="0"/>
          <w:numId w:val="10"/>
        </w:numPr>
        <w:spacing w:after="80" w:line="300" w:lineRule="auto"/>
      </w:pPr>
      <w:r>
        <w:rPr>
          <w:rFonts w:ascii="Calibri" w:hAnsi="Calibri" w:eastAsia="Microsoft YaHei"/>
        </w:rPr>
        <w:t>calibration ID、方法、参考标准和证书；</w:t>
      </w:r>
    </w:p>
    <w:p>
      <w:pPr>
        <w:numPr>
          <w:ilvl w:val="0"/>
          <w:numId w:val="10"/>
        </w:numPr>
        <w:spacing w:after="80" w:line="300" w:lineRule="auto"/>
      </w:pPr>
      <w:r>
        <w:rPr>
          <w:rFonts w:ascii="Calibri" w:hAnsi="Calibri" w:eastAsia="Microsoft YaHei"/>
        </w:rPr>
        <w:t>参与硬件、环境条件、有效期；</w:t>
      </w:r>
    </w:p>
    <w:p>
      <w:pPr>
        <w:numPr>
          <w:ilvl w:val="0"/>
          <w:numId w:val="10"/>
        </w:numPr>
        <w:spacing w:after="80" w:line="300" w:lineRule="auto"/>
      </w:pPr>
      <w:r>
        <w:rPr>
          <w:rFonts w:ascii="Calibri" w:hAnsi="Calibri" w:eastAsia="Microsoft YaHei"/>
        </w:rPr>
        <w:t>校准系数、矩阵、插值方法及协方差；</w:t>
      </w:r>
    </w:p>
    <w:p>
      <w:pPr>
        <w:numPr>
          <w:ilvl w:val="0"/>
          <w:numId w:val="10"/>
        </w:numPr>
        <w:spacing w:after="80" w:line="300" w:lineRule="auto"/>
      </w:pPr>
      <w:r>
        <w:rPr>
          <w:rFonts w:ascii="Calibri" w:hAnsi="Calibri" w:eastAsia="Microsoft YaHei"/>
        </w:rPr>
        <w:t>before/after maintenance 关系；</w:t>
      </w:r>
    </w:p>
    <w:p>
      <w:pPr>
        <w:numPr>
          <w:ilvl w:val="0"/>
          <w:numId w:val="10"/>
        </w:numPr>
        <w:spacing w:after="80" w:line="300" w:lineRule="auto"/>
      </w:pPr>
      <w:r>
        <w:rPr>
          <w:rFonts w:ascii="Calibri" w:hAnsi="Calibri" w:eastAsia="Microsoft YaHei"/>
        </w:rPr>
        <w:t>in-situ、cross-calibration 或模型辅助校准的类别；</w:t>
      </w:r>
    </w:p>
    <w:p>
      <w:pPr>
        <w:numPr>
          <w:ilvl w:val="0"/>
          <w:numId w:val="10"/>
        </w:numPr>
        <w:spacing w:after="80" w:line="300" w:lineRule="auto"/>
      </w:pPr>
      <w:r>
        <w:rPr>
          <w:rFonts w:ascii="Calibri" w:hAnsi="Calibri" w:eastAsia="Microsoft YaHei"/>
        </w:rPr>
        <w:t>审批人和变更原因。</w:t>
      </w:r>
    </w:p>
    <w:p>
      <w:pPr>
        <w:pStyle w:val="Heading3"/>
      </w:pPr>
      <w:r>
        <w:t>4.6 Quality and Health：质量与健康</w:t>
      </w:r>
    </w:p>
    <w:p>
      <w:pPr>
        <w:widowControl/>
      </w:pPr>
      <w:r>
        <w:rPr>
          <w:rFonts w:ascii="Calibri" w:hAnsi="Calibri" w:eastAsia="Microsoft YaHei"/>
        </w:rPr>
        <w:t>质量位应细分而不是单个 good/bad：</w:t>
      </w:r>
    </w:p>
    <w:p>
      <w:pPr>
        <w:numPr>
          <w:ilvl w:val="0"/>
          <w:numId w:val="10"/>
        </w:numPr>
        <w:spacing w:after="80" w:line="300" w:lineRule="auto"/>
      </w:pPr>
      <w:r>
        <w:rPr>
          <w:rFonts w:ascii="Calibri" w:hAnsi="Calibri" w:eastAsia="Microsoft YaHei"/>
        </w:rPr>
        <w:t>missing、late、saturated、clipped、dropout、clock-unsynced；</w:t>
      </w:r>
    </w:p>
    <w:p>
      <w:pPr>
        <w:numPr>
          <w:ilvl w:val="0"/>
          <w:numId w:val="10"/>
        </w:numPr>
        <w:spacing w:after="80" w:line="300" w:lineRule="auto"/>
      </w:pPr>
      <w:r>
        <w:rPr>
          <w:rFonts w:ascii="Calibri" w:hAnsi="Calibri" w:eastAsia="Microsoft YaHei"/>
        </w:rPr>
        <w:t>out-of-calibration、geometry-stale、background-invalid；</w:t>
      </w:r>
    </w:p>
    <w:p>
      <w:pPr>
        <w:numPr>
          <w:ilvl w:val="0"/>
          <w:numId w:val="10"/>
        </w:numPr>
        <w:spacing w:after="80" w:line="300" w:lineRule="auto"/>
      </w:pPr>
      <w:r>
        <w:rPr>
          <w:rFonts w:ascii="Calibri" w:hAnsi="Calibri" w:eastAsia="Microsoft YaHei"/>
        </w:rPr>
        <w:t>detector-hot/dead、optics-contaminated、actuator-state-unknown；</w:t>
      </w:r>
    </w:p>
    <w:p>
      <w:pPr>
        <w:numPr>
          <w:ilvl w:val="0"/>
          <w:numId w:val="10"/>
        </w:numPr>
        <w:spacing w:after="80" w:line="300" w:lineRule="auto"/>
      </w:pPr>
      <w:r>
        <w:rPr>
          <w:rFonts w:ascii="Calibri" w:hAnsi="Calibri" w:eastAsia="Microsoft YaHei"/>
        </w:rPr>
        <w:t>model-OOD、posterior-nonconverged、constraint-violated；</w:t>
      </w:r>
    </w:p>
    <w:p>
      <w:pPr>
        <w:numPr>
          <w:ilvl w:val="0"/>
          <w:numId w:val="10"/>
        </w:numPr>
        <w:spacing w:after="80" w:line="300" w:lineRule="auto"/>
      </w:pPr>
      <w:r>
        <w:rPr>
          <w:rFonts w:ascii="Calibri" w:hAnsi="Calibri" w:eastAsia="Microsoft YaHei"/>
        </w:rPr>
        <w:t>manual override 和原因。</w:t>
      </w:r>
    </w:p>
    <w:p>
      <w:pPr>
        <w:pStyle w:val="Heading3"/>
      </w:pPr>
      <w:r>
        <w:t>4.7 Uncertainty：不确定度</w:t>
      </w:r>
    </w:p>
    <w:p>
      <w:pPr>
        <w:numPr>
          <w:ilvl w:val="0"/>
          <w:numId w:val="10"/>
        </w:numPr>
        <w:spacing w:after="80" w:line="300" w:lineRule="auto"/>
      </w:pPr>
      <w:r>
        <w:rPr>
          <w:rFonts w:ascii="Calibri" w:hAnsi="Calibri" w:eastAsia="Microsoft YaHei"/>
        </w:rPr>
        <w:t>随机噪声、系统偏差、校准、几何、时间、模型和数值分量；</w:t>
      </w:r>
    </w:p>
    <w:p>
      <w:pPr>
        <w:numPr>
          <w:ilvl w:val="0"/>
          <w:numId w:val="10"/>
        </w:numPr>
        <w:spacing w:after="80" w:line="300" w:lineRule="auto"/>
      </w:pPr>
      <w:r>
        <w:rPr>
          <w:rFonts w:ascii="Calibri" w:hAnsi="Calibri" w:eastAsia="Microsoft YaHei"/>
        </w:rPr>
        <w:t>channel-to-channel、diagnostic-to-diagnostic 和 time-correlated 结构；</w:t>
      </w:r>
    </w:p>
    <w:p>
      <w:pPr>
        <w:numPr>
          <w:ilvl w:val="0"/>
          <w:numId w:val="10"/>
        </w:numPr>
        <w:spacing w:after="80" w:line="300" w:lineRule="auto"/>
      </w:pPr>
      <w:r>
        <w:rPr>
          <w:rFonts w:ascii="Calibri" w:hAnsi="Calibri" w:eastAsia="Microsoft YaHei"/>
        </w:rPr>
        <w:t>covariance、samples、ensemble 或 low-rank 表示；</w:t>
      </w:r>
    </w:p>
    <w:p>
      <w:pPr>
        <w:numPr>
          <w:ilvl w:val="0"/>
          <w:numId w:val="10"/>
        </w:numPr>
        <w:spacing w:after="80" w:line="300" w:lineRule="auto"/>
      </w:pPr>
      <w:r>
        <w:rPr>
          <w:rFonts w:ascii="Calibri" w:hAnsi="Calibri" w:eastAsia="Microsoft YaHei"/>
        </w:rPr>
        <w:t>coverage/置信水平和分布假设；</w:t>
      </w:r>
    </w:p>
    <w:p>
      <w:pPr>
        <w:numPr>
          <w:ilvl w:val="0"/>
          <w:numId w:val="10"/>
        </w:numPr>
        <w:spacing w:after="80" w:line="300" w:lineRule="auto"/>
      </w:pPr>
      <w:r>
        <w:rPr>
          <w:rFonts w:ascii="Calibri" w:hAnsi="Calibri" w:eastAsia="Microsoft YaHei"/>
        </w:rPr>
        <w:t>uncertainty budget 的来源与版本。</w:t>
      </w:r>
    </w:p>
    <w:p>
      <w:pPr>
        <w:widowControl/>
      </w:pPr>
      <w:r>
        <w:rPr>
          <w:rFonts w:ascii="Calibri" w:hAnsi="Calibri" w:eastAsia="Microsoft YaHei"/>
        </w:rPr>
        <w:t>只给每点独立 error bar 会破坏 IDA，尤其是共享绝对校准和共同平衡误差。</w:t>
      </w:r>
    </w:p>
    <w:p>
      <w:pPr>
        <w:pStyle w:val="Heading3"/>
      </w:pPr>
      <w:r>
        <w:t>4.8 Model and Observation Operator：模型与观测算子</w:t>
      </w:r>
    </w:p>
    <w:p>
      <w:pPr>
        <w:numPr>
          <w:ilvl w:val="0"/>
          <w:numId w:val="10"/>
        </w:numPr>
        <w:spacing w:after="80" w:line="300" w:lineRule="auto"/>
      </w:pPr>
      <w:r>
        <w:rPr>
          <w:rFonts w:ascii="Calibri" w:hAnsi="Calibri" w:eastAsia="Microsoft YaHei"/>
        </w:rPr>
        <w:t>code repository、commit、release、container digest；</w:t>
      </w:r>
    </w:p>
    <w:p>
      <w:pPr>
        <w:numPr>
          <w:ilvl w:val="0"/>
          <w:numId w:val="10"/>
        </w:numPr>
        <w:spacing w:after="80" w:line="300" w:lineRule="auto"/>
      </w:pPr>
      <w:r>
        <w:rPr>
          <w:rFonts w:ascii="Calibri" w:hAnsi="Calibri" w:eastAsia="Microsoft YaHei"/>
        </w:rPr>
        <w:t>build flags、compiler、hardware、random seed；</w:t>
      </w:r>
    </w:p>
    <w:p>
      <w:pPr>
        <w:numPr>
          <w:ilvl w:val="0"/>
          <w:numId w:val="10"/>
        </w:numPr>
        <w:spacing w:after="80" w:line="300" w:lineRule="auto"/>
      </w:pPr>
      <w:r>
        <w:rPr>
          <w:rFonts w:ascii="Calibri" w:hAnsi="Calibri" w:eastAsia="Microsoft YaHei"/>
        </w:rPr>
        <w:t>model class、parameters、atomic/nuclear database version；</w:t>
      </w:r>
    </w:p>
    <w:p>
      <w:pPr>
        <w:numPr>
          <w:ilvl w:val="0"/>
          <w:numId w:val="10"/>
        </w:numPr>
        <w:spacing w:after="80" w:line="300" w:lineRule="auto"/>
      </w:pPr>
      <w:r>
        <w:rPr>
          <w:rFonts w:ascii="Calibri" w:hAnsi="Calibri" w:eastAsia="Microsoft YaHei"/>
        </w:rPr>
        <w:t>validity domain、approximations、known limitations；</w:t>
      </w:r>
    </w:p>
    <w:p>
      <w:pPr>
        <w:numPr>
          <w:ilvl w:val="0"/>
          <w:numId w:val="10"/>
        </w:numPr>
        <w:spacing w:after="80" w:line="300" w:lineRule="auto"/>
      </w:pPr>
      <w:r>
        <w:rPr>
          <w:rFonts w:ascii="Calibri" w:hAnsi="Calibri" w:eastAsia="Microsoft YaHei"/>
        </w:rPr>
        <w:t>input/output schema 与 differentiability；</w:t>
      </w:r>
    </w:p>
    <w:p>
      <w:pPr>
        <w:numPr>
          <w:ilvl w:val="0"/>
          <w:numId w:val="10"/>
        </w:numPr>
        <w:spacing w:after="80" w:line="300" w:lineRule="auto"/>
      </w:pPr>
      <w:r>
        <w:rPr>
          <w:rFonts w:ascii="Calibri" w:hAnsi="Calibri" w:eastAsia="Microsoft YaHei"/>
        </w:rPr>
        <w:t>verification test suite 与 benchmark ID。</w:t>
      </w:r>
    </w:p>
    <w:p>
      <w:pPr>
        <w:pStyle w:val="Heading3"/>
      </w:pPr>
      <w:r>
        <w:t>4.9 Inference Product：反演产品</w:t>
      </w:r>
    </w:p>
    <w:p>
      <w:pPr>
        <w:numPr>
          <w:ilvl w:val="0"/>
          <w:numId w:val="10"/>
        </w:numPr>
        <w:spacing w:after="80" w:line="300" w:lineRule="auto"/>
      </w:pPr>
      <w:r>
        <w:rPr>
          <w:rFonts w:ascii="Calibri" w:hAnsi="Calibri" w:eastAsia="Microsoft YaHei"/>
        </w:rPr>
        <w:t>algorithm、prior、likelihood、regularisation；</w:t>
      </w:r>
    </w:p>
    <w:p>
      <w:pPr>
        <w:numPr>
          <w:ilvl w:val="0"/>
          <w:numId w:val="10"/>
        </w:numPr>
        <w:spacing w:after="80" w:line="300" w:lineRule="auto"/>
      </w:pPr>
      <w:r>
        <w:rPr>
          <w:rFonts w:ascii="Calibri" w:hAnsi="Calibri" w:eastAsia="Microsoft YaHei"/>
        </w:rPr>
        <w:t>initialisation、convergence、effective sample size；</w:t>
      </w:r>
    </w:p>
    <w:p>
      <w:pPr>
        <w:numPr>
          <w:ilvl w:val="0"/>
          <w:numId w:val="10"/>
        </w:numPr>
        <w:spacing w:after="80" w:line="300" w:lineRule="auto"/>
      </w:pPr>
      <w:r>
        <w:rPr>
          <w:rFonts w:ascii="Calibri" w:hAnsi="Calibri" w:eastAsia="Microsoft YaHei"/>
        </w:rPr>
        <w:t>posterior representation；</w:t>
      </w:r>
    </w:p>
    <w:p>
      <w:pPr>
        <w:numPr>
          <w:ilvl w:val="0"/>
          <w:numId w:val="10"/>
        </w:numPr>
        <w:spacing w:after="80" w:line="300" w:lineRule="auto"/>
      </w:pPr>
      <w:r>
        <w:rPr>
          <w:rFonts w:ascii="Calibri" w:hAnsi="Calibri" w:eastAsia="Microsoft YaHei"/>
        </w:rPr>
        <w:t>identifiability/null-space；</w:t>
      </w:r>
    </w:p>
    <w:p>
      <w:pPr>
        <w:numPr>
          <w:ilvl w:val="0"/>
          <w:numId w:val="10"/>
        </w:numPr>
        <w:spacing w:after="80" w:line="300" w:lineRule="auto"/>
      </w:pPr>
      <w:r>
        <w:rPr>
          <w:rFonts w:ascii="Calibri" w:hAnsi="Calibri" w:eastAsia="Microsoft YaHei"/>
        </w:rPr>
        <w:t>posterior predictive / reprojection residual；</w:t>
      </w:r>
    </w:p>
    <w:p>
      <w:pPr>
        <w:numPr>
          <w:ilvl w:val="0"/>
          <w:numId w:val="10"/>
        </w:numPr>
        <w:spacing w:after="80" w:line="300" w:lineRule="auto"/>
      </w:pPr>
      <w:r>
        <w:rPr>
          <w:rFonts w:ascii="Calibri" w:hAnsi="Calibri" w:eastAsia="Microsoft YaHei"/>
        </w:rPr>
        <w:t>excluded channels and reason；</w:t>
      </w:r>
    </w:p>
    <w:p>
      <w:pPr>
        <w:numPr>
          <w:ilvl w:val="0"/>
          <w:numId w:val="10"/>
        </w:numPr>
        <w:spacing w:after="80" w:line="300" w:lineRule="auto"/>
      </w:pPr>
      <w:r>
        <w:rPr>
          <w:rFonts w:ascii="Calibri" w:hAnsi="Calibri" w:eastAsia="Microsoft YaHei"/>
        </w:rPr>
        <w:t>validity time and latency。</w:t>
      </w:r>
    </w:p>
    <w:p>
      <w:pPr>
        <w:pStyle w:val="Heading3"/>
      </w:pPr>
      <w:r>
        <w:t>4.10 Provenance：血缘</w:t>
      </w:r>
    </w:p>
    <w:p>
      <w:pPr>
        <w:widowControl/>
      </w:pPr>
      <w:r>
        <w:rPr>
          <w:rFonts w:ascii="Calibri" w:hAnsi="Calibri" w:eastAsia="Microsoft YaHei"/>
        </w:rPr>
        <w:t>采用不可变有向图记录：</w:t>
      </w:r>
    </w:p>
    <w:tbl>
      <w:tblPr>
        <w:tblStyle w:val="TableGrid"/>
        <w:tblW w:type="dxa" w:w="9360"/>
        <w:jc w:val="left"/>
        <w:tblLayout w:type="fixed"/>
        <w:tblLook w:firstColumn="1" w:firstRow="1" w:lastColumn="0" w:lastRow="0" w:noHBand="0" w:noVBand="1" w:val="04A0"/>
        <w:tblInd w:w="120" w:type="dxa"/>
      </w:tblPr>
      <w:tblGrid>
        <w:gridCol w:w="9360"/>
      </w:tblGrid>
      <w:tr>
        <w:trPr>
          <w:cantSplit/>
        </w:trPr>
        <w:tc>
          <w:tcPr>
            <w:tcW w:type="dxa" w:w="9360"/>
            <w:tcMar>
              <w:top w:w="80" w:type="dxa"/>
              <w:bottom w:w="80" w:type="dxa"/>
              <w:start w:w="120" w:type="dxa"/>
              <w:end w:w="120" w:type="dxa"/>
            </w:tcMar>
            <w:vAlign w:val="center"/>
            <w:shd w:fill="EEF7F7"/>
          </w:tcPr>
          <w:p>
            <w:pPr>
              <w:keepNext/>
              <w:keepLines/>
              <w:spacing w:after="40"/>
            </w:pPr>
            <w:r>
              <w:rPr>
                <w:rFonts w:ascii="Calibri" w:hAnsi="Calibri" w:eastAsia="Microsoft YaHei"/>
                <w:b/>
                <w:color w:val="008C95"/>
                <w:sz w:val="17"/>
              </w:rPr>
              <w:t>OBSERVATION MODEL</w:t>
            </w:r>
          </w:p>
          <w:p>
            <w:pPr>
              <w:spacing w:after="0"/>
            </w:pPr>
            <w:r>
              <w:rPr>
                <w:rFonts w:ascii="Calibri" w:hAnsi="Calibri" w:eastAsia="Microsoft YaHei"/>
                <w:color w:val="0B2545"/>
                <w:sz w:val="20"/>
              </w:rPr>
              <w:t>raw → calibration → preprocessing → forward model</w:t>
              <w:br/>
              <w:t>→ inference → derived quantity → decision recommendation</w:t>
            </w:r>
          </w:p>
        </w:tc>
      </w:tr>
    </w:tbl>
    <w:p>
      <w:pPr>
        <w:spacing w:after="40"/>
      </w:pPr>
    </w:p>
    <w:p>
      <w:pPr>
        <w:widowControl/>
      </w:pPr>
      <w:r>
        <w:rPr>
          <w:rFonts w:ascii="Calibri" w:hAnsi="Calibri" w:eastAsia="Microsoft YaHei"/>
        </w:rPr>
        <w:t>每条边含代码/配置/人工操作和时间。手工 Excel 或 notebook 修正也必须成为显式活动。</w:t>
      </w:r>
    </w:p>
    <w:p>
      <w:pPr>
        <w:pStyle w:val="Heading3"/>
      </w:pPr>
      <w:r>
        <w:t>4.11 Operations and Authority：运行与权限</w:t>
      </w:r>
    </w:p>
    <w:p>
      <w:pPr>
        <w:numPr>
          <w:ilvl w:val="0"/>
          <w:numId w:val="10"/>
        </w:numPr>
        <w:spacing w:after="80" w:line="300" w:lineRule="auto"/>
      </w:pPr>
      <w:r>
        <w:rPr>
          <w:rFonts w:ascii="Calibri" w:hAnsi="Calibri" w:eastAsia="Microsoft YaHei"/>
        </w:rPr>
        <w:t>diagnostic plant state、CODAC/PCS state；</w:t>
      </w:r>
    </w:p>
    <w:p>
      <w:pPr>
        <w:numPr>
          <w:ilvl w:val="0"/>
          <w:numId w:val="10"/>
        </w:numPr>
        <w:spacing w:after="80" w:line="300" w:lineRule="auto"/>
      </w:pPr>
      <w:r>
        <w:rPr>
          <w:rFonts w:ascii="Calibri" w:hAnsi="Calibri" w:eastAsia="Microsoft YaHei"/>
        </w:rPr>
        <w:t>service heartbeat、latency、resource use；</w:t>
      </w:r>
    </w:p>
    <w:p>
      <w:pPr>
        <w:numPr>
          <w:ilvl w:val="0"/>
          <w:numId w:val="10"/>
        </w:numPr>
        <w:spacing w:after="80" w:line="300" w:lineRule="auto"/>
      </w:pPr>
      <w:r>
        <w:rPr>
          <w:rFonts w:ascii="Calibri" w:hAnsi="Calibri" w:eastAsia="Microsoft YaHei"/>
        </w:rPr>
        <w:t>output authority：display / analysis / advisory / supervisory / closed-loop / protection；</w:t>
      </w:r>
    </w:p>
    <w:p>
      <w:pPr>
        <w:numPr>
          <w:ilvl w:val="0"/>
          <w:numId w:val="10"/>
        </w:numPr>
        <w:spacing w:after="80" w:line="300" w:lineRule="auto"/>
      </w:pPr>
      <w:r>
        <w:rPr>
          <w:rFonts w:ascii="Calibri" w:hAnsi="Calibri" w:eastAsia="Microsoft YaHei"/>
        </w:rPr>
        <w:t>fallback、last-good value、timeout 和 inhibit；</w:t>
      </w:r>
    </w:p>
    <w:p>
      <w:pPr>
        <w:numPr>
          <w:ilvl w:val="0"/>
          <w:numId w:val="10"/>
        </w:numPr>
        <w:spacing w:after="80" w:line="300" w:lineRule="auto"/>
      </w:pPr>
      <w:r>
        <w:rPr>
          <w:rFonts w:ascii="Calibri" w:hAnsi="Calibri" w:eastAsia="Microsoft YaHei"/>
        </w:rPr>
        <w:t>cybersecurity identity、signature and audit log。</w:t>
      </w:r>
    </w:p>
    <w:p>
      <w:pPr>
        <w:pStyle w:val="Heading3"/>
      </w:pPr>
      <w:r>
        <w:t>4.12 V&amp;V Evidence：验证证据</w:t>
      </w:r>
    </w:p>
    <w:p>
      <w:pPr>
        <w:numPr>
          <w:ilvl w:val="0"/>
          <w:numId w:val="10"/>
        </w:numPr>
        <w:spacing w:after="80" w:line="300" w:lineRule="auto"/>
      </w:pPr>
      <w:r>
        <w:rPr>
          <w:rFonts w:ascii="Calibri" w:hAnsi="Calibri" w:eastAsia="Microsoft YaHei"/>
        </w:rPr>
        <w:t>requirement ID、test case、dataset、expected result；</w:t>
      </w:r>
    </w:p>
    <w:p>
      <w:pPr>
        <w:numPr>
          <w:ilvl w:val="0"/>
          <w:numId w:val="10"/>
        </w:numPr>
        <w:spacing w:after="80" w:line="300" w:lineRule="auto"/>
      </w:pPr>
      <w:r>
        <w:rPr>
          <w:rFonts w:ascii="Calibri" w:hAnsi="Calibri" w:eastAsia="Microsoft YaHei"/>
        </w:rPr>
        <w:t>analytical verification、code-to-code benchmark、synthetic closure；</w:t>
      </w:r>
    </w:p>
    <w:p>
      <w:pPr>
        <w:numPr>
          <w:ilvl w:val="0"/>
          <w:numId w:val="10"/>
        </w:numPr>
        <w:spacing w:after="80" w:line="300" w:lineRule="auto"/>
      </w:pPr>
      <w:r>
        <w:rPr>
          <w:rFonts w:ascii="Calibri" w:hAnsi="Calibri" w:eastAsia="Microsoft YaHei"/>
        </w:rPr>
        <w:t>calibration/bench test、device replay、prospective shot；</w:t>
      </w:r>
    </w:p>
    <w:p>
      <w:pPr>
        <w:numPr>
          <w:ilvl w:val="0"/>
          <w:numId w:val="10"/>
        </w:numPr>
        <w:spacing w:after="80" w:line="300" w:lineRule="auto"/>
      </w:pPr>
      <w:r>
        <w:rPr>
          <w:rFonts w:ascii="Calibri" w:hAnsi="Calibri" w:eastAsia="Microsoft YaHei"/>
        </w:rPr>
        <w:t>acceptance thresholds、reviewer、date and result；</w:t>
      </w:r>
    </w:p>
    <w:p>
      <w:pPr>
        <w:numPr>
          <w:ilvl w:val="0"/>
          <w:numId w:val="10"/>
        </w:numPr>
        <w:spacing w:after="80" w:line="300" w:lineRule="auto"/>
      </w:pPr>
      <w:r>
        <w:rPr>
          <w:rFonts w:ascii="Calibri" w:hAnsi="Calibri" w:eastAsia="Microsoft YaHei"/>
        </w:rPr>
        <w:t>open anomaly/waiver and expiry。</w:t>
      </w:r>
    </w:p>
    <w:p>
      <w:pPr>
        <w:pStyle w:val="Heading3"/>
      </w:pPr>
      <w:r>
        <w:t>VVUQ 成熟度阶梯</w:t>
      </w:r>
    </w:p>
    <w:p>
      <w:pPr>
        <w:widowControl/>
      </w:pPr>
      <w:r>
        <w:rPr>
          <w:rFonts w:ascii="Calibri" w:hAnsi="Calibri" w:eastAsia="Microsoft YaHei"/>
        </w:rPr>
        <w:t>建议把每一个“诊断—前向模型—反演—实时服务”按九级证据逐步推进，而不是用单一“已验证”标签。</w:t>
      </w:r>
    </w:p>
    <w:p>
      <w:pPr>
        <w:numPr>
          <w:ilvl w:val="0"/>
          <w:numId w:val="10"/>
        </w:numPr>
        <w:spacing w:after="80" w:line="300" w:lineRule="auto"/>
      </w:pPr>
      <w:r>
        <w:rPr>
          <w:rFonts w:ascii="Calibri" w:hAnsi="Calibri" w:eastAsia="Microsoft YaHei"/>
        </w:rPr>
        <w:t>**物理与单位检查**：守恒、量纲、极限行为、坐标手性。</w:t>
      </w:r>
    </w:p>
    <w:p>
      <w:pPr>
        <w:numPr>
          <w:ilvl w:val="0"/>
          <w:numId w:val="10"/>
        </w:numPr>
        <w:spacing w:after="80" w:line="300" w:lineRule="auto"/>
      </w:pPr>
      <w:r>
        <w:rPr>
          <w:rFonts w:ascii="Calibri" w:hAnsi="Calibri" w:eastAsia="Microsoft YaHei"/>
        </w:rPr>
        <w:t>**解析基准**：简单几何、均匀介质、已知谱线或运动学。</w:t>
      </w:r>
    </w:p>
    <w:p>
      <w:pPr>
        <w:numPr>
          <w:ilvl w:val="0"/>
          <w:numId w:val="10"/>
        </w:numPr>
        <w:spacing w:after="80" w:line="300" w:lineRule="auto"/>
      </w:pPr>
      <w:r>
        <w:rPr>
          <w:rFonts w:ascii="Calibri" w:hAnsi="Calibri" w:eastAsia="Microsoft YaHei"/>
        </w:rPr>
        <w:t>**数值核验**：网格/光子数/步长收敛，随机种子，CPU/GPU 一致性。</w:t>
      </w:r>
    </w:p>
    <w:p>
      <w:pPr>
        <w:numPr>
          <w:ilvl w:val="0"/>
          <w:numId w:val="10"/>
        </w:numPr>
        <w:spacing w:after="80" w:line="300" w:lineRule="auto"/>
      </w:pPr>
      <w:r>
        <w:rPr>
          <w:rFonts w:ascii="Calibri" w:hAnsi="Calibri" w:eastAsia="Microsoft YaHei"/>
        </w:rPr>
        <w:t>**代码间基准**：与独立实现比较；必须避免共用同一错误模块。</w:t>
      </w:r>
    </w:p>
    <w:p>
      <w:pPr>
        <w:numPr>
          <w:ilvl w:val="0"/>
          <w:numId w:val="10"/>
        </w:numPr>
        <w:spacing w:after="80" w:line="300" w:lineRule="auto"/>
      </w:pPr>
      <w:r>
        <w:rPr>
          <w:rFonts w:ascii="Calibri" w:hAnsi="Calibri" w:eastAsia="Microsoft YaHei"/>
        </w:rPr>
        <w:t>**合成闭合**：已知真值 → 合成数据 → 同一反演；报告偏差和覆盖率。</w:t>
      </w:r>
    </w:p>
    <w:p>
      <w:pPr>
        <w:numPr>
          <w:ilvl w:val="0"/>
          <w:numId w:val="10"/>
        </w:numPr>
        <w:spacing w:after="80" w:line="300" w:lineRule="auto"/>
      </w:pPr>
      <w:r>
        <w:rPr>
          <w:rFonts w:ascii="Calibri" w:hAnsi="Calibri" w:eastAsia="Microsoft YaHei"/>
        </w:rPr>
        <w:t>**组件台架与校准**：光源、中子源、靶、电子学注入和硬件在环。</w:t>
      </w:r>
    </w:p>
    <w:p>
      <w:pPr>
        <w:numPr>
          <w:ilvl w:val="0"/>
          <w:numId w:val="10"/>
        </w:numPr>
        <w:spacing w:after="80" w:line="300" w:lineRule="auto"/>
      </w:pPr>
      <w:r>
        <w:rPr>
          <w:rFonts w:ascii="Calibri" w:hAnsi="Calibri" w:eastAsia="Microsoft YaHei"/>
        </w:rPr>
        <w:t>**历史放电回放**：跨工况、跨维护周期、跨硬件版本；冻结测试集。</w:t>
      </w:r>
    </w:p>
    <w:p>
      <w:pPr>
        <w:numPr>
          <w:ilvl w:val="0"/>
          <w:numId w:val="10"/>
        </w:numPr>
        <w:spacing w:after="80" w:line="300" w:lineRule="auto"/>
      </w:pPr>
      <w:r>
        <w:rPr>
          <w:rFonts w:ascii="Calibri" w:hAnsi="Calibri" w:eastAsia="Microsoft YaHei"/>
        </w:rPr>
        <w:t>**前瞻影子运行**：在分析前冻结模型，实时运行但不控制，记录延迟/OOD/故障。</w:t>
      </w:r>
    </w:p>
    <w:p>
      <w:pPr>
        <w:numPr>
          <w:ilvl w:val="0"/>
          <w:numId w:val="10"/>
        </w:numPr>
        <w:spacing w:after="80" w:line="300" w:lineRule="auto"/>
      </w:pPr>
      <w:r>
        <w:rPr>
          <w:rFonts w:ascii="Calibri" w:hAnsi="Calibri" w:eastAsia="Microsoft YaHei"/>
        </w:rPr>
        <w:t>**受控运行与治理批准**：权限分级、故障注入、回退、独立审查；只有满足装置规则的系统才可进入闭环或保护。</w:t>
      </w:r>
    </w:p>
    <w:p>
      <w:pPr>
        <w:widowControl/>
      </w:pPr>
      <w:r>
        <w:rPr>
          <w:rFonts w:ascii="Calibri" w:hAnsi="Calibri" w:eastAsia="Microsoft YaHei"/>
        </w:rPr>
        <w:t>现有 35 项中，大量工作停在 4–7 级。ITER TSM 工程系统健康监测仍主要在预运行原型与案例验证阶段；FRNN 虽有跨装置离线证据和实时接口研究，也没有等同于机器保护资格；RAPTOR 已进入实时环境，但其状态仍受模型失配约束。</w:t>
      </w:r>
    </w:p>
    <w:p>
      <w:pPr>
        <w:pStyle w:val="Heading3"/>
      </w:pPr>
      <w:r>
        <w:t>当前关键 VVUQ 缺口</w:t>
      </w:r>
    </w:p>
    <w:p>
      <w:pPr>
        <w:pStyle w:val="Heading3"/>
      </w:pPr>
      <w:r>
        <w:t>6.1 模型差异被当成测量噪声</w:t>
      </w:r>
    </w:p>
    <w:p>
      <w:pPr>
        <w:widowControl/>
      </w:pPr>
      <w:r>
        <w:rPr>
          <w:rFonts w:ascii="Calibri" w:hAnsi="Calibri" w:eastAsia="Microsoft YaHei"/>
        </w:rPr>
        <w:t>许多贝叶斯反演假设残差 y-H(x) 服从零均值、协方差为 Σ 的高斯分布。真实误差往往包含有结构的模型差异：原子率系数偏差、墙反射、光学污染、几何漂移、未建模非轴对称性。这些偏差不会随着样本数量增加而消失。需要显式 discrepancy model、层次模型和跨工况校准。</w:t>
      </w:r>
    </w:p>
    <w:p>
      <w:pPr>
        <w:pStyle w:val="Heading3"/>
      </w:pPr>
      <w:r>
        <w:t>6.2 相关误差被丢弃</w:t>
      </w:r>
    </w:p>
    <w:p>
      <w:pPr>
        <w:widowControl/>
      </w:pPr>
      <w:r>
        <w:rPr>
          <w:rFonts w:ascii="Calibri" w:hAnsi="Calibri" w:eastAsia="Microsoft YaHei"/>
        </w:rPr>
        <w:t>多通道共用同一绝对校准、同一磁平衡、同一激光能量或同一前置放大器。若当成独立误差，联合反演会产生虚假高精度。数据契约必须允许块协方差、低秩相关项或后验样本。</w:t>
      </w:r>
    </w:p>
    <w:p>
      <w:pPr>
        <w:pStyle w:val="Heading3"/>
      </w:pPr>
      <w:r>
        <w:t>6.3 几何没有随装置演化</w:t>
      </w:r>
    </w:p>
    <w:p>
      <w:pPr>
        <w:widowControl/>
      </w:pPr>
      <w:r>
        <w:rPr>
          <w:rFonts w:ascii="Calibri" w:hAnsi="Calibri" w:eastAsia="Microsoft YaHei"/>
        </w:rPr>
        <w:t>诊断几何常从初始 CAD 手工导出后长期不变。维护、热循环、位移、镜面更换和遮挡改变观测算子。Calcam 类资产必须与 PLM/CAD、测量日期和设备序列号联动，并把几何不确定度传到状态后验。</w:t>
      </w:r>
    </w:p>
    <w:p>
      <w:pPr>
        <w:pStyle w:val="Heading3"/>
      </w:pPr>
      <w:r>
        <w:t>6.4 “验证数据”与训练数据泄漏</w:t>
      </w:r>
    </w:p>
    <w:p>
      <w:pPr>
        <w:widowControl/>
      </w:pPr>
      <w:r>
        <w:rPr>
          <w:rFonts w:ascii="Calibri" w:hAnsi="Calibri" w:eastAsia="Microsoft YaHei"/>
        </w:rPr>
        <w:t>AI 和代理模型容易在同一炮、相邻时间窗口或相同实验日随机拆分，导致乐观性能。需要按 shot、campaign、hardware epoch、scenario 和 device 分层的冻结基准，并报告校准、提前量—误报曲线和最坏工况。</w:t>
      </w:r>
    </w:p>
    <w:p>
      <w:pPr>
        <w:pStyle w:val="Heading3"/>
      </w:pPr>
      <w:r>
        <w:t>6.5 只验证输出，不验证覆盖率</w:t>
      </w:r>
    </w:p>
    <w:p>
      <w:pPr>
        <w:widowControl/>
      </w:pPr>
      <w:r>
        <w:rPr>
          <w:rFonts w:ascii="Calibri" w:hAnsi="Calibri" w:eastAsia="Microsoft YaHei"/>
        </w:rPr>
        <w:t>预测均值接近数据不代表不确定度可信。必须检查 posterior predictive coverage、PIT/reliability、残差自相关、跨通道残差结构和 OOD 下的退化。</w:t>
      </w:r>
    </w:p>
    <w:p>
      <w:pPr>
        <w:pStyle w:val="Heading3"/>
      </w:pPr>
      <w:r>
        <w:t>6.6 缺少实时端到端证据</w:t>
      </w:r>
    </w:p>
    <w:p>
      <w:pPr>
        <w:widowControl/>
      </w:pPr>
      <w:r>
        <w:rPr>
          <w:rFonts w:ascii="Calibri" w:hAnsi="Calibri" w:eastAsia="Microsoft YaHei"/>
        </w:rPr>
        <w:t>离线推理耗时不等于实时 WCET。还需测量采集、网络、队列、推理、约束检查和发布总延迟，以及抖动、丢包、重启、时钟失锁、GPU 降频和模型加载失败。结果若过期，应明确 invalid，而不是沿用 last value。</w:t>
      </w:r>
    </w:p>
    <w:p>
      <w:pPr>
        <w:pStyle w:val="Heading3"/>
      </w:pPr>
      <w:r>
        <w:t>6.7 软件开放不等于实验可复现</w:t>
      </w:r>
    </w:p>
    <w:p>
      <w:pPr>
        <w:widowControl/>
      </w:pPr>
      <w:r>
        <w:rPr>
          <w:rFonts w:ascii="Calibri" w:hAnsi="Calibri" w:eastAsia="Microsoft YaHei"/>
        </w:rPr>
        <w:t>FIDASIM、ECRad、SOFT、ToFu、Tomotok 等公开代码显著改善方法复用，但装置数据、几何、校准和运行配置常受权限限制。可复现包应至少发布脱敏的合成基准、最小机器描述、期望结果和容差。</w:t>
      </w:r>
    </w:p>
    <w:p>
      <w:pPr>
        <w:pStyle w:val="Heading3"/>
      </w:pPr>
      <w:r>
        <w:t>6.8 保护与控制权限模糊</w:t>
      </w:r>
    </w:p>
    <w:p>
      <w:pPr>
        <w:widowControl/>
      </w:pPr>
      <w:r>
        <w:rPr>
          <w:rFonts w:ascii="Calibri" w:hAnsi="Calibri" w:eastAsia="Microsoft YaHei"/>
        </w:rPr>
        <w:t>实时 AI 经常被描述为“可用于控制”，但未说明它是显示、建议、监督控制还是保护触发。数字孪生必须在接口层携带 authority，禁止未批准服务直接写保护或高速控制通道。</w:t>
      </w:r>
    </w:p>
    <w:p>
      <w:pPr>
        <w:pStyle w:val="Heading3"/>
      </w:pPr>
      <w:r>
        <w:t>距离数字孪生的差距矩阵</w:t>
      </w:r>
    </w:p>
    <w:p>
      <w:pPr>
        <w:widowControl/>
      </w:pPr>
      <w:r>
        <w:rPr>
          <w:rFonts w:ascii="Calibri" w:hAnsi="Calibri" w:eastAsia="Microsoft YaHei"/>
        </w:rPr>
        <w:t>能力 · 现有代表 · 已具备 · 主要缺口</w:t>
      </w:r>
    </w:p>
    <w:p>
      <w:pPr>
        <w:widowControl/>
      </w:pPr>
      <w:r>
        <w:rPr>
          <w:rFonts w:ascii="Calibri" w:hAnsi="Calibri" w:eastAsia="Microsoft YaHei"/>
        </w:rPr>
        <w:t>数据语义 · IMAS/OMAS · 跨代码结构、单位与 IDS · 在线质量、校准证书、事件/权限语义不强制</w:t>
      </w:r>
    </w:p>
    <w:p>
      <w:pPr>
        <w:widowControl/>
      </w:pPr>
      <w:r>
        <w:rPr>
          <w:rFonts w:ascii="Calibri" w:hAnsi="Calibri" w:eastAsia="Microsoft YaHei"/>
        </w:rPr>
        <w:t>脉冲证据 · MDSplus/UDA · 原始与派生数据访问、回放 · 跨站点语义、不可变血缘、SLA</w:t>
      </w:r>
    </w:p>
    <w:p>
      <w:pPr>
        <w:widowControl/>
      </w:pPr>
      <w:r>
        <w:rPr>
          <w:rFonts w:ascii="Calibri" w:hAnsi="Calibri" w:eastAsia="Microsoft YaHei"/>
        </w:rPr>
        <w:t>几何注册 · Calcam/ToFu/CHERAB · CAD、视线、合成视图 · 时变形变、几何协方差、PLM 联动</w:t>
      </w:r>
    </w:p>
    <w:p>
      <w:pPr>
        <w:widowControl/>
      </w:pPr>
      <w:r>
        <w:rPr>
          <w:rFonts w:ascii="Calibri" w:hAnsi="Calibri" w:eastAsia="Microsoft YaHei"/>
        </w:rPr>
        <w:t>高保真观测算子 · FIDASIM/ECRad/REFMUL/SOFT · 物理上可信的通道级 forward model · 运行速度、模型差异、统一 API 与装置配置</w:t>
      </w:r>
    </w:p>
    <w:p>
      <w:pPr>
        <w:widowControl/>
      </w:pPr>
      <w:r>
        <w:rPr>
          <w:rFonts w:ascii="Calibri" w:hAnsi="Calibri" w:eastAsia="Microsoft YaHei"/>
        </w:rPr>
        <w:t>联合状态估计 · Minerva/AUG IDA/BITE · 后验、干扰参数、多诊断融合 · 实时性、公开实现、相关误差和 OOD</w:t>
      </w:r>
    </w:p>
    <w:p>
      <w:pPr>
        <w:widowControl/>
      </w:pPr>
      <w:r>
        <w:rPr>
          <w:rFonts w:ascii="Calibri" w:hAnsi="Calibri" w:eastAsia="Microsoft YaHei"/>
        </w:rPr>
        <w:t>实时状态 · RAPTOR · 模型预测 + 观测同化 · 故障注入、降级、跨装置治理</w:t>
      </w:r>
    </w:p>
    <w:p>
      <w:pPr>
        <w:widowControl/>
      </w:pPr>
      <w:r>
        <w:rPr>
          <w:rFonts w:ascii="Calibri" w:hAnsi="Calibri" w:eastAsia="Microsoft YaHei"/>
        </w:rPr>
        <w:t>AI 风险/虚拟传感器 · FRNN/Diag2Diag · 多模态和跨装置潜力 · 概率校准、幻觉细节、运行域与权限门</w:t>
      </w:r>
    </w:p>
    <w:p>
      <w:pPr>
        <w:widowControl/>
      </w:pPr>
      <w:r>
        <w:rPr>
          <w:rFonts w:ascii="Calibri" w:hAnsi="Calibri" w:eastAsia="Microsoft YaHei"/>
        </w:rPr>
        <w:t>资产健康 · ITER TSM anomaly · 回旋管脉冲与磁体电源的模块化工程健康监视原型 · ITER 真机长期故障库、专家反馈闭环、保护隔离</w:t>
      </w:r>
    </w:p>
    <w:p>
      <w:pPr>
        <w:widowControl/>
      </w:pPr>
      <w:r>
        <w:rPr>
          <w:rFonts w:ascii="Calibri" w:hAnsi="Calibri" w:eastAsia="Microsoft YaHei"/>
        </w:rPr>
        <w:t>计量与认证 · ITER RNC/CODAC · 参考源、交叉校准、标准接口 · 燃烧等离子体投运证据、核环境老化模型</w:t>
      </w:r>
    </w:p>
    <w:p>
      <w:pPr>
        <w:pStyle w:val="Heading3"/>
      </w:pPr>
      <w:r>
        <w:t>建议的实施路线</w:t>
      </w:r>
    </w:p>
    <w:p>
      <w:pPr>
        <w:pStyle w:val="Heading3"/>
      </w:pPr>
      <w:r>
        <w:t>阶段 A：先建立证据链，不追求“大一统求解器”</w:t>
      </w:r>
    </w:p>
    <w:p>
      <w:pPr>
        <w:numPr>
          <w:ilvl w:val="0"/>
          <w:numId w:val="10"/>
        </w:numPr>
        <w:spacing w:after="80" w:line="300" w:lineRule="auto"/>
      </w:pPr>
      <w:r>
        <w:rPr>
          <w:rFonts w:ascii="Calibri" w:hAnsi="Calibri" w:eastAsia="Microsoft YaHei"/>
        </w:rPr>
        <w:t>选择 3–5 个关键诊断：磁平衡、TS/ECE、辐射、快离子/中子、工程健康。</w:t>
      </w:r>
    </w:p>
    <w:p>
      <w:pPr>
        <w:numPr>
          <w:ilvl w:val="0"/>
          <w:numId w:val="10"/>
        </w:numPr>
        <w:spacing w:after="80" w:line="300" w:lineRule="auto"/>
      </w:pPr>
      <w:r>
        <w:rPr>
          <w:rFonts w:ascii="Calibri" w:hAnsi="Calibri" w:eastAsia="Microsoft YaHei"/>
        </w:rPr>
        <w:t>定义上述数据契约并映射到 IMAS + MDSplus/UDA。</w:t>
      </w:r>
    </w:p>
    <w:p>
      <w:pPr>
        <w:numPr>
          <w:ilvl w:val="0"/>
          <w:numId w:val="10"/>
        </w:numPr>
        <w:spacing w:after="80" w:line="300" w:lineRule="auto"/>
      </w:pPr>
      <w:r>
        <w:rPr>
          <w:rFonts w:ascii="Calibri" w:hAnsi="Calibri" w:eastAsia="Microsoft YaHei"/>
        </w:rPr>
        <w:t>保存 raw、calibrated、quality、geometry、uncertainty 和 provenance 六类最小产品。</w:t>
      </w:r>
    </w:p>
    <w:p>
      <w:pPr>
        <w:numPr>
          <w:ilvl w:val="0"/>
          <w:numId w:val="10"/>
        </w:numPr>
        <w:spacing w:after="80" w:line="300" w:lineRule="auto"/>
      </w:pPr>
      <w:r>
        <w:rPr>
          <w:rFonts w:ascii="Calibri" w:hAnsi="Calibri" w:eastAsia="Microsoft YaHei"/>
        </w:rPr>
        <w:t>为每个诊断建立最小合成闭合测试和历史放电回放基准。</w:t>
      </w:r>
    </w:p>
    <w:p>
      <w:pPr>
        <w:numPr>
          <w:ilvl w:val="0"/>
          <w:numId w:val="10"/>
        </w:numPr>
        <w:spacing w:after="80" w:line="300" w:lineRule="auto"/>
      </w:pPr>
      <w:r>
        <w:rPr>
          <w:rFonts w:ascii="Calibri" w:hAnsi="Calibri" w:eastAsia="Microsoft YaHei"/>
        </w:rPr>
        <w:t>统一 source/shot/time/coordinate/model IDs。</w:t>
      </w:r>
    </w:p>
    <w:p>
      <w:pPr>
        <w:pStyle w:val="Heading3"/>
      </w:pPr>
      <w:r>
        <w:t>阶段 B：引入可复用观测算子</w:t>
      </w:r>
    </w:p>
    <w:p>
      <w:pPr>
        <w:numPr>
          <w:ilvl w:val="0"/>
          <w:numId w:val="10"/>
        </w:numPr>
        <w:spacing w:after="80" w:line="300" w:lineRule="auto"/>
      </w:pPr>
      <w:r>
        <w:rPr>
          <w:rFonts w:ascii="Calibri" w:hAnsi="Calibri" w:eastAsia="Microsoft YaHei"/>
        </w:rPr>
        <w:t>光学用 CHERAB/ToFu/Calcam，ECE 用 ECRad，快离子用 FIDASIM/ASCOT5，聚变中子源谱用 DRESS。</w:t>
      </w:r>
    </w:p>
    <w:p>
      <w:pPr>
        <w:numPr>
          <w:ilvl w:val="0"/>
          <w:numId w:val="10"/>
        </w:numPr>
        <w:spacing w:after="80" w:line="300" w:lineRule="auto"/>
      </w:pPr>
      <w:r>
        <w:rPr>
          <w:rFonts w:ascii="Calibri" w:hAnsi="Calibri" w:eastAsia="Microsoft YaHei"/>
        </w:rPr>
        <w:t>每个模型封装同一 `simulate(state, geometry, calibration, context) -&gt; measurement` 接口。</w:t>
      </w:r>
    </w:p>
    <w:p>
      <w:pPr>
        <w:numPr>
          <w:ilvl w:val="0"/>
          <w:numId w:val="10"/>
        </w:numPr>
        <w:spacing w:after="80" w:line="300" w:lineRule="auto"/>
      </w:pPr>
      <w:r>
        <w:rPr>
          <w:rFonts w:ascii="Calibri" w:hAnsi="Calibri" w:eastAsia="Microsoft YaHei"/>
        </w:rPr>
        <w:t>输出不仅含合成值，还含响应矩阵/权重函数、数值误差和适用域。</w:t>
      </w:r>
    </w:p>
    <w:p>
      <w:pPr>
        <w:numPr>
          <w:ilvl w:val="0"/>
          <w:numId w:val="10"/>
        </w:numPr>
        <w:spacing w:after="80" w:line="300" w:lineRule="auto"/>
      </w:pPr>
      <w:r>
        <w:rPr>
          <w:rFonts w:ascii="Calibri" w:hAnsi="Calibri" w:eastAsia="Microsoft YaHei"/>
        </w:rPr>
        <w:t>先以离线容器和冻结版本运行，再训练带物理约束的代理；代理必须能回退到高保真模型。</w:t>
      </w:r>
    </w:p>
    <w:p>
      <w:pPr>
        <w:pStyle w:val="Heading3"/>
      </w:pPr>
      <w:r>
        <w:t>阶段 C：集成反演和状态服务</w:t>
      </w:r>
    </w:p>
    <w:p>
      <w:pPr>
        <w:numPr>
          <w:ilvl w:val="0"/>
          <w:numId w:val="10"/>
        </w:numPr>
        <w:spacing w:after="80" w:line="300" w:lineRule="auto"/>
      </w:pPr>
      <w:r>
        <w:rPr>
          <w:rFonts w:ascii="Calibri" w:hAnsi="Calibri" w:eastAsia="Microsoft YaHei"/>
        </w:rPr>
        <w:t>从可观测性最好、物理耦合清晰的 Te/ne 联合反演开始。</w:t>
      </w:r>
    </w:p>
    <w:p>
      <w:pPr>
        <w:numPr>
          <w:ilvl w:val="0"/>
          <w:numId w:val="10"/>
        </w:numPr>
        <w:spacing w:after="80" w:line="300" w:lineRule="auto"/>
      </w:pPr>
      <w:r>
        <w:rPr>
          <w:rFonts w:ascii="Calibri" w:hAnsi="Calibri" w:eastAsia="Microsoft YaHei"/>
        </w:rPr>
        <w:t>引入校准、几何和背景为 nuisance parameters。</w:t>
      </w:r>
    </w:p>
    <w:p>
      <w:pPr>
        <w:numPr>
          <w:ilvl w:val="0"/>
          <w:numId w:val="10"/>
        </w:numPr>
        <w:spacing w:after="80" w:line="300" w:lineRule="auto"/>
      </w:pPr>
      <w:r>
        <w:rPr>
          <w:rFonts w:ascii="Calibri" w:hAnsi="Calibri" w:eastAsia="Microsoft YaHei"/>
        </w:rPr>
        <w:t>每次反演自动生成 posterior predictive、逐通道残差和 coverage 指标。</w:t>
      </w:r>
    </w:p>
    <w:p>
      <w:pPr>
        <w:numPr>
          <w:ilvl w:val="0"/>
          <w:numId w:val="10"/>
        </w:numPr>
        <w:spacing w:after="80" w:line="300" w:lineRule="auto"/>
      </w:pPr>
      <w:r>
        <w:rPr>
          <w:rFonts w:ascii="Calibri" w:hAnsi="Calibri" w:eastAsia="Microsoft YaHei"/>
        </w:rPr>
        <w:t>逐步加入杂质、辐射、平衡和快离子；不要一次把所有状态塞进不可辨识大模型。</w:t>
      </w:r>
    </w:p>
    <w:p>
      <w:pPr>
        <w:numPr>
          <w:ilvl w:val="0"/>
          <w:numId w:val="10"/>
        </w:numPr>
        <w:spacing w:after="80" w:line="300" w:lineRule="auto"/>
      </w:pPr>
      <w:r>
        <w:rPr>
          <w:rFonts w:ascii="Calibri" w:hAnsi="Calibri" w:eastAsia="Microsoft YaHei"/>
        </w:rPr>
        <w:t>提供有明确有效时间和协方差的状态 API。</w:t>
      </w:r>
    </w:p>
    <w:p>
      <w:pPr>
        <w:pStyle w:val="Heading3"/>
      </w:pPr>
      <w:r>
        <w:t>阶段 D：实时影子与受限控制接口</w:t>
      </w:r>
    </w:p>
    <w:p>
      <w:pPr>
        <w:numPr>
          <w:ilvl w:val="0"/>
          <w:numId w:val="10"/>
        </w:numPr>
        <w:spacing w:after="80" w:line="300" w:lineRule="auto"/>
      </w:pPr>
      <w:r>
        <w:rPr>
          <w:rFonts w:ascii="Calibri" w:hAnsi="Calibri" w:eastAsia="Microsoft YaHei"/>
        </w:rPr>
        <w:t>将 RAPTOR 类状态观测器接入 MARTe2/PCS 的只读影子路径。</w:t>
      </w:r>
    </w:p>
    <w:p>
      <w:pPr>
        <w:numPr>
          <w:ilvl w:val="0"/>
          <w:numId w:val="10"/>
        </w:numPr>
        <w:spacing w:after="80" w:line="300" w:lineRule="auto"/>
      </w:pPr>
      <w:r>
        <w:rPr>
          <w:rFonts w:ascii="Calibri" w:hAnsi="Calibri" w:eastAsia="Microsoft YaHei"/>
        </w:rPr>
        <w:t>接入质量位、OOD、延迟和 last-good/invalid 规则。</w:t>
      </w:r>
    </w:p>
    <w:p>
      <w:pPr>
        <w:numPr>
          <w:ilvl w:val="0"/>
          <w:numId w:val="10"/>
        </w:numPr>
        <w:spacing w:after="80" w:line="300" w:lineRule="auto"/>
      </w:pPr>
      <w:r>
        <w:rPr>
          <w:rFonts w:ascii="Calibri" w:hAnsi="Calibri" w:eastAsia="Microsoft YaHei"/>
        </w:rPr>
        <w:t>FRNN/Diag2Diag 等 AI 先作为 advisory，不覆盖权威诊断。</w:t>
      </w:r>
    </w:p>
    <w:p>
      <w:pPr>
        <w:numPr>
          <w:ilvl w:val="0"/>
          <w:numId w:val="10"/>
        </w:numPr>
        <w:spacing w:after="80" w:line="300" w:lineRule="auto"/>
      </w:pPr>
      <w:r>
        <w:rPr>
          <w:rFonts w:ascii="Calibri" w:hAnsi="Calibri" w:eastAsia="Microsoft YaHei"/>
        </w:rPr>
        <w:t>通过历史回放、硬件在环、故障注入和前瞻 campaign 形成证据。</w:t>
      </w:r>
    </w:p>
    <w:p>
      <w:pPr>
        <w:numPr>
          <w:ilvl w:val="0"/>
          <w:numId w:val="10"/>
        </w:numPr>
        <w:spacing w:after="80" w:line="300" w:lineRule="auto"/>
      </w:pPr>
      <w:r>
        <w:rPr>
          <w:rFonts w:ascii="Calibri" w:hAnsi="Calibri" w:eastAsia="Microsoft YaHei"/>
        </w:rPr>
        <w:t>只有在独立审查后，才允许进入监督控制；机器保护保持独立确定性边界。</w:t>
      </w:r>
    </w:p>
    <w:p>
      <w:pPr>
        <w:pStyle w:val="Heading3"/>
      </w:pPr>
      <w:r>
        <w:t>代码关系与公开性说明</w:t>
      </w:r>
    </w:p>
    <w:p>
      <w:pPr>
        <w:widowControl/>
      </w:pPr>
      <w:r>
        <w:rPr>
          <w:rFonts w:ascii="Calibri" w:hAnsi="Calibri" w:eastAsia="Microsoft YaHei"/>
        </w:rPr>
        <w:t>本数据集把“代码关系”和“访问状态”拆为两个正交维度：</w:t>
      </w:r>
    </w:p>
    <w:p>
      <w:pPr>
        <w:numPr>
          <w:ilvl w:val="0"/>
          <w:numId w:val="10"/>
        </w:numPr>
        <w:spacing w:after="80" w:line="300" w:lineRule="auto"/>
      </w:pPr>
      <w:r>
        <w:rPr>
          <w:rFonts w:ascii="Calibri" w:hAnsi="Calibri" w:eastAsia="Microsoft YaHei"/>
        </w:rPr>
        <w:t>official-direct：论文作者、项目团队或机构维护，并直接实现该工作。例如 FIDASIM、ECRad、SOFT、ToFu、Tomotok、DisruptionPy。</w:t>
      </w:r>
    </w:p>
    <w:p>
      <w:pPr>
        <w:numPr>
          <w:ilvl w:val="0"/>
          <w:numId w:val="10"/>
        </w:numPr>
        <w:spacing w:after="80" w:line="300" w:lineRule="auto"/>
      </w:pPr>
      <w:r>
        <w:rPr>
          <w:rFonts w:ascii="Calibri" w:hAnsi="Calibri" w:eastAsia="Microsoft YaHei"/>
        </w:rPr>
        <w:t>enabling：官方且可信，但只提供上游物理场、运行时或通用基础。例如 Raysect 对 CHERAB、ASCOT5 对 W7-X FILD 合成链、MARTe2 对 RAPTOR。</w:t>
      </w:r>
    </w:p>
    <w:p>
      <w:pPr>
        <w:numPr>
          <w:ilvl w:val="0"/>
          <w:numId w:val="10"/>
        </w:numPr>
        <w:spacing w:after="80" w:line="300" w:lineRule="auto"/>
      </w:pPr>
      <w:r>
        <w:rPr>
          <w:rFonts w:ascii="Calibri" w:hAnsi="Calibri" w:eastAsia="Microsoft YaHei"/>
        </w:rPr>
        <w:t>access = not-public：没有核验到作者/机构的公共生产仓库，URL 必须为 null。例如 Minerva、AUG IDA、BITE 完整工作流、REFMUL、RENATE、ITER TSM 的 tsmadkit/tsmadalg。其 relation 仍标为 official-direct 或 enabling，避免把“是否公开”误当成“是否直接实现”。</w:t>
      </w:r>
    </w:p>
    <w:p>
      <w:pPr>
        <w:widowControl/>
      </w:pPr>
      <w:r>
        <w:rPr>
          <w:rFonts w:ascii="Calibri" w:hAnsi="Calibri" w:eastAsia="Microsoft YaHei"/>
        </w:rPr>
        <w:t>开源仓库存在不代表代码已获得装置或安全认证；反过来，未公开也不代表没有高成熟度装置部署。公开性、证据成熟度和部署成熟度是三个正交维度。</w:t>
      </w:r>
    </w:p>
    <w:p>
      <w:pPr>
        <w:pStyle w:val="Heading2"/>
      </w:pPr>
      <w:r>
        <w:t>装置与电厂状态诊断：从实验测量到可维护资产</w:t>
      </w:r>
    </w:p>
    <w:p>
      <w:pPr>
        <w:pStyle w:val="Heading3"/>
      </w:pPr>
      <w:r>
        <w:t>一、结论先行</w:t>
      </w:r>
    </w:p>
    <w:p>
      <w:pPr>
        <w:pStyle w:val="Heading3"/>
      </w:pPr>
      <w:r>
        <w:t>1. “聚变诊断”适合作为知识域总名，“合成诊断”应是子域</w:t>
      </w:r>
    </w:p>
    <w:p>
      <w:pPr>
        <w:widowControl/>
      </w:pPr>
      <w:r>
        <w:rPr>
          <w:rFonts w:ascii="Calibri" w:hAnsi="Calibri" w:eastAsia="Microsoft YaHei"/>
        </w:rPr>
        <w:t>真实聚变诊断至少包含五个彼此不可替代的层次：传感器和视线；采集、时钟与标定；反演和状态估计；与 PCS/保护/实验分析的接口；诊断自身的健康、维护和证据。合成诊断只处理“给定 plasma/plant 状态，仪器应看到什么”，是 DG9，不涵盖真实硬件、计量溯源、坏道和运维。因此把首页“智能诊断”改成“聚变诊断”最准确；AI 是 DG11 中的增强手段，不应成为诊断定义本身。</w:t>
      </w:r>
    </w:p>
    <w:p>
      <w:pPr>
        <w:pStyle w:val="Heading3"/>
      </w:pPr>
      <w:r>
        <w:t>2. 装置成熟度不能用一条轴概括</w:t>
      </w:r>
    </w:p>
    <w:p>
      <w:pPr>
        <w:widowControl/>
      </w:pPr>
      <w:r>
        <w:rPr>
          <w:rFonts w:ascii="Calibri" w:hAnsi="Calibri" w:eastAsia="Microsoft YaHei"/>
        </w:rPr>
        <w:t>本调研把证据 E0–E4 与部署 D1–D5 分开。ITER、SPARC、EHL-2 的物理目标很高，但诊断仍以设计、原型和资格试验为主；JET、DIII-D、AUG、TCV、EAST、KSTAR、WEST、W7-X、LHD 则有不同程度的装置运行证据。D5 只用于有原始文件证明的安全关键/法规授权用途；本数据集没有仅凭“保护”“安全联锁”几个字就授予 D5。</w:t>
      </w:r>
    </w:p>
    <w:p>
      <w:pPr>
        <w:pStyle w:val="Heading3"/>
      </w:pPr>
      <w:r>
        <w:t>3. 诊断的真正产品不是一条信号，而是“带证据的测量对象”</w:t>
      </w:r>
    </w:p>
    <w:p>
      <w:pPr>
        <w:widowControl/>
      </w:pPr>
      <w:r>
        <w:rPr>
          <w:rFonts w:ascii="Calibri" w:hAnsi="Calibri" w:eastAsia="Microsoft YaHei"/>
        </w:rPr>
        <w:t>至少要绑定：装置/端口/视线几何；sensor serial number；前端、增益和滤波；绝对/相对标定与有效期；时钟与延迟；单位和坐标；raw/reduced/analyzed 层级；质量位；反演版本；不确定度；责任人；关联论文、测试、维护和异常。若只把 MDSplus node 或数据库列复制进数字孪生，得到的是数据镜像，不是可决策的诊断孪生。</w:t>
      </w:r>
    </w:p>
    <w:p>
      <w:pPr>
        <w:pStyle w:val="Heading3"/>
      </w:pPr>
      <w:r>
        <w:t>4. 电厂诊断的公开成熟度明显落后于 plasma diagnostics</w:t>
      </w:r>
    </w:p>
    <w:p>
      <w:pPr>
        <w:widowControl/>
      </w:pPr>
      <w:r>
        <w:rPr>
          <w:rFonts w:ascii="Calibri" w:hAnsi="Calibri" w:eastAsia="Microsoft YaHei"/>
        </w:rPr>
        <w:t>磁体/低温、PFC 温度、氚流程和远程维护已有装置或高质量样机证据；真空与水泄漏有原型；结构位移/应变正从高保真 FE 走向 ROM；而 BOP 汽轮机、发电机、换热器、储能和全厂 condition monitoring 在融合公开文献里仍以系统设计为主。不能把常规火电/核电的成熟技术直接写成“已在聚变电厂验证”，因为目前没有运行中的聚变发电厂。</w:t>
      </w:r>
    </w:p>
    <w:p>
      <w:pPr>
        <w:pStyle w:val="Heading3"/>
      </w:pPr>
      <w:r>
        <w:t>二、分类与装置索引方法</w:t>
      </w:r>
    </w:p>
    <w:p>
      <w:pPr>
        <w:widowControl/>
      </w:pPr>
      <w:r>
        <w:rPr>
          <w:rFonts w:ascii="Calibri" w:hAnsi="Calibri" w:eastAsia="Microsoft YaHei"/>
        </w:rPr>
        <w:t>主分类采用固定 ID：DG0 系统工程/计量/健康，DG1 磁平衡，DG2 电子态，DG3 离子/组分，DG4 辐射/杂质，DG5 聚变产物/高能粒子，DG6 MHD/湍流，DG7 边界/PFC，DG8 工程设备/电厂状态，DG9 合成诊断，DG10 集成反演，DG11 实时诊断/AI/决策接口。</w:t>
      </w:r>
    </w:p>
    <w:p>
      <w:pPr>
        <w:widowControl/>
      </w:pPr>
      <w:r>
        <w:rPr>
          <w:rFonts w:ascii="Calibri" w:hAnsi="Calibri" w:eastAsia="Microsoft YaHei"/>
        </w:rPr>
        <w:t>装置档案不是诊断清单堆叠。每台装置回答八个问题：</w:t>
      </w:r>
    </w:p>
    <w:p>
      <w:pPr>
        <w:numPr>
          <w:ilvl w:val="0"/>
          <w:numId w:val="10"/>
        </w:numPr>
        <w:spacing w:after="80" w:line="300" w:lineRule="auto"/>
      </w:pPr>
      <w:r>
        <w:rPr>
          <w:rFonts w:ascii="Calibri" w:hAnsi="Calibri" w:eastAsia="Microsoft YaHei"/>
        </w:rPr>
        <w:t>什么任务决定诊断组合；</w:t>
      </w:r>
    </w:p>
    <w:p>
      <w:pPr>
        <w:numPr>
          <w:ilvl w:val="0"/>
          <w:numId w:val="10"/>
        </w:numPr>
        <w:spacing w:after="80" w:line="300" w:lineRule="auto"/>
      </w:pPr>
      <w:r>
        <w:rPr>
          <w:rFonts w:ascii="Calibri" w:hAnsi="Calibri" w:eastAsia="Microsoft YaHei"/>
        </w:rPr>
        <w:t>直接测量什么，哪些量由反演得到；</w:t>
      </w:r>
    </w:p>
    <w:p>
      <w:pPr>
        <w:numPr>
          <w:ilvl w:val="0"/>
          <w:numId w:val="10"/>
        </w:numPr>
        <w:spacing w:after="80" w:line="300" w:lineRule="auto"/>
      </w:pPr>
      <w:r>
        <w:rPr>
          <w:rFonts w:ascii="Calibri" w:hAnsi="Calibri" w:eastAsia="Microsoft YaHei"/>
        </w:rPr>
        <w:t>哪些系统真实运行，哪些只是设计或 commissioning；</w:t>
      </w:r>
    </w:p>
    <w:p>
      <w:pPr>
        <w:numPr>
          <w:ilvl w:val="0"/>
          <w:numId w:val="10"/>
        </w:numPr>
        <w:spacing w:after="80" w:line="300" w:lineRule="auto"/>
      </w:pPr>
      <w:r>
        <w:rPr>
          <w:rFonts w:ascii="Calibri" w:hAnsi="Calibri" w:eastAsia="Microsoft YaHei"/>
        </w:rPr>
        <w:t>哪些参数进入 PCS、保护或机器联锁；</w:t>
      </w:r>
    </w:p>
    <w:p>
      <w:pPr>
        <w:numPr>
          <w:ilvl w:val="0"/>
          <w:numId w:val="10"/>
        </w:numPr>
        <w:spacing w:after="80" w:line="300" w:lineRule="auto"/>
      </w:pPr>
      <w:r>
        <w:rPr>
          <w:rFonts w:ascii="Calibri" w:hAnsi="Calibri" w:eastAsia="Microsoft YaHei"/>
        </w:rPr>
        <w:t>数据存在哪里，raw/reduced/analyzed 如何区分；</w:t>
      </w:r>
    </w:p>
    <w:p>
      <w:pPr>
        <w:numPr>
          <w:ilvl w:val="0"/>
          <w:numId w:val="10"/>
        </w:numPr>
        <w:spacing w:after="80" w:line="300" w:lineRule="auto"/>
      </w:pPr>
      <w:r>
        <w:rPr>
          <w:rFonts w:ascii="Calibri" w:hAnsi="Calibri" w:eastAsia="Microsoft YaHei"/>
        </w:rPr>
        <w:t>标定、不确定度和诊断健康如何表达；</w:t>
      </w:r>
    </w:p>
    <w:p>
      <w:pPr>
        <w:numPr>
          <w:ilvl w:val="0"/>
          <w:numId w:val="10"/>
        </w:numPr>
        <w:spacing w:after="80" w:line="300" w:lineRule="auto"/>
      </w:pPr>
      <w:r>
        <w:rPr>
          <w:rFonts w:ascii="Calibri" w:hAnsi="Calibri" w:eastAsia="Microsoft YaHei"/>
        </w:rPr>
        <w:t>论文、代码、数据的公开状态是什么；</w:t>
      </w:r>
    </w:p>
    <w:p>
      <w:pPr>
        <w:numPr>
          <w:ilvl w:val="0"/>
          <w:numId w:val="10"/>
        </w:numPr>
        <w:spacing w:after="80" w:line="300" w:lineRule="auto"/>
      </w:pPr>
      <w:r>
        <w:rPr>
          <w:rFonts w:ascii="Calibri" w:hAnsi="Calibri" w:eastAsia="Microsoft YaHei"/>
        </w:rPr>
        <w:t>哪些能力不能迁移到电厂。</w:t>
      </w:r>
    </w:p>
    <w:p>
      <w:pPr>
        <w:pStyle w:val="Heading3"/>
      </w:pPr>
      <w:r>
        <w:t>三、装置组别观察</w:t>
      </w:r>
    </w:p>
    <w:p>
      <w:pPr>
        <w:pStyle w:val="Heading3"/>
      </w:pPr>
      <w:r>
        <w:t>3.1 燃烧等离子体/未来高场装置：ITER、SPARC、EHL-2</w:t>
      </w:r>
    </w:p>
    <w:p>
      <w:pPr>
        <w:widowControl/>
      </w:pPr>
      <w:r>
        <w:rPr>
          <w:rFonts w:ascii="Calibri" w:hAnsi="Calibri" w:eastAsia="Microsoft YaHei"/>
        </w:rPr>
        <w:t>ITER 的官方工程基础把诊断分成磁、光学、bolometric、中子/粒子、光谱与边界系统，并明确 PCS 会使用其中相当一部分。它还把氚包容、真空完整性、事故压力、活化和远程维护写入诊断设计边界。这意味着 ITER 不是“四十套现成研究诊断的放大版”，而是一套核环境测量基础设施。公开资料可以确认磁诊断约 2000 个、19 类传感器，中子相机/通量/活化/伽马等任务，以及 DRGA 原型；不能确认 ITER plasma 上的精度、可用率或长期漂移。</w:t>
      </w:r>
    </w:p>
    <w:p>
      <w:pPr>
        <w:widowControl/>
      </w:pPr>
      <w:r>
        <w:rPr>
          <w:rFonts w:ascii="Calibri" w:hAnsi="Calibri" w:eastAsia="Microsoft YaHei"/>
        </w:rPr>
        <w:t>SPARC 的 2024 年 Review of Scientific Instruments 专题是公开度较高的未来装置案例。early-campaign overview 给出约五十套目标诊断和统一工程验证哲学；X-ray paper 明确 SXR tomography、HXR runaway 和 XICS；neutron paper明确约 15 个 flux monitors、两套 activation、spectrometric camera 和 MPR。所有这些仍是设计、样机和制造证据，不是 SPARC plasma measurement。报告中的“10 ms、约 7 cm、&lt;2%”等应写成目标/设计结果，不能写成已验收运行指标。</w:t>
      </w:r>
    </w:p>
    <w:p>
      <w:pPr>
        <w:widowControl/>
      </w:pPr>
      <w:r>
        <w:rPr>
          <w:rFonts w:ascii="Calibri" w:hAnsi="Calibri" w:eastAsia="Microsoft YaHei"/>
        </w:rPr>
        <w:t>EHL-2 的公开材料主要是 physics design 和项目进度，尚无完整 diagnostic baseline、ICD、代码或数据。可从高场球形环、30 keV 级离子目标和 p-11B 任务推导磁/剖面/组分/硬 X 射线/带电聚变产物/PFC/工程诊断需求，但这只能标 E0–E1/D1。下一步合作应索取端口分配、量程/精度/带宽/延迟、辐射热磁环境、标定和维护方案，而不是在网站先填一个“已具备”列表。</w:t>
      </w:r>
    </w:p>
    <w:p>
      <w:pPr>
        <w:pStyle w:val="Heading3"/>
      </w:pPr>
      <w:r>
        <w:t>3.2 多诊断与控制耦合标杆：DIII-D、AUG、TCV</w:t>
      </w:r>
    </w:p>
    <w:p>
      <w:pPr>
        <w:widowControl/>
      </w:pPr>
      <w:r>
        <w:rPr>
          <w:rFonts w:ascii="Calibri" w:hAnsi="Calibri" w:eastAsia="Microsoft YaHei"/>
        </w:rPr>
        <w:t>DIII-D 的强项是五十余套诊断与成熟 PCS：MSE/EFIT、Thomson/ECE/CER、BES/ECEI、FIDA/中子和边界成像可在同一装置迭代。其公开代码以 OMAS 等使能层和个别论文仓库为主，原始 shot、标定和生产分支需设施权限。Diag2Diag 很适合作为 DG11 案例，但它没有 MHz Thomson ground truth；合成剖面必须由真实低频 Thomson、物理关系和事件行为持续挑战。</w:t>
      </w:r>
    </w:p>
    <w:p>
      <w:pPr>
        <w:widowControl/>
      </w:pPr>
      <w:r>
        <w:rPr>
          <w:rFonts w:ascii="Calibri" w:hAnsi="Calibri" w:eastAsia="Microsoft YaHei"/>
        </w:rPr>
        <w:t>AUG 的特色是成熟的分布式诊断工程。2014 DAQ 论文记录约 150 个数据采集系统与约 20 个实时诊断；2008 rtDiag 论文解释 DMA、实时 OS、MPI、时间戳和 DCS 信号链。AUG 证明诊断可以分布自治又集中配置，但 shotfile、DCC、专用卡和历史 OS 也形成跨装置迁移障碍。</w:t>
      </w:r>
    </w:p>
    <w:p>
      <w:pPr>
        <w:widowControl/>
      </w:pPr>
      <w:r>
        <w:rPr>
          <w:rFonts w:ascii="Calibri" w:hAnsi="Calibri" w:eastAsia="Microsoft YaHei"/>
        </w:rPr>
        <w:t>TCV 官方诊断页面给出四十余套系统、两百余磁探针/磁通环、十四弦 FIR、百余 Thomson polychromator 和低于 0.5 ms 的特定实时分析链。RADCAM/MANTIS、MPX/ECE/FIR/Thomson 可服务 RAPTOR/RAPDENS。此数字只代表特定链路，不应扩展为“所有 TCV diagnostics latency”。TCV 的快速维护和端口灵活性也显著优于未来电厂。</w:t>
      </w:r>
    </w:p>
    <w:p>
      <w:pPr>
        <w:pStyle w:val="Heading3"/>
      </w:pPr>
      <w:r>
        <w:t>3.3 长脉冲/壁状态标杆：EAST、KSTAR、WEST</w:t>
      </w:r>
    </w:p>
    <w:p>
      <w:pPr>
        <w:widowControl/>
      </w:pPr>
      <w:r>
        <w:rPr>
          <w:rFonts w:ascii="Calibri" w:hAnsi="Calibri" w:eastAsia="Microsoft YaHei"/>
        </w:rPr>
        <w:t>EAST 把 plasma diagnostics 和 engineering TDS 连接得较完整。POINT/P-EFIT、ECE/ECEI、FIDA、中子与钨偏滤器诊断服务稳态物理；线圈出口氦/氮温度经 PXI/Lake Shore、MySQL/MDSplus 到低温系统和联锁。对于数字孪生，后者特别重要：真实资产状态必须与放电、标定和事件一起归档。</w:t>
      </w:r>
    </w:p>
    <w:p>
      <w:pPr>
        <w:widowControl/>
      </w:pPr>
      <w:r>
        <w:rPr>
          <w:rFonts w:ascii="Calibri" w:hAnsi="Calibri" w:eastAsia="Microsoft YaHei"/>
        </w:rPr>
        <w:t>KSTAR 的首等离子体 DAQ 论文明确 11 类初始诊断、EPICS 中央集成、专用 timing 和 MDSplus 归档。后续系统显著增加，因此早期论文只用于确认架构而非当前清单。production configuration、数据和标定不公开，应标 collaboration access。</w:t>
      </w:r>
    </w:p>
    <w:p>
      <w:pPr>
        <w:widowControl/>
      </w:pPr>
      <w:r>
        <w:rPr>
          <w:rFonts w:ascii="Calibri" w:hAnsi="Calibri" w:eastAsia="Microsoft YaHei"/>
        </w:rPr>
        <w:t>WEST 把 IR/FBG/WMS 做成工程—物理交界标杆。IR 图像不仅解释 plasma-wall interaction，还能触发 RF 退让；FBG 在超过 2600 炮中建立温度数据库；IR synthetic diagnostic 显式处理发射率和反射。该链路提醒我们：相机图像、CAD 视线、表面材料、热模型和控制命令必须共用版本。</w:t>
      </w:r>
    </w:p>
    <w:p>
      <w:pPr>
        <w:pStyle w:val="Heading3"/>
      </w:pPr>
      <w:r>
        <w:t>3.4 偏滤器、球形环和 MHD 专题装置：MAST-U、NSTX-U、J-TEXT、HL-2M、EXL-50U</w:t>
      </w:r>
    </w:p>
    <w:p>
      <w:pPr>
        <w:widowControl/>
      </w:pPr>
      <w:r>
        <w:rPr>
          <w:rFonts w:ascii="Calibri" w:hAnsi="Calibri" w:eastAsia="Microsoft YaHei"/>
        </w:rPr>
        <w:t>MAST-U 的 2023 磁诊断论文报告 flux-loop calibration 中位不确定度约 1.7%、pickup coils 约 6.3%，这是少见的明确 calibration uncertainty 证据。bolometer 系统同时暴露电噪声和探测器失效，并用 synthetic diagnostic 评估二维反演，这种“成功 + 失效 + UQ”比单纯列设备更适合报告。</w:t>
      </w:r>
    </w:p>
    <w:p>
      <w:pPr>
        <w:widowControl/>
      </w:pPr>
      <w:r>
        <w:rPr>
          <w:rFonts w:ascii="Calibri" w:hAnsi="Calibri" w:eastAsia="Microsoft YaHei"/>
        </w:rPr>
        <w:t>NSTX-U 的 Data Management Plan 明确 raw、reduced、analyzed 三层，MDSplus 保存物理诊断与工程树，EPICS archiver 保存 engineering operations，CAMDATA 保存高速视频，published data 可进入 Princeton Data Commons。它展示开放平台不等于所有数据匿名开放，也不等于每个 reduced signal 已经 validated；diagnostician 责任仍关键。</w:t>
      </w:r>
    </w:p>
    <w:p>
      <w:pPr>
        <w:widowControl/>
      </w:pPr>
      <w:r>
        <w:rPr>
          <w:rFonts w:ascii="Calibri" w:hAnsi="Calibri" w:eastAsia="Microsoft YaHei"/>
        </w:rPr>
        <w:t>J-TEXT 的 Web stack 用 REST API 统一状态、命令和诊断数据，连接 HDF5、MDSplus 和 EPICS；timing system 支撑 15+ 类、700+ 通道。它适合做可维护小型 diagnostic service 的工程参照，但短脉冲架构到长脉冲/电厂仍需重构。</w:t>
      </w:r>
    </w:p>
    <w:p>
      <w:pPr>
        <w:widowControl/>
      </w:pPr>
      <w:r>
        <w:rPr>
          <w:rFonts w:ascii="Calibri" w:hAnsi="Calibri" w:eastAsia="Microsoft YaHei"/>
        </w:rPr>
        <w:t>HL-2M 公开的首等离子体材料确认 16 套基础系统，发展目标约七十套；Cherenkov probe 已有 2022 秋季装置数据，而双环 TOF 中子与 HIBP 等材料成熟度不同。报告必须逐系统标 E1–E4，不能把五年计划当成同一时点 installed capability。</w:t>
      </w:r>
    </w:p>
    <w:p>
      <w:pPr>
        <w:widowControl/>
      </w:pPr>
      <w:r>
        <w:rPr>
          <w:rFonts w:ascii="Calibri" w:hAnsi="Calibri" w:eastAsia="Microsoft YaHei"/>
        </w:rPr>
        <w:t>EXL-50 综述是 EXL-50U 诊断候选继承基线的重要一手证据，列出磁、可见/IR、微波与 HCN FIR 干涉、Thomson、Hα/杂质光谱、杂散 EC 波、ECE、AXUV、SXR/HXR 和 Langmuir probes。但必须明确区分：EXL-50 是无中心螺线管装置，EXL-50U 安装了中心螺线管，并已有 ECRH 非感应启动、中心螺线管辅助爬升及 FOCS 涡流实测论文。两台装置的每套硬件、几何、标定和信号版本均须项目方确认，不能把 EXL-50 清单直接写成 EXL-50U 已安装能力。高能电子主导使单流体平衡、ECE 和 HXR 的解释不同于普通热等离子体，这是合作中必须保留的物理限定。</w:t>
      </w:r>
    </w:p>
    <w:p>
      <w:pPr>
        <w:pStyle w:val="Heading3"/>
      </w:pPr>
      <w:r>
        <w:t>3.5 非托卡马克长稳态与开放数据参照：W7-X、LHD</w:t>
      </w:r>
    </w:p>
    <w:p>
      <w:pPr>
        <w:widowControl/>
      </w:pPr>
      <w:r>
        <w:rPr>
          <w:rFonts w:ascii="Calibri" w:hAnsi="Calibri" w:eastAsia="Microsoft YaHei"/>
        </w:rPr>
        <w:t>W7-X 官方称约 45 套诊断，并强调同一参数由不同原理冗余测量。三维磁构型让视线与磁面映射复杂，但其 ArchiveDB、Web live monitoring 和自动 thermal-event detection 对长脉冲数字孪生非常有价值。W7-X 不运行 D-T，不能替代燃烧环境资格。</w:t>
      </w:r>
    </w:p>
    <w:p>
      <w:pPr>
        <w:widowControl/>
      </w:pPr>
      <w:r>
        <w:rPr>
          <w:rFonts w:ascii="Calibri" w:hAnsi="Calibri" w:eastAsia="Microsoft YaHei"/>
        </w:rPr>
        <w:t>LHD 是本组中数据开放边界最清晰的案例。官方 repository 可按 shot 或 diagnostic 检索，给出 Retrieve 工具、数据格式、联系人、rights/terms 和 DOI。条款同时要求发表前联系仪器人员、保留 caveats 和署名/致谢。数字孪生社区应借鉴这种“开放 + 责任 + 限定语”，而非只追求免登录下载。</w:t>
      </w:r>
    </w:p>
    <w:p>
      <w:pPr>
        <w:pStyle w:val="Heading3"/>
      </w:pPr>
      <w:r>
        <w:t>四、工程与电厂状态诊断的八条主线</w:t>
      </w:r>
    </w:p>
    <w:p>
      <w:pPr>
        <w:pStyle w:val="Heading3"/>
      </w:pPr>
      <w:r>
        <w:t>4.1 磁体与低温</w:t>
      </w:r>
    </w:p>
    <w:p>
      <w:pPr>
        <w:widowControl/>
      </w:pPr>
      <w:r>
        <w:rPr>
          <w:rFonts w:ascii="Calibri" w:hAnsi="Calibri" w:eastAsia="Microsoft YaHei"/>
        </w:rPr>
        <w:t>ITER、JT-60SA、EAST、W7-X 都说明 magnet monitoring 必须把 differential voltage、current、temperature、pressure、mass flow、valve/breaker state 和 QPC 联系起来。JT-60SA commissioning 通过受控加热、九对探测器触发和 pyrobreaker 试验验证端到端链路，是 E3/D3 的高质量证据；它仍不是多年可靠性或 D5 证明。</w:t>
      </w:r>
    </w:p>
    <w:p>
      <w:pPr>
        <w:pStyle w:val="Heading3"/>
      </w:pPr>
      <w:r>
        <w:t>4.2 PFC 温度、热流与寿命</w:t>
      </w:r>
    </w:p>
    <w:p>
      <w:pPr>
        <w:widowControl/>
      </w:pPr>
      <w:r>
        <w:rPr>
          <w:rFonts w:ascii="Calibri" w:hAnsi="Calibri" w:eastAsia="Microsoft YaHei"/>
        </w:rPr>
        <w:t>IR 看表面，FBG/thermocouple 看材料内部/局部，cooling calorimetry 看能量守恒。三者必须交叉。WEST 的 IR/WMS、WEST FBG 和 EAST 高热流 mock-up 形成从台架到装置的证据梯度。单独 IR 会受发射率、反射、遮挡影响；单独 FBG 会受温度—应变交叉和封装影响；单独冷却水温升空间分辨不足。</w:t>
      </w:r>
    </w:p>
    <w:p>
      <w:pPr>
        <w:pStyle w:val="Heading3"/>
      </w:pPr>
      <w:r>
        <w:t>4.3 力、位移、应变、应力与振动</w:t>
      </w:r>
    </w:p>
    <w:p>
      <w:pPr>
        <w:widowControl/>
      </w:pPr>
      <w:r>
        <w:rPr>
          <w:rFonts w:ascii="Calibri" w:hAnsi="Calibri" w:eastAsia="Microsoft YaHei"/>
        </w:rPr>
        <w:t>用户计划中的“力、位移、应变、应力、温度”验证链非常合理。直接力测量通常难布置，可由应变/位移 + 标定结构模型反演；应力大多是模型量，不应称传感器直接量。TEXTOR/T-10 给出运行中位移/振动直接证据，EAST FBG 给出组件/台架证据，实时 ROM 给出模型服务路线。建议把传感器、商业 EM/FEA 和 ROM 分成三层验收。</w:t>
      </w:r>
    </w:p>
    <w:p>
      <w:pPr>
        <w:pStyle w:val="Heading3"/>
      </w:pPr>
      <w:r>
        <w:t>4.4 真空与泄漏</w:t>
      </w:r>
    </w:p>
    <w:p>
      <w:pPr>
        <w:widowControl/>
      </w:pPr>
      <w:r>
        <w:rPr>
          <w:rFonts w:ascii="Calibri" w:hAnsi="Calibri" w:eastAsia="Microsoft YaHei"/>
        </w:rPr>
        <w:t>ITER DRGA 用多类质量谱/光学规重叠测 D/T、He 和 impurities；Kr-water tracer 与 OH*/Xe spectroscopy 解决水内漏定位。取样线路、泵速、壁记忆和背景是测量算子的一部分，不能把 analyzer 时间戳直接当源时间。</w:t>
      </w:r>
    </w:p>
    <w:p>
      <w:pPr>
        <w:pStyle w:val="Heading3"/>
      </w:pPr>
      <w:r>
        <w:t>4.5 氚与燃料循环</w:t>
      </w:r>
    </w:p>
    <w:p>
      <w:pPr>
        <w:widowControl/>
      </w:pPr>
      <w:r>
        <w:rPr>
          <w:rFonts w:ascii="Calibri" w:hAnsi="Calibri" w:eastAsia="Microsoft YaHei"/>
        </w:rPr>
        <w:t>JET AGHS 是少数有 kg-scale tritium handling 和真实 D-T campaign 的公开运行证据。GC、mass spectrometer、ionization chamber 与物料转移记录构成 accountancy；DEMO Raman 是面向实时化的原型。未来孪生核心是带不确定度的守恒账本，而非单一浓度仪表盘。</w:t>
      </w:r>
    </w:p>
    <w:p>
      <w:pPr>
        <w:pStyle w:val="Heading3"/>
      </w:pPr>
      <w:r>
        <w:t>4.6 腐蚀、化学与排放</w:t>
      </w:r>
    </w:p>
    <w:p>
      <w:pPr>
        <w:widowControl/>
      </w:pPr>
      <w:r>
        <w:rPr>
          <w:rFonts w:ascii="Calibri" w:hAnsi="Calibri" w:eastAsia="Microsoft YaHei"/>
        </w:rPr>
        <w:t>JET EDS 因 halogen ingress 生成酸并发生点蚀，经过根因分析、替换、passivation、commissioning 和再运行，是完整资产闭环。ITER cooling-water blowdown 需监测温度、pH、hydrocarbon、chloride、sulphate 和 tritium；当前是设计/建设要求，不是运行表现。</w:t>
      </w:r>
    </w:p>
    <w:p>
      <w:pPr>
        <w:pStyle w:val="Heading3"/>
      </w:pPr>
      <w:r>
        <w:t>4.7 远程维护与在役检查</w:t>
      </w:r>
    </w:p>
    <w:p>
      <w:pPr>
        <w:widowControl/>
      </w:pPr>
      <w:r>
        <w:rPr>
          <w:rFonts w:ascii="Calibri" w:hAnsi="Calibri" w:eastAsia="Microsoft YaHei"/>
        </w:rPr>
        <w:t>ITER IVVS、MPD、diagnostic rack connector 和 RACE mock-up 说明 as-maintained CAD、视觉计量、机器人关节/力矩、工具状态和操作步骤必须共同版本化。远程维护本质上也是诊断：确认部件位置、损伤、污染、可达性和维护结果。</w:t>
      </w:r>
    </w:p>
    <w:p>
      <w:pPr>
        <w:pStyle w:val="Heading3"/>
      </w:pPr>
      <w:r>
        <w:t>4.8 能量转换与 BOP</w:t>
      </w:r>
    </w:p>
    <w:p>
      <w:pPr>
        <w:widowControl/>
      </w:pPr>
      <w:r>
        <w:rPr>
          <w:rFonts w:ascii="Calibri" w:hAnsi="Calibri" w:eastAsia="Microsoft YaHei"/>
        </w:rPr>
        <w:t>公开 EU-DEMO 文献已比较 PHTS、储能、steam turbine 和循环效率，但 fusion-specific condition monitoring 证据不足。应明确标 E0/D1。未来可借鉴常规电厂的轴振、轴承温度/油液、泵阀、换热器热性能、发电机电气/局放、水化学，但必须重新验证脉冲热源、氚渗透、核边界和聚变可用率约束。</w:t>
      </w:r>
    </w:p>
    <w:p>
      <w:pPr>
        <w:pStyle w:val="Heading3"/>
      </w:pPr>
      <w:r>
        <w:t>五、面向新奥第一阶段合作的最小闭环</w:t>
      </w:r>
    </w:p>
    <w:p>
      <w:pPr>
        <w:widowControl/>
      </w:pPr>
      <w:r>
        <w:rPr>
          <w:rFonts w:ascii="Calibri" w:hAnsi="Calibri" w:eastAsia="Microsoft YaHei"/>
        </w:rPr>
        <w:t>建议把第一阶段限定为三类可验收对象，而不是建设“全装置工程孪生”：</w:t>
      </w:r>
    </w:p>
    <w:p>
      <w:pPr>
        <w:numPr>
          <w:ilvl w:val="0"/>
          <w:numId w:val="10"/>
        </w:numPr>
        <w:spacing w:after="80" w:line="300" w:lineRule="auto"/>
      </w:pPr>
      <w:r>
        <w:rPr>
          <w:rFonts w:ascii="Calibri" w:hAnsi="Calibri" w:eastAsia="Microsoft YaHei"/>
        </w:rPr>
        <w:t>电磁—结构链：线圈/等离子体电流、边界/位形 → EM load → displacement/strain/stress；真实力若没有直接传感，必须标“模型反演”。</w:t>
      </w:r>
    </w:p>
    <w:p>
      <w:pPr>
        <w:numPr>
          <w:ilvl w:val="0"/>
          <w:numId w:val="10"/>
        </w:numPr>
        <w:spacing w:after="80" w:line="300" w:lineRule="auto"/>
      </w:pPr>
      <w:r>
        <w:rPr>
          <w:rFonts w:ascii="Calibri" w:hAnsi="Calibri" w:eastAsia="Microsoft YaHei"/>
        </w:rPr>
        <w:t>热管理链：热源/热流 → PFC/结构温度 → 冷却水温压流量 → 热平衡与 hotspot；IR、thermocouple/FBG 和 calorimetry 互相校核。</w:t>
      </w:r>
    </w:p>
    <w:p>
      <w:pPr>
        <w:numPr>
          <w:ilvl w:val="0"/>
          <w:numId w:val="10"/>
        </w:numPr>
        <w:spacing w:after="80" w:line="300" w:lineRule="auto"/>
      </w:pPr>
      <w:r>
        <w:rPr>
          <w:rFonts w:ascii="Calibri" w:hAnsi="Calibri" w:eastAsia="Microsoft YaHei"/>
        </w:rPr>
        <w:t>代理模型链：商业软件高保真样本 → ROM/surrogate → 历史数据回放 → OOD/残差/不确定度 → shadow service；未完成真机校核前不直接闭环控制。</w:t>
      </w:r>
    </w:p>
    <w:p>
      <w:pPr>
        <w:widowControl/>
      </w:pPr>
      <w:r>
        <w:rPr>
          <w:rFonts w:ascii="Calibri" w:hAnsi="Calibri" w:eastAsia="Microsoft YaHei"/>
        </w:rPr>
        <w:t>应向合作方索取：CAD/网格/材料/接触和边界条件；线圈/母线/真空室/支撑配置；传感器位置、方向、serial number、采样、标定与安装工艺；放电和工程事件；仿真 solver/version/tolerance；测点—单元映射；试验验收阈值；异常与坏道样本；许可证和成果使用权。</w:t>
      </w:r>
    </w:p>
    <w:p>
      <w:pPr>
        <w:pStyle w:val="Heading3"/>
      </w:pPr>
      <w:r>
        <w:t>六、必须保留的证据边界</w:t>
      </w:r>
    </w:p>
    <w:p>
      <w:pPr>
        <w:numPr>
          <w:ilvl w:val="0"/>
          <w:numId w:val="10"/>
        </w:numPr>
        <w:spacing w:after="80" w:line="300" w:lineRule="auto"/>
      </w:pPr>
      <w:r>
        <w:rPr>
          <w:rFonts w:ascii="Calibri" w:hAnsi="Calibri" w:eastAsia="Microsoft YaHei"/>
        </w:rPr>
        <w:t>ITER：设计/样机/资格试验不等于 ITER plasma validation。</w:t>
      </w:r>
    </w:p>
    <w:p>
      <w:pPr>
        <w:numPr>
          <w:ilvl w:val="0"/>
          <w:numId w:val="10"/>
        </w:numPr>
        <w:spacing w:after="80" w:line="300" w:lineRule="auto"/>
      </w:pPr>
      <w:r>
        <w:rPr>
          <w:rFonts w:ascii="Calibri" w:hAnsi="Calibri" w:eastAsia="Microsoft YaHei"/>
        </w:rPr>
        <w:t>SPARC：约五十套 diagnostics 和中子/X 射线性能是设计/制造目标，尚无 plasma data。</w:t>
      </w:r>
    </w:p>
    <w:p>
      <w:pPr>
        <w:numPr>
          <w:ilvl w:val="0"/>
          <w:numId w:val="10"/>
        </w:numPr>
        <w:spacing w:after="80" w:line="300" w:lineRule="auto"/>
      </w:pPr>
      <w:r>
        <w:rPr>
          <w:rFonts w:ascii="Calibri" w:hAnsi="Calibri" w:eastAsia="Microsoft YaHei"/>
        </w:rPr>
        <w:t>EHL-2：没有公开完整 diagnostic baseline，不得写成已安装。</w:t>
      </w:r>
    </w:p>
    <w:p>
      <w:pPr>
        <w:numPr>
          <w:ilvl w:val="0"/>
          <w:numId w:val="10"/>
        </w:numPr>
        <w:spacing w:after="80" w:line="300" w:lineRule="auto"/>
      </w:pPr>
      <w:r>
        <w:rPr>
          <w:rFonts w:ascii="Calibri" w:hAnsi="Calibri" w:eastAsia="Microsoft YaHei"/>
        </w:rPr>
        <w:t>EXL-50U：与无中心螺线管 EXL-50 明确分开；EXL-50 清单只能作候选继承基线，EXL-50U 中心螺线管、FOCS 等新增/变更项及全部升级状态需项目配置确认。</w:t>
      </w:r>
    </w:p>
    <w:p>
      <w:pPr>
        <w:numPr>
          <w:ilvl w:val="0"/>
          <w:numId w:val="10"/>
        </w:numPr>
        <w:spacing w:after="80" w:line="300" w:lineRule="auto"/>
      </w:pPr>
      <w:r>
        <w:rPr>
          <w:rFonts w:ascii="Calibri" w:hAnsi="Calibri" w:eastAsia="Microsoft YaHei"/>
        </w:rPr>
        <w:t>JT-60SA：JT-60U 历史能力、JT-60SA 规划、已安装和 commissioning 必须分开。</w:t>
      </w:r>
    </w:p>
    <w:p>
      <w:pPr>
        <w:numPr>
          <w:ilvl w:val="0"/>
          <w:numId w:val="10"/>
        </w:numPr>
        <w:spacing w:after="80" w:line="300" w:lineRule="auto"/>
      </w:pPr>
      <w:r>
        <w:rPr>
          <w:rFonts w:ascii="Calibri" w:hAnsi="Calibri" w:eastAsia="Microsoft YaHei"/>
        </w:rPr>
        <w:t>HL-2M：约七十套是发展计划；首等离子体确认约十六套；各后续系统成熟度不同。</w:t>
      </w:r>
    </w:p>
    <w:p>
      <w:pPr>
        <w:numPr>
          <w:ilvl w:val="0"/>
          <w:numId w:val="10"/>
        </w:numPr>
        <w:spacing w:after="80" w:line="300" w:lineRule="auto"/>
      </w:pPr>
      <w:r>
        <w:rPr>
          <w:rFonts w:ascii="Calibri" w:hAnsi="Calibri" w:eastAsia="Microsoft YaHei"/>
        </w:rPr>
        <w:t>WEST：WMS 真机反馈是 E4/D4，但不是核安全授权；IR 温度含模型误差。</w:t>
      </w:r>
    </w:p>
    <w:p>
      <w:pPr>
        <w:numPr>
          <w:ilvl w:val="0"/>
          <w:numId w:val="10"/>
        </w:numPr>
        <w:spacing w:after="80" w:line="300" w:lineRule="auto"/>
      </w:pPr>
      <w:r>
        <w:rPr>
          <w:rFonts w:ascii="Calibri" w:hAnsi="Calibri" w:eastAsia="Microsoft YaHei"/>
        </w:rPr>
        <w:t>EAST：TDS 触发联锁是装置工程证据，不等于第三方安全完整性认证。</w:t>
      </w:r>
    </w:p>
    <w:p>
      <w:pPr>
        <w:numPr>
          <w:ilvl w:val="0"/>
          <w:numId w:val="10"/>
        </w:numPr>
        <w:spacing w:after="80" w:line="300" w:lineRule="auto"/>
      </w:pPr>
      <w:r>
        <w:rPr>
          <w:rFonts w:ascii="Calibri" w:hAnsi="Calibri" w:eastAsia="Microsoft YaHei"/>
        </w:rPr>
        <w:t>LHD/NSTX-U：公开/共享有明确条款和数据级别；“能访问”不等于“已验证”或“可自由再发布”。</w:t>
      </w:r>
    </w:p>
    <w:p>
      <w:pPr>
        <w:numPr>
          <w:ilvl w:val="0"/>
          <w:numId w:val="10"/>
        </w:numPr>
        <w:spacing w:after="80" w:line="300" w:lineRule="auto"/>
      </w:pPr>
      <w:r>
        <w:rPr>
          <w:rFonts w:ascii="Calibri" w:hAnsi="Calibri" w:eastAsia="Microsoft YaHei"/>
        </w:rPr>
        <w:t>BOP：目前没有运行聚变电厂，所有 fusion-specific condition-monitoring 结论都必须标为需求、设计或迁移路线。</w:t>
      </w:r>
    </w:p>
    <w:p>
      <w:pPr>
        <w:keepNext/>
        <w:pageBreakBefore/>
        <w:spacing w:before="0" w:after="100"/>
      </w:pPr>
      <w:r>
        <w:rPr>
          <w:rFonts w:ascii="Calibri" w:hAnsi="Calibri" w:eastAsia="Microsoft YaHei"/>
          <w:b/>
          <w:caps/>
          <w:color w:val="008C95"/>
          <w:sz w:val="17"/>
        </w:rPr>
        <w:t>17 / DEVICE-CENTRIC INDEX</w:t>
      </w:r>
    </w:p>
    <w:p>
      <w:pPr>
        <w:pStyle w:val="Heading1"/>
      </w:pPr>
      <w:r>
        <w:t>按装置反查：主要诊断、实时接口、数据平台、论文与代码</w:t>
      </w:r>
    </w:p>
    <w:p>
      <w:pPr>
        <w:widowControl/>
      </w:pPr>
      <w:r>
        <w:rPr>
          <w:rFonts w:ascii="Calibri" w:hAnsi="Calibri" w:eastAsia="Microsoft YaHei"/>
        </w:rPr>
        <w:t>装置档案是公开证据索引，不代表所有诊断在每个实验期同时可用。建设中装置按设计/采购/安装/调试证据描述；公开资料不足的 EXL-50U、EHL-2 等装置明确保留缺口，不从相邻装置外推。</w:t>
      </w:r>
    </w:p>
    <w:p>
      <w:pPr>
        <w:keepNext/>
        <w:jc w:val="center"/>
      </w:pPr>
      <w:r>
        <w:drawing>
          <wp:inline xmlns:a="http://schemas.openxmlformats.org/drawingml/2006/main" xmlns:pic="http://schemas.openxmlformats.org/drawingml/2006/picture">
            <wp:extent cx="5669280" cy="3259836"/>
            <wp:docPr id="9" name="Picture 9" descr="图 17-1  装置与 DG0-DG11 诊断任务的公开证据覆盖矩阵。"/>
            <wp:cNvGraphicFramePr>
              <a:graphicFrameLocks noChangeAspect="1"/>
            </wp:cNvGraphicFramePr>
            <a:graphic>
              <a:graphicData uri="http://schemas.openxmlformats.org/drawingml/2006/picture">
                <pic:pic>
                  <pic:nvPicPr>
                    <pic:cNvPr id="0" name="diagnostics-device-coverage-nature.png"/>
                    <pic:cNvPicPr/>
                  </pic:nvPicPr>
                  <pic:blipFill>
                    <a:blip r:embed="rId218"/>
                    <a:stretch>
                      <a:fillRect/>
                    </a:stretch>
                  </pic:blipFill>
                  <pic:spPr>
                    <a:xfrm>
                      <a:off x="0" y="0"/>
                      <a:ext cx="5669280" cy="3259836"/>
                    </a:xfrm>
                    <a:prstGeom prst="rect"/>
                  </pic:spPr>
                </pic:pic>
              </a:graphicData>
            </a:graphic>
          </wp:inline>
        </w:drawing>
      </w:r>
    </w:p>
    <w:p>
      <w:pPr>
        <w:pStyle w:val="Caption"/>
        <w:jc w:val="center"/>
      </w:pPr>
      <w:r>
        <w:t>图 17-1  装置与 DG0-DG11 诊断任务的公开证据覆盖矩阵。</w:t>
      </w:r>
    </w:p>
    <w:p>
      <w:pPr>
        <w:pStyle w:val="Heading2"/>
      </w:pPr>
      <w:r>
        <w:t>17.01  ASDEX Upgrade</w:t>
      </w:r>
    </w:p>
    <w:tbl>
      <w:tblPr>
        <w:tblStyle w:val="TableGrid"/>
        <w:tblW w:type="dxa" w:w="9360"/>
        <w:jc w:val="left"/>
        <w:tblLayout w:type="fixed"/>
        <w:tblLook w:firstColumn="1" w:firstRow="1" w:lastColumn="0" w:lastRow="0" w:noHBand="0" w:noVBand="1" w:val="04A0"/>
        <w:tblInd w:w="120" w:type="dxa"/>
      </w:tblPr>
      <w:tblGrid>
        <w:gridCol w:w="1100"/>
        <w:gridCol w:w="1100"/>
        <w:gridCol w:w="2400"/>
        <w:gridCol w:w="1900"/>
        <w:gridCol w:w="2860"/>
      </w:tblGrid>
      <w:tr>
        <w:trPr>
          <w:tblHeader w:val="true"/>
        </w:trPr>
        <w:tc>
          <w:tcPr>
            <w:tcW w:type="dxa" w:w="11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类型</w:t>
            </w:r>
          </w:p>
        </w:tc>
        <w:tc>
          <w:tcPr>
            <w:tcW w:type="dxa" w:w="11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国家/地区</w:t>
            </w:r>
          </w:p>
        </w:tc>
        <w:tc>
          <w:tcPr>
            <w:tcW w:type="dxa" w:w="24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运营方</w:t>
            </w:r>
          </w:p>
        </w:tc>
        <w:tc>
          <w:tcPr>
            <w:tcW w:type="dxa" w:w="19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状态</w:t>
            </w:r>
          </w:p>
        </w:tc>
        <w:tc>
          <w:tcPr>
            <w:tcW w:type="dxa" w:w="286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覆盖任务</w:t>
            </w:r>
          </w:p>
        </w:tc>
      </w:tr>
      <w:tr>
        <w:trPr>
          <w:cantSplit/>
        </w:trPr>
        <w:tc>
          <w:tcPr>
            <w:tcW w:type="dxa" w:w="1100"/>
          </w:tcPr>
          <w:p>
            <w:pPr>
              <w:keepLines/>
              <w:spacing w:after="0" w:line="276" w:lineRule="auto"/>
            </w:pPr>
            <w:r>
              <w:rPr>
                <w:rFonts w:ascii="Calibri" w:hAnsi="Calibri" w:eastAsia="Microsoft YaHei"/>
                <w:color w:val="0B2545"/>
                <w:sz w:val="15"/>
              </w:rPr>
              <w:t>中型先进托卡马克</w:t>
            </w:r>
          </w:p>
        </w:tc>
        <w:tc>
          <w:tcPr>
            <w:tcW w:type="dxa" w:w="1100"/>
          </w:tcPr>
          <w:p>
            <w:pPr>
              <w:keepLines/>
              <w:spacing w:after="0" w:line="276" w:lineRule="auto"/>
            </w:pPr>
            <w:r>
              <w:rPr>
                <w:rFonts w:ascii="Calibri" w:hAnsi="Calibri" w:eastAsia="Microsoft YaHei"/>
                <w:color w:val="0B2545"/>
                <w:sz w:val="15"/>
              </w:rPr>
              <w:t>德国</w:t>
            </w:r>
          </w:p>
        </w:tc>
        <w:tc>
          <w:tcPr>
            <w:tcW w:type="dxa" w:w="2400"/>
          </w:tcPr>
          <w:p>
            <w:pPr>
              <w:keepLines/>
              <w:spacing w:after="0" w:line="276" w:lineRule="auto"/>
            </w:pPr>
            <w:r>
              <w:rPr>
                <w:rFonts w:ascii="Calibri" w:hAnsi="Calibri" w:eastAsia="Microsoft YaHei"/>
                <w:color w:val="0B2545"/>
                <w:sz w:val="15"/>
              </w:rPr>
              <w:t>Max Planck Institute for Plasma Physics</w:t>
            </w:r>
          </w:p>
        </w:tc>
        <w:tc>
          <w:tcPr>
            <w:tcW w:type="dxa" w:w="1900"/>
          </w:tcPr>
          <w:p>
            <w:pPr>
              <w:keepLines/>
              <w:spacing w:after="0" w:line="276" w:lineRule="auto"/>
            </w:pPr>
            <w:r>
              <w:rPr>
                <w:rFonts w:ascii="Calibri" w:hAnsi="Calibri" w:eastAsia="Microsoft YaHei"/>
                <w:color w:val="0B2545"/>
                <w:sz w:val="15"/>
              </w:rPr>
              <w:t>运行中的研究装置</w:t>
            </w:r>
          </w:p>
        </w:tc>
        <w:tc>
          <w:tcPr>
            <w:tcW w:type="dxa" w:w="2860"/>
          </w:tcPr>
          <w:p>
            <w:pPr>
              <w:keepLines/>
              <w:spacing w:after="0" w:line="276" w:lineRule="auto"/>
            </w:pPr>
            <w:r>
              <w:rPr>
                <w:rFonts w:ascii="Calibri" w:hAnsi="Calibri" w:eastAsia="Microsoft YaHei"/>
                <w:color w:val="0B2545"/>
                <w:sz w:val="15"/>
              </w:rPr>
              <w:t>DG0；DG1；DG2；DG3；DG4；DG5；DG6；DG7；DG10；DG11</w:t>
            </w:r>
          </w:p>
        </w:tc>
      </w:tr>
    </w:tbl>
    <w:p>
      <w:pPr>
        <w:spacing w:before="0" w:after="60"/>
      </w:pPr>
    </w:p>
    <w:p>
      <w:pPr>
        <w:widowControl/>
      </w:pPr>
      <w:r>
        <w:rPr>
          <w:rFonts w:ascii="Calibri" w:hAnsi="Calibri" w:eastAsia="Microsoft YaHei"/>
          <w:b/>
          <w:color w:val="1F4D78"/>
        </w:rPr>
        <w:t>诊断概况：</w:t>
      </w:r>
      <w:r>
        <w:rPr>
          <w:rFonts w:ascii="Calibri" w:hAnsi="Calibri" w:eastAsia="Microsoft YaHei"/>
        </w:rPr>
        <w:t>AUG 的约七十类诊断与约一百五十个 DAQ 系统构成高度模块化生态，其中约二十套实时诊断向 DCS 提供输入。电子/离子剖面、辐射/杂质、快离子、MHD、边界与钨壁热状态均有成熟测量，shotfile、Diagnostic Control Center 与实时信号通信是其诊断数字线程特色。</w:t>
      </w:r>
    </w:p>
    <w:p>
      <w:pPr>
        <w:widowControl/>
      </w:pPr>
      <w:r>
        <w:rPr>
          <w:rFonts w:ascii="Calibri" w:hAnsi="Calibri" w:eastAsia="Microsoft YaHei"/>
          <w:b/>
          <w:color w:val="1F4D78"/>
        </w:rPr>
        <w:t>主要系统：</w:t>
      </w:r>
      <w:r>
        <w:rPr>
          <w:rFonts w:ascii="Calibri" w:hAnsi="Calibri" w:eastAsia="Microsoft YaHei"/>
        </w:rPr>
        <w:t>family: real-time-profiles；systems: ECE；Thomson；CXRS；interferometry；magnetic/equilibrium diagnostics；measuredQuantities: Te/ne/Ti/rotation；equilibrium；MHD；evidence: E4/D4；realTimeUse: 约 20 套实时诊断连接 DCS；family: radiation-fast-ion-edge；systems: SXR；bolometer；spectroscopy；CTS；FIDA/INPA；IR thermography；divertor Thomson/Langmuir；measuredQuantities: radiation/impurity；fast ions；edge/heat load；evidence: E2-E4/D2-D4，系统差异大；realTimeUse: 部分系统实时，部分离线；family: daq-data；systems: autonomous DAQ；Diagnostic Control Center；shotfile archive；universal time/timestamping；measuredQuantities: raw/processed signals and configuration；evidence: E4/D4；realTimeUse: 集中管理、分布执行</w:t>
      </w:r>
    </w:p>
    <w:p>
      <w:pPr>
        <w:widowControl/>
      </w:pPr>
      <w:r>
        <w:rPr>
          <w:rFonts w:ascii="Calibri" w:hAnsi="Calibri" w:eastAsia="Microsoft YaHei"/>
          <w:b/>
          <w:color w:val="1F4D78"/>
        </w:rPr>
        <w:t>测量/传感：</w:t>
      </w:r>
      <w:r>
        <w:rPr>
          <w:rFonts w:ascii="Calibri" w:hAnsi="Calibri" w:eastAsia="Microsoft YaHei"/>
        </w:rPr>
        <w:t>magnetics；ECE/reflectometry receivers；Thomson/CXRS optics；SXR/bolometers；CTS/FIDA detectors；IR/visible cameras；edge probes</w:t>
      </w:r>
    </w:p>
    <w:p>
      <w:pPr>
        <w:widowControl/>
      </w:pPr>
      <w:r>
        <w:rPr>
          <w:rFonts w:ascii="Calibri" w:hAnsi="Calibri" w:eastAsia="Microsoft YaHei"/>
          <w:b/>
          <w:color w:val="1F4D78"/>
        </w:rPr>
        <w:t>实时与 PCS 接口：</w:t>
      </w:r>
      <w:r>
        <w:rPr>
          <w:rFonts w:ascii="Calibri" w:hAnsi="Calibri" w:eastAsia="Microsoft YaHei"/>
        </w:rPr>
        <w:t>DCS signal network；real-time diagnostic clusters；DCC configuration and shotfile provenance</w:t>
      </w:r>
    </w:p>
    <w:p>
      <w:pPr>
        <w:widowControl/>
      </w:pPr>
      <w:r>
        <w:rPr>
          <w:rFonts w:ascii="Calibri" w:hAnsi="Calibri" w:eastAsia="Microsoft YaHei"/>
          <w:b/>
          <w:color w:val="1F4D78"/>
        </w:rPr>
        <w:t>数据平台：</w:t>
      </w:r>
      <w:r>
        <w:rPr>
          <w:rFonts w:ascii="Calibri" w:hAnsi="Calibri" w:eastAsia="Microsoft YaHei"/>
        </w:rPr>
        <w:t>systems: AUG shotfile system；DCC；distributed DAQ/archive；access: 装置合作权限；数据格式/架构论文公开；evidence: AUG DAQ and rtDiag primary papers</w:t>
      </w:r>
    </w:p>
    <w:p>
      <w:pPr>
        <w:widowControl/>
      </w:pPr>
      <w:r>
        <w:rPr>
          <w:rFonts w:ascii="Calibri" w:hAnsi="Calibri" w:eastAsia="Microsoft YaHei"/>
          <w:b/>
          <w:color w:val="1F4D78"/>
        </w:rPr>
        <w:t>代表工作概述：</w:t>
      </w:r>
      <w:r>
        <w:rPr>
          <w:rFonts w:ascii="Calibri" w:hAnsi="Calibri" w:eastAsia="Microsoft YaHei"/>
        </w:rPr>
        <w:t>约 20 套 rtDiags 与 DCS 低时延链路；ECE/Thomson/CXRS/Li-beam/干涉剖面；SXR/bolometer/光谱和钨杂质诊断；CTS/FIDA/INPA 等快离子诊断；shotfile + DCC 的集中配置和档案</w:t>
      </w:r>
    </w:p>
    <w:p>
      <w:pPr>
        <w:widowControl/>
      </w:pPr>
      <w:r>
        <w:rPr>
          <w:rFonts w:ascii="Calibri" w:hAnsi="Calibri" w:eastAsia="Microsoft YaHei"/>
          <w:b/>
          <w:color w:val="1F4D78"/>
        </w:rPr>
        <w:t>证据边界：</w:t>
      </w:r>
      <w:r>
        <w:rPr>
          <w:rFonts w:ascii="Calibri" w:hAnsi="Calibri" w:eastAsia="Microsoft YaHei"/>
        </w:rPr>
        <w:t>多年代异构硬件与 Solaris/Linux/专用卡造成维护负担；shotfile/诊断程序接口并非跨装置标准；实时信号可用不等于全链路 UQ 和故障容错已统一</w:t>
      </w:r>
    </w:p>
    <w:tbl>
      <w:tblPr>
        <w:tblStyle w:val="TableGrid"/>
        <w:tblW w:type="dxa" w:w="9360"/>
        <w:jc w:val="left"/>
        <w:tblLayout w:type="fixed"/>
        <w:tblLook w:firstColumn="1" w:firstRow="1" w:lastColumn="0" w:lastRow="0" w:noHBand="0" w:noVBand="1" w:val="04A0"/>
        <w:tblInd w:w="120" w:type="dxa"/>
      </w:tblPr>
      <w:tblGrid>
        <w:gridCol w:w="1200"/>
        <w:gridCol w:w="750"/>
        <w:gridCol w:w="5300"/>
        <w:gridCol w:w="950"/>
        <w:gridCol w:w="1160"/>
      </w:tblGrid>
      <w:tr>
        <w:trPr>
          <w:tblHeader w:val="true"/>
        </w:trPr>
        <w:tc>
          <w:tcPr>
            <w:tcW w:type="dxa" w:w="12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工作 ID</w:t>
            </w:r>
          </w:p>
        </w:tc>
        <w:tc>
          <w:tcPr>
            <w:tcW w:type="dxa" w:w="7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任务</w:t>
            </w:r>
          </w:p>
        </w:tc>
        <w:tc>
          <w:tcPr>
            <w:tcW w:type="dxa" w:w="53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代表工作</w:t>
            </w:r>
          </w:p>
        </w:tc>
        <w:tc>
          <w:tcPr>
            <w:tcW w:type="dxa" w:w="9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证据</w:t>
            </w:r>
          </w:p>
        </w:tc>
        <w:tc>
          <w:tcPr>
            <w:tcW w:type="dxa" w:w="116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部署</w:t>
            </w:r>
          </w:p>
        </w:tc>
      </w:tr>
      <w:tr>
        <w:trPr>
          <w:cantSplit/>
        </w:trPr>
        <w:tc>
          <w:tcPr>
            <w:tcW w:type="dxa" w:w="1200"/>
          </w:tcPr>
          <w:p>
            <w:pPr>
              <w:keepLines/>
              <w:spacing w:after="0" w:line="276" w:lineRule="auto"/>
            </w:pPr>
            <w:r>
              <w:rPr>
                <w:rFonts w:ascii="Calibri" w:hAnsi="Calibri" w:eastAsia="Microsoft YaHei"/>
                <w:color w:val="0B2545"/>
                <w:sz w:val="15"/>
              </w:rPr>
              <w:t>DG4-017</w:t>
            </w:r>
          </w:p>
        </w:tc>
        <w:tc>
          <w:tcPr>
            <w:tcW w:type="dxa" w:w="750"/>
          </w:tcPr>
          <w:p>
            <w:pPr>
              <w:keepLines/>
              <w:spacing w:after="0" w:line="276" w:lineRule="auto"/>
            </w:pPr>
            <w:r>
              <w:rPr>
                <w:rFonts w:ascii="Calibri" w:hAnsi="Calibri" w:eastAsia="Microsoft YaHei"/>
                <w:color w:val="0B2545"/>
                <w:sz w:val="15"/>
              </w:rPr>
              <w:t>DG4</w:t>
            </w:r>
          </w:p>
        </w:tc>
        <w:tc>
          <w:tcPr>
            <w:tcW w:type="dxa" w:w="5300"/>
          </w:tcPr>
          <w:p>
            <w:pPr>
              <w:keepLines/>
              <w:spacing w:after="0" w:line="276" w:lineRule="auto"/>
            </w:pPr>
            <w:r>
              <w:rPr>
                <w:rFonts w:ascii="Calibri" w:hAnsi="Calibri" w:eastAsia="Microsoft YaHei"/>
                <w:color w:val="0B2545"/>
                <w:sz w:val="15"/>
              </w:rPr>
              <w:t>软X射线阵列与快速层析</w:t>
            </w:r>
          </w:p>
        </w:tc>
        <w:tc>
          <w:tcPr>
            <w:tcW w:type="dxa" w:w="950"/>
          </w:tcPr>
          <w:p>
            <w:pPr>
              <w:keepLines/>
              <w:spacing w:after="0" w:line="276" w:lineRule="auto"/>
            </w:pPr>
            <w:r>
              <w:rPr>
                <w:rFonts w:ascii="Calibri" w:hAnsi="Calibri" w:eastAsia="Microsoft YaHei"/>
                <w:color w:val="0B2545"/>
                <w:sz w:val="15"/>
              </w:rPr>
              <w:t>E4</w:t>
            </w:r>
          </w:p>
        </w:tc>
        <w:tc>
          <w:tcPr>
            <w:tcW w:type="dxa" w:w="1160"/>
          </w:tcPr>
          <w:p>
            <w:pPr>
              <w:keepLines/>
              <w:spacing w:after="0" w:line="276" w:lineRule="auto"/>
            </w:pPr>
            <w:r>
              <w:rPr>
                <w:rFonts w:ascii="Calibri" w:hAnsi="Calibri" w:eastAsia="Microsoft YaHei"/>
                <w:color w:val="0B2545"/>
                <w:sz w:val="15"/>
              </w:rPr>
              <w:t>D4</w:t>
            </w:r>
          </w:p>
        </w:tc>
      </w:tr>
      <w:tr>
        <w:trPr>
          <w:cantSplit/>
        </w:trPr>
        <w:tc>
          <w:tcPr>
            <w:tcW w:type="dxa" w:w="1200"/>
          </w:tcPr>
          <w:p>
            <w:pPr>
              <w:keepLines/>
              <w:spacing w:after="0" w:line="276" w:lineRule="auto"/>
            </w:pPr>
            <w:r>
              <w:rPr>
                <w:rFonts w:ascii="Calibri" w:hAnsi="Calibri" w:eastAsia="Microsoft YaHei"/>
                <w:color w:val="0B2545"/>
                <w:sz w:val="15"/>
              </w:rPr>
              <w:t>DG5-026</w:t>
            </w:r>
          </w:p>
        </w:tc>
        <w:tc>
          <w:tcPr>
            <w:tcW w:type="dxa" w:w="750"/>
          </w:tcPr>
          <w:p>
            <w:pPr>
              <w:keepLines/>
              <w:spacing w:after="0" w:line="276" w:lineRule="auto"/>
            </w:pPr>
            <w:r>
              <w:rPr>
                <w:rFonts w:ascii="Calibri" w:hAnsi="Calibri" w:eastAsia="Microsoft YaHei"/>
                <w:color w:val="0B2545"/>
                <w:sz w:val="15"/>
              </w:rPr>
              <w:t>DG5</w:t>
            </w:r>
          </w:p>
        </w:tc>
        <w:tc>
          <w:tcPr>
            <w:tcW w:type="dxa" w:w="5300"/>
          </w:tcPr>
          <w:p>
            <w:pPr>
              <w:keepLines/>
              <w:spacing w:after="0" w:line="276" w:lineRule="auto"/>
            </w:pPr>
            <w:r>
              <w:rPr>
                <w:rFonts w:ascii="Calibri" w:hAnsi="Calibri" w:eastAsia="Microsoft YaHei"/>
                <w:color w:val="0B2545"/>
                <w:sz w:val="15"/>
              </w:rPr>
              <w:t>FIDA与成像FIDA：快离子相空间</w:t>
            </w:r>
          </w:p>
        </w:tc>
        <w:tc>
          <w:tcPr>
            <w:tcW w:type="dxa" w:w="950"/>
          </w:tcPr>
          <w:p>
            <w:pPr>
              <w:keepLines/>
              <w:spacing w:after="0" w:line="276" w:lineRule="auto"/>
            </w:pPr>
            <w:r>
              <w:rPr>
                <w:rFonts w:ascii="Calibri" w:hAnsi="Calibri" w:eastAsia="Microsoft YaHei"/>
                <w:color w:val="0B2545"/>
                <w:sz w:val="15"/>
              </w:rPr>
              <w:t>E4</w:t>
            </w:r>
          </w:p>
        </w:tc>
        <w:tc>
          <w:tcPr>
            <w:tcW w:type="dxa" w:w="1160"/>
          </w:tcPr>
          <w:p>
            <w:pPr>
              <w:keepLines/>
              <w:spacing w:after="0" w:line="276" w:lineRule="auto"/>
            </w:pPr>
            <w:r>
              <w:rPr>
                <w:rFonts w:ascii="Calibri" w:hAnsi="Calibri" w:eastAsia="Microsoft YaHei"/>
                <w:color w:val="0B2545"/>
                <w:sz w:val="15"/>
              </w:rPr>
              <w:t>D4</w:t>
            </w:r>
          </w:p>
        </w:tc>
      </w:tr>
      <w:tr>
        <w:trPr>
          <w:cantSplit/>
        </w:trPr>
        <w:tc>
          <w:tcPr>
            <w:tcW w:type="dxa" w:w="1200"/>
          </w:tcPr>
          <w:p>
            <w:pPr>
              <w:keepLines/>
              <w:spacing w:after="0" w:line="276" w:lineRule="auto"/>
            </w:pPr>
            <w:r>
              <w:rPr>
                <w:rFonts w:ascii="Calibri" w:hAnsi="Calibri" w:eastAsia="Microsoft YaHei"/>
                <w:color w:val="0B2545"/>
                <w:sz w:val="15"/>
              </w:rPr>
              <w:t>DG5-028</w:t>
            </w:r>
          </w:p>
        </w:tc>
        <w:tc>
          <w:tcPr>
            <w:tcW w:type="dxa" w:w="750"/>
          </w:tcPr>
          <w:p>
            <w:pPr>
              <w:keepLines/>
              <w:spacing w:after="0" w:line="276" w:lineRule="auto"/>
            </w:pPr>
            <w:r>
              <w:rPr>
                <w:rFonts w:ascii="Calibri" w:hAnsi="Calibri" w:eastAsia="Microsoft YaHei"/>
                <w:color w:val="0B2545"/>
                <w:sz w:val="15"/>
              </w:rPr>
              <w:t>DG5</w:t>
            </w:r>
          </w:p>
        </w:tc>
        <w:tc>
          <w:tcPr>
            <w:tcW w:type="dxa" w:w="5300"/>
          </w:tcPr>
          <w:p>
            <w:pPr>
              <w:keepLines/>
              <w:spacing w:after="0" w:line="276" w:lineRule="auto"/>
            </w:pPr>
            <w:r>
              <w:rPr>
                <w:rFonts w:ascii="Calibri" w:hAnsi="Calibri" w:eastAsia="Microsoft YaHei"/>
                <w:color w:val="0B2545"/>
                <w:sz w:val="15"/>
              </w:rPr>
              <w:t>快离子损失探测器：轨道损失与MHD再分布</w:t>
            </w:r>
          </w:p>
        </w:tc>
        <w:tc>
          <w:tcPr>
            <w:tcW w:type="dxa" w:w="950"/>
          </w:tcPr>
          <w:p>
            <w:pPr>
              <w:keepLines/>
              <w:spacing w:after="0" w:line="276" w:lineRule="auto"/>
            </w:pPr>
            <w:r>
              <w:rPr>
                <w:rFonts w:ascii="Calibri" w:hAnsi="Calibri" w:eastAsia="Microsoft YaHei"/>
                <w:color w:val="0B2545"/>
                <w:sz w:val="15"/>
              </w:rPr>
              <w:t>E4</w:t>
            </w:r>
          </w:p>
        </w:tc>
        <w:tc>
          <w:tcPr>
            <w:tcW w:type="dxa" w:w="1160"/>
          </w:tcPr>
          <w:p>
            <w:pPr>
              <w:keepLines/>
              <w:spacing w:after="0" w:line="276" w:lineRule="auto"/>
            </w:pPr>
            <w:r>
              <w:rPr>
                <w:rFonts w:ascii="Calibri" w:hAnsi="Calibri" w:eastAsia="Microsoft YaHei"/>
                <w:color w:val="0B2545"/>
                <w:sz w:val="15"/>
              </w:rPr>
              <w:t>D4</w:t>
            </w:r>
          </w:p>
        </w:tc>
      </w:tr>
      <w:tr>
        <w:trPr>
          <w:cantSplit/>
        </w:trPr>
        <w:tc>
          <w:tcPr>
            <w:tcW w:type="dxa" w:w="1200"/>
          </w:tcPr>
          <w:p>
            <w:pPr>
              <w:keepLines/>
              <w:spacing w:after="0" w:line="276" w:lineRule="auto"/>
            </w:pPr>
            <w:r>
              <w:rPr>
                <w:rFonts w:ascii="Calibri" w:hAnsi="Calibri" w:eastAsia="Microsoft YaHei"/>
                <w:color w:val="0B2545"/>
                <w:sz w:val="15"/>
              </w:rPr>
              <w:t>DG6-032</w:t>
            </w:r>
          </w:p>
        </w:tc>
        <w:tc>
          <w:tcPr>
            <w:tcW w:type="dxa" w:w="750"/>
          </w:tcPr>
          <w:p>
            <w:pPr>
              <w:keepLines/>
              <w:spacing w:after="0" w:line="276" w:lineRule="auto"/>
            </w:pPr>
            <w:r>
              <w:rPr>
                <w:rFonts w:ascii="Calibri" w:hAnsi="Calibri" w:eastAsia="Microsoft YaHei"/>
                <w:color w:val="0B2545"/>
                <w:sz w:val="15"/>
              </w:rPr>
              <w:t>DG6</w:t>
            </w:r>
          </w:p>
        </w:tc>
        <w:tc>
          <w:tcPr>
            <w:tcW w:type="dxa" w:w="5300"/>
          </w:tcPr>
          <w:p>
            <w:pPr>
              <w:keepLines/>
              <w:spacing w:after="0" w:line="276" w:lineRule="auto"/>
            </w:pPr>
            <w:r>
              <w:rPr>
                <w:rFonts w:ascii="Calibri" w:hAnsi="Calibri" w:eastAsia="Microsoft YaHei"/>
                <w:color w:val="0B2545"/>
                <w:sz w:val="15"/>
              </w:rPr>
              <w:t>多普勒反射与相关反射：湍流和E×B速度</w:t>
            </w:r>
          </w:p>
        </w:tc>
        <w:tc>
          <w:tcPr>
            <w:tcW w:type="dxa" w:w="950"/>
          </w:tcPr>
          <w:p>
            <w:pPr>
              <w:keepLines/>
              <w:spacing w:after="0" w:line="276" w:lineRule="auto"/>
            </w:pPr>
            <w:r>
              <w:rPr>
                <w:rFonts w:ascii="Calibri" w:hAnsi="Calibri" w:eastAsia="Microsoft YaHei"/>
                <w:color w:val="0B2545"/>
                <w:sz w:val="15"/>
              </w:rPr>
              <w:t>E4</w:t>
            </w:r>
          </w:p>
        </w:tc>
        <w:tc>
          <w:tcPr>
            <w:tcW w:type="dxa" w:w="1160"/>
          </w:tcPr>
          <w:p>
            <w:pPr>
              <w:keepLines/>
              <w:spacing w:after="0" w:line="276" w:lineRule="auto"/>
            </w:pPr>
            <w:r>
              <w:rPr>
                <w:rFonts w:ascii="Calibri" w:hAnsi="Calibri" w:eastAsia="Microsoft YaHei"/>
                <w:color w:val="0B2545"/>
                <w:sz w:val="15"/>
              </w:rPr>
              <w:t>D4</w:t>
            </w:r>
          </w:p>
        </w:tc>
      </w:tr>
      <w:tr>
        <w:trPr>
          <w:cantSplit/>
        </w:trPr>
        <w:tc>
          <w:tcPr>
            <w:tcW w:type="dxa" w:w="1200"/>
          </w:tcPr>
          <w:p>
            <w:pPr>
              <w:keepLines/>
              <w:spacing w:after="0" w:line="276" w:lineRule="auto"/>
            </w:pPr>
            <w:r>
              <w:rPr>
                <w:rFonts w:ascii="Calibri" w:hAnsi="Calibri" w:eastAsia="Microsoft YaHei"/>
                <w:color w:val="0B2545"/>
                <w:sz w:val="15"/>
              </w:rPr>
              <w:t>DG7-036</w:t>
            </w:r>
          </w:p>
        </w:tc>
        <w:tc>
          <w:tcPr>
            <w:tcW w:type="dxa" w:w="750"/>
          </w:tcPr>
          <w:p>
            <w:pPr>
              <w:keepLines/>
              <w:spacing w:after="0" w:line="276" w:lineRule="auto"/>
            </w:pPr>
            <w:r>
              <w:rPr>
                <w:rFonts w:ascii="Calibri" w:hAnsi="Calibri" w:eastAsia="Microsoft YaHei"/>
                <w:color w:val="0B2545"/>
                <w:sz w:val="15"/>
              </w:rPr>
              <w:t>DG7</w:t>
            </w:r>
          </w:p>
        </w:tc>
        <w:tc>
          <w:tcPr>
            <w:tcW w:type="dxa" w:w="5300"/>
          </w:tcPr>
          <w:p>
            <w:pPr>
              <w:keepLines/>
              <w:spacing w:after="0" w:line="276" w:lineRule="auto"/>
            </w:pPr>
            <w:r>
              <w:rPr>
                <w:rFonts w:ascii="Calibri" w:hAnsi="Calibri" w:eastAsia="Microsoft YaHei"/>
                <w:color w:val="0B2545"/>
                <w:sz w:val="15"/>
              </w:rPr>
              <w:t>固定/往复式朗缪尔探针：SOL与偏滤器局部参数</w:t>
            </w:r>
          </w:p>
        </w:tc>
        <w:tc>
          <w:tcPr>
            <w:tcW w:type="dxa" w:w="950"/>
          </w:tcPr>
          <w:p>
            <w:pPr>
              <w:keepLines/>
              <w:spacing w:after="0" w:line="276" w:lineRule="auto"/>
            </w:pPr>
            <w:r>
              <w:rPr>
                <w:rFonts w:ascii="Calibri" w:hAnsi="Calibri" w:eastAsia="Microsoft YaHei"/>
                <w:color w:val="0B2545"/>
                <w:sz w:val="15"/>
              </w:rPr>
              <w:t>E4</w:t>
            </w:r>
          </w:p>
        </w:tc>
        <w:tc>
          <w:tcPr>
            <w:tcW w:type="dxa" w:w="1160"/>
          </w:tcPr>
          <w:p>
            <w:pPr>
              <w:keepLines/>
              <w:spacing w:after="0" w:line="276" w:lineRule="auto"/>
            </w:pPr>
            <w:r>
              <w:rPr>
                <w:rFonts w:ascii="Calibri" w:hAnsi="Calibri" w:eastAsia="Microsoft YaHei"/>
                <w:color w:val="0B2545"/>
                <w:sz w:val="15"/>
              </w:rPr>
              <w:t>D4</w:t>
            </w:r>
          </w:p>
        </w:tc>
      </w:tr>
      <w:tr>
        <w:trPr>
          <w:cantSplit/>
        </w:trPr>
        <w:tc>
          <w:tcPr>
            <w:tcW w:type="dxa" w:w="1200"/>
          </w:tcPr>
          <w:p>
            <w:pPr>
              <w:keepLines/>
              <w:spacing w:after="0" w:line="276" w:lineRule="auto"/>
            </w:pPr>
            <w:r>
              <w:rPr>
                <w:rFonts w:ascii="Calibri" w:hAnsi="Calibri" w:eastAsia="Microsoft YaHei"/>
                <w:color w:val="0B2545"/>
                <w:sz w:val="15"/>
              </w:rPr>
              <w:t>DSI-001</w:t>
            </w:r>
          </w:p>
        </w:tc>
        <w:tc>
          <w:tcPr>
            <w:tcW w:type="dxa" w:w="750"/>
          </w:tcPr>
          <w:p>
            <w:pPr>
              <w:keepLines/>
              <w:spacing w:after="0" w:line="276" w:lineRule="auto"/>
            </w:pPr>
            <w:r>
              <w:rPr>
                <w:rFonts w:ascii="Calibri" w:hAnsi="Calibri" w:eastAsia="Microsoft YaHei"/>
                <w:color w:val="0B2545"/>
                <w:sz w:val="15"/>
              </w:rPr>
              <w:t>DG0</w:t>
            </w:r>
          </w:p>
        </w:tc>
        <w:tc>
          <w:tcPr>
            <w:tcW w:type="dxa" w:w="5300"/>
          </w:tcPr>
          <w:p>
            <w:pPr>
              <w:keepLines/>
              <w:spacing w:after="0" w:line="276" w:lineRule="auto"/>
            </w:pPr>
            <w:r>
              <w:rPr>
                <w:rFonts w:ascii="Calibri" w:hAnsi="Calibri" w:eastAsia="Microsoft YaHei"/>
                <w:color w:val="0B2545"/>
                <w:sz w:val="15"/>
              </w:rPr>
              <w:t>IMAS 接口数据结构与数据字典</w:t>
            </w:r>
          </w:p>
        </w:tc>
        <w:tc>
          <w:tcPr>
            <w:tcW w:type="dxa" w:w="950"/>
          </w:tcPr>
          <w:p>
            <w:pPr>
              <w:keepLines/>
              <w:spacing w:after="0" w:line="276" w:lineRule="auto"/>
            </w:pPr>
            <w:r>
              <w:rPr>
                <w:rFonts w:ascii="Calibri" w:hAnsi="Calibri" w:eastAsia="Microsoft YaHei"/>
                <w:color w:val="0B2545"/>
                <w:sz w:val="15"/>
              </w:rPr>
              <w:t>E3</w:t>
            </w:r>
          </w:p>
        </w:tc>
        <w:tc>
          <w:tcPr>
            <w:tcW w:type="dxa" w:w="1160"/>
          </w:tcPr>
          <w:p>
            <w:pPr>
              <w:keepLines/>
              <w:spacing w:after="0" w:line="276" w:lineRule="auto"/>
            </w:pPr>
            <w:r>
              <w:rPr>
                <w:rFonts w:ascii="Calibri" w:hAnsi="Calibri" w:eastAsia="Microsoft YaHei"/>
                <w:color w:val="0B2545"/>
                <w:sz w:val="15"/>
              </w:rPr>
              <w:t>D3</w:t>
            </w:r>
          </w:p>
        </w:tc>
      </w:tr>
      <w:tr>
        <w:trPr>
          <w:cantSplit/>
        </w:trPr>
        <w:tc>
          <w:tcPr>
            <w:tcW w:type="dxa" w:w="1200"/>
          </w:tcPr>
          <w:p>
            <w:pPr>
              <w:keepLines/>
              <w:spacing w:after="0" w:line="276" w:lineRule="auto"/>
            </w:pPr>
            <w:r>
              <w:rPr>
                <w:rFonts w:ascii="Calibri" w:hAnsi="Calibri" w:eastAsia="Microsoft YaHei"/>
                <w:color w:val="0B2545"/>
                <w:sz w:val="15"/>
              </w:rPr>
              <w:t>DSI-011</w:t>
            </w:r>
          </w:p>
        </w:tc>
        <w:tc>
          <w:tcPr>
            <w:tcW w:type="dxa" w:w="750"/>
          </w:tcPr>
          <w:p>
            <w:pPr>
              <w:keepLines/>
              <w:spacing w:after="0" w:line="276" w:lineRule="auto"/>
            </w:pPr>
            <w:r>
              <w:rPr>
                <w:rFonts w:ascii="Calibri" w:hAnsi="Calibri" w:eastAsia="Microsoft YaHei"/>
                <w:color w:val="0B2545"/>
                <w:sz w:val="15"/>
              </w:rPr>
              <w:t>DG9</w:t>
            </w:r>
          </w:p>
        </w:tc>
        <w:tc>
          <w:tcPr>
            <w:tcW w:type="dxa" w:w="5300"/>
          </w:tcPr>
          <w:p>
            <w:pPr>
              <w:keepLines/>
              <w:spacing w:after="0" w:line="276" w:lineRule="auto"/>
            </w:pPr>
            <w:r>
              <w:rPr>
                <w:rFonts w:ascii="Calibri" w:hAnsi="Calibri" w:eastAsia="Microsoft YaHei"/>
                <w:color w:val="0B2545"/>
                <w:sz w:val="15"/>
              </w:rPr>
              <w:t>FIDASIM 快离子 Dα 与中性粒子分析器合成诊断</w:t>
            </w:r>
          </w:p>
        </w:tc>
        <w:tc>
          <w:tcPr>
            <w:tcW w:type="dxa" w:w="950"/>
          </w:tcPr>
          <w:p>
            <w:pPr>
              <w:keepLines/>
              <w:spacing w:after="0" w:line="276" w:lineRule="auto"/>
            </w:pPr>
            <w:r>
              <w:rPr>
                <w:rFonts w:ascii="Calibri" w:hAnsi="Calibri" w:eastAsia="Microsoft YaHei"/>
                <w:color w:val="0B2545"/>
                <w:sz w:val="15"/>
              </w:rPr>
              <w:t>E3</w:t>
            </w:r>
          </w:p>
        </w:tc>
        <w:tc>
          <w:tcPr>
            <w:tcW w:type="dxa" w:w="1160"/>
          </w:tcPr>
          <w:p>
            <w:pPr>
              <w:keepLines/>
              <w:spacing w:after="0" w:line="276" w:lineRule="auto"/>
            </w:pPr>
            <w:r>
              <w:rPr>
                <w:rFonts w:ascii="Calibri" w:hAnsi="Calibri" w:eastAsia="Microsoft YaHei"/>
                <w:color w:val="0B2545"/>
                <w:sz w:val="15"/>
              </w:rPr>
              <w:t>D3</w:t>
            </w:r>
          </w:p>
        </w:tc>
      </w:tr>
      <w:tr>
        <w:trPr>
          <w:cantSplit/>
        </w:trPr>
        <w:tc>
          <w:tcPr>
            <w:tcW w:type="dxa" w:w="1200"/>
          </w:tcPr>
          <w:p>
            <w:pPr>
              <w:keepLines/>
              <w:spacing w:after="0" w:line="276" w:lineRule="auto"/>
            </w:pPr>
            <w:r>
              <w:rPr>
                <w:rFonts w:ascii="Calibri" w:hAnsi="Calibri" w:eastAsia="Microsoft YaHei"/>
                <w:color w:val="0B2545"/>
                <w:sz w:val="15"/>
              </w:rPr>
              <w:t>DSI-024</w:t>
            </w:r>
          </w:p>
        </w:tc>
        <w:tc>
          <w:tcPr>
            <w:tcW w:type="dxa" w:w="750"/>
          </w:tcPr>
          <w:p>
            <w:pPr>
              <w:keepLines/>
              <w:spacing w:after="0" w:line="276" w:lineRule="auto"/>
            </w:pPr>
            <w:r>
              <w:rPr>
                <w:rFonts w:ascii="Calibri" w:hAnsi="Calibri" w:eastAsia="Microsoft YaHei"/>
                <w:color w:val="0B2545"/>
                <w:sz w:val="15"/>
              </w:rPr>
              <w:t>DG10</w:t>
            </w:r>
          </w:p>
        </w:tc>
        <w:tc>
          <w:tcPr>
            <w:tcW w:type="dxa" w:w="5300"/>
          </w:tcPr>
          <w:p>
            <w:pPr>
              <w:keepLines/>
              <w:spacing w:after="0" w:line="276" w:lineRule="auto"/>
            </w:pPr>
            <w:r>
              <w:rPr>
                <w:rFonts w:ascii="Calibri" w:hAnsi="Calibri" w:eastAsia="Microsoft YaHei"/>
                <w:color w:val="0B2545"/>
                <w:sz w:val="15"/>
              </w:rPr>
              <w:t>ASDEX Upgrade 电子温度—密度集成数据分析</w:t>
            </w:r>
          </w:p>
        </w:tc>
        <w:tc>
          <w:tcPr>
            <w:tcW w:type="dxa" w:w="950"/>
          </w:tcPr>
          <w:p>
            <w:pPr>
              <w:keepLines/>
              <w:spacing w:after="0" w:line="276" w:lineRule="auto"/>
            </w:pPr>
            <w:r>
              <w:rPr>
                <w:rFonts w:ascii="Calibri" w:hAnsi="Calibri" w:eastAsia="Microsoft YaHei"/>
                <w:color w:val="0B2545"/>
                <w:sz w:val="15"/>
              </w:rPr>
              <w:t>E3</w:t>
            </w:r>
          </w:p>
        </w:tc>
        <w:tc>
          <w:tcPr>
            <w:tcW w:type="dxa" w:w="1160"/>
          </w:tcPr>
          <w:p>
            <w:pPr>
              <w:keepLines/>
              <w:spacing w:after="0" w:line="276" w:lineRule="auto"/>
            </w:pPr>
            <w:r>
              <w:rPr>
                <w:rFonts w:ascii="Calibri" w:hAnsi="Calibri" w:eastAsia="Microsoft YaHei"/>
                <w:color w:val="0B2545"/>
                <w:sz w:val="15"/>
              </w:rPr>
              <w:t>D3</w:t>
            </w:r>
          </w:p>
        </w:tc>
      </w:tr>
    </w:tbl>
    <w:p>
      <w:pPr>
        <w:spacing w:before="0" w:after="60"/>
      </w:pPr>
    </w:p>
    <w:tbl>
      <w:tblPr>
        <w:tblStyle w:val="TableGrid"/>
        <w:tblW w:type="dxa" w:w="9360"/>
        <w:jc w:val="left"/>
        <w:tblLayout w:type="fixed"/>
        <w:tblLook w:firstColumn="1" w:firstRow="1" w:lastColumn="0" w:lastRow="0" w:noHBand="0" w:noVBand="1" w:val="04A0"/>
        <w:tblInd w:w="120" w:type="dxa"/>
      </w:tblPr>
      <w:tblGrid>
        <w:gridCol w:w="900"/>
        <w:gridCol w:w="3200"/>
        <w:gridCol w:w="2760"/>
        <w:gridCol w:w="2500"/>
      </w:tblGrid>
      <w:tr>
        <w:trPr>
          <w:tblHeader w:val="true"/>
        </w:trPr>
        <w:tc>
          <w:tcPr>
            <w:tcW w:type="dxa" w:w="9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年份/类型</w:t>
            </w:r>
          </w:p>
        </w:tc>
        <w:tc>
          <w:tcPr>
            <w:tcW w:type="dxa" w:w="32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论文或软件</w:t>
            </w:r>
          </w:p>
        </w:tc>
        <w:tc>
          <w:tcPr>
            <w:tcW w:type="dxa" w:w="276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来源/关系</w:t>
            </w:r>
          </w:p>
        </w:tc>
        <w:tc>
          <w:tcPr>
            <w:tcW w:type="dxa" w:w="25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链接</w:t>
            </w:r>
          </w:p>
        </w:tc>
      </w:tr>
      <w:tr>
        <w:trPr>
          <w:cantSplit/>
        </w:trPr>
        <w:tc>
          <w:tcPr>
            <w:tcW w:type="dxa" w:w="900"/>
          </w:tcPr>
          <w:p>
            <w:pPr>
              <w:keepLines/>
              <w:spacing w:after="0" w:line="276" w:lineRule="auto"/>
            </w:pPr>
            <w:r>
              <w:rPr>
                <w:rFonts w:ascii="Calibri" w:hAnsi="Calibri" w:eastAsia="Microsoft YaHei"/>
                <w:color w:val="0B2545"/>
                <w:sz w:val="14"/>
              </w:rPr>
              <w:t>2014</w:t>
            </w:r>
          </w:p>
        </w:tc>
        <w:tc>
          <w:tcPr>
            <w:tcW w:type="dxa" w:w="3200"/>
          </w:tcPr>
          <w:p>
            <w:pPr>
              <w:keepLines/>
              <w:spacing w:after="0" w:line="276" w:lineRule="auto"/>
            </w:pPr>
            <w:r>
              <w:rPr>
                <w:rFonts w:ascii="Calibri" w:hAnsi="Calibri" w:eastAsia="Microsoft YaHei"/>
                <w:color w:val="0B2545"/>
                <w:sz w:val="14"/>
              </w:rPr>
              <w:t>Update on the ASDEX Upgrade data acquisition and data management environment</w:t>
            </w:r>
          </w:p>
        </w:tc>
        <w:tc>
          <w:tcPr>
            <w:tcW w:type="dxa" w:w="2760"/>
          </w:tcPr>
          <w:p>
            <w:pPr>
              <w:keepLines/>
              <w:spacing w:after="0" w:line="276" w:lineRule="auto"/>
            </w:pPr>
            <w:r>
              <w:rPr>
                <w:rFonts w:ascii="Calibri" w:hAnsi="Calibri" w:eastAsia="Microsoft YaHei"/>
                <w:color w:val="0B2545"/>
                <w:sz w:val="14"/>
              </w:rPr>
              <w:t>Fusion Engineering and Design</w:t>
            </w:r>
          </w:p>
        </w:tc>
        <w:tc>
          <w:tcPr>
            <w:tcW w:type="dxa" w:w="2500"/>
          </w:tcPr>
          <w:p>
            <w:pPr>
              <w:keepLines/>
              <w:spacing w:after="0" w:line="276" w:lineRule="auto"/>
            </w:pPr>
            <w:hyperlink r:id="rId219">
              <w:r>
                <w:rPr>
                  <w:rFonts w:ascii="Calibri" w:hAnsi="Calibri" w:eastAsia="Microsoft YaHei"/>
                  <w:color w:val="008C95"/>
                  <w:u w:val="single"/>
                </w:rPr>
                <w:t>打开原始来源 ↗</w:t>
              </w:r>
            </w:hyperlink>
          </w:p>
        </w:tc>
      </w:tr>
      <w:tr>
        <w:trPr>
          <w:cantSplit/>
        </w:trPr>
        <w:tc>
          <w:tcPr>
            <w:tcW w:type="dxa" w:w="900"/>
          </w:tcPr>
          <w:p>
            <w:pPr>
              <w:keepLines/>
              <w:spacing w:after="0" w:line="276" w:lineRule="auto"/>
            </w:pPr>
            <w:r>
              <w:rPr>
                <w:rFonts w:ascii="Calibri" w:hAnsi="Calibri" w:eastAsia="Microsoft YaHei"/>
                <w:color w:val="0B2545"/>
                <w:sz w:val="14"/>
              </w:rPr>
              <w:t>2008</w:t>
            </w:r>
          </w:p>
        </w:tc>
        <w:tc>
          <w:tcPr>
            <w:tcW w:type="dxa" w:w="3200"/>
          </w:tcPr>
          <w:p>
            <w:pPr>
              <w:keepLines/>
              <w:spacing w:after="0" w:line="276" w:lineRule="auto"/>
            </w:pPr>
            <w:r>
              <w:rPr>
                <w:rFonts w:ascii="Calibri" w:hAnsi="Calibri" w:eastAsia="Microsoft YaHei"/>
                <w:color w:val="0B2545"/>
                <w:sz w:val="14"/>
              </w:rPr>
              <w:t>Real-time diagnostics at ASDEX Upgrade—Architecture and operation</w:t>
            </w:r>
          </w:p>
        </w:tc>
        <w:tc>
          <w:tcPr>
            <w:tcW w:type="dxa" w:w="2760"/>
          </w:tcPr>
          <w:p>
            <w:pPr>
              <w:keepLines/>
              <w:spacing w:after="0" w:line="276" w:lineRule="auto"/>
            </w:pPr>
            <w:r>
              <w:rPr>
                <w:rFonts w:ascii="Calibri" w:hAnsi="Calibri" w:eastAsia="Microsoft YaHei"/>
                <w:color w:val="0B2545"/>
                <w:sz w:val="14"/>
              </w:rPr>
              <w:t>Fusion Engineering and Design</w:t>
            </w:r>
          </w:p>
        </w:tc>
        <w:tc>
          <w:tcPr>
            <w:tcW w:type="dxa" w:w="2500"/>
          </w:tcPr>
          <w:p>
            <w:pPr>
              <w:keepLines/>
              <w:spacing w:after="0" w:line="276" w:lineRule="auto"/>
            </w:pPr>
            <w:hyperlink r:id="rId220">
              <w:r>
                <w:rPr>
                  <w:rFonts w:ascii="Calibri" w:hAnsi="Calibri" w:eastAsia="Microsoft YaHei"/>
                  <w:color w:val="008C95"/>
                  <w:u w:val="single"/>
                </w:rPr>
                <w:t>打开原始来源 ↗</w:t>
              </w:r>
            </w:hyperlink>
          </w:p>
        </w:tc>
      </w:tr>
      <w:tr>
        <w:trPr>
          <w:cantSplit/>
        </w:trPr>
        <w:tc>
          <w:tcPr>
            <w:tcW w:type="dxa" w:w="900"/>
          </w:tcPr>
          <w:p>
            <w:pPr>
              <w:keepLines/>
              <w:spacing w:after="0" w:line="276" w:lineRule="auto"/>
            </w:pPr>
            <w:r>
              <w:rPr>
                <w:rFonts w:ascii="Calibri" w:hAnsi="Calibri" w:eastAsia="Microsoft YaHei"/>
                <w:color w:val="0B2545"/>
                <w:sz w:val="14"/>
              </w:rPr>
              <w:t>2018</w:t>
            </w:r>
          </w:p>
        </w:tc>
        <w:tc>
          <w:tcPr>
            <w:tcW w:type="dxa" w:w="3200"/>
          </w:tcPr>
          <w:p>
            <w:pPr>
              <w:keepLines/>
              <w:spacing w:after="0" w:line="276" w:lineRule="auto"/>
            </w:pPr>
            <w:r>
              <w:rPr>
                <w:rFonts w:ascii="Calibri" w:hAnsi="Calibri" w:eastAsia="Microsoft YaHei"/>
                <w:color w:val="0B2545"/>
                <w:sz w:val="14"/>
              </w:rPr>
              <w:t>ASDEX Upgrade: Diagnostics</w:t>
            </w:r>
          </w:p>
        </w:tc>
        <w:tc>
          <w:tcPr>
            <w:tcW w:type="dxa" w:w="2760"/>
          </w:tcPr>
          <w:p>
            <w:pPr>
              <w:keepLines/>
              <w:spacing w:after="0" w:line="276" w:lineRule="auto"/>
            </w:pPr>
            <w:r>
              <w:rPr>
                <w:rFonts w:ascii="Calibri" w:hAnsi="Calibri" w:eastAsia="Microsoft YaHei"/>
                <w:color w:val="0B2545"/>
                <w:sz w:val="14"/>
              </w:rPr>
              <w:t>原始论文 / 官方来源</w:t>
            </w:r>
          </w:p>
        </w:tc>
        <w:tc>
          <w:tcPr>
            <w:tcW w:type="dxa" w:w="2500"/>
          </w:tcPr>
          <w:p>
            <w:pPr>
              <w:keepLines/>
              <w:spacing w:after="0" w:line="276" w:lineRule="auto"/>
            </w:pPr>
            <w:hyperlink r:id="rId221">
              <w:r>
                <w:rPr>
                  <w:rFonts w:ascii="Calibri" w:hAnsi="Calibri" w:eastAsia="Microsoft YaHei"/>
                  <w:color w:val="008C95"/>
                  <w:u w:val="single"/>
                </w:rPr>
                <w:t>打开原始来源 ↗</w:t>
              </w:r>
            </w:hyperlink>
          </w:p>
        </w:tc>
      </w:tr>
      <w:tr>
        <w:trPr>
          <w:cantSplit/>
        </w:trPr>
        <w:tc>
          <w:tcPr>
            <w:tcW w:type="dxa" w:w="900"/>
          </w:tcPr>
          <w:p>
            <w:pPr>
              <w:keepLines/>
              <w:spacing w:after="0" w:line="276" w:lineRule="auto"/>
            </w:pPr>
            <w:r>
              <w:rPr>
                <w:rFonts w:ascii="Calibri" w:hAnsi="Calibri" w:eastAsia="Microsoft YaHei"/>
                <w:color w:val="0B2545"/>
                <w:sz w:val="14"/>
              </w:rPr>
              <w:t>软件</w:t>
            </w:r>
          </w:p>
        </w:tc>
        <w:tc>
          <w:tcPr>
            <w:tcW w:type="dxa" w:w="3200"/>
          </w:tcPr>
          <w:p>
            <w:pPr>
              <w:keepLines/>
              <w:spacing w:after="0" w:line="276" w:lineRule="auto"/>
            </w:pPr>
            <w:r>
              <w:rPr>
                <w:rFonts w:ascii="Calibri" w:hAnsi="Calibri" w:eastAsia="Microsoft YaHei"/>
                <w:color w:val="0B2545"/>
                <w:sz w:val="14"/>
              </w:rPr>
              <w:t>AUG shotfile/rtDiag production stack</w:t>
            </w:r>
          </w:p>
        </w:tc>
        <w:tc>
          <w:tcPr>
            <w:tcW w:type="dxa" w:w="2760"/>
          </w:tcPr>
          <w:p>
            <w:pPr>
              <w:keepLines/>
              <w:spacing w:after="0" w:line="276" w:lineRule="auto"/>
            </w:pPr>
            <w:r>
              <w:rPr>
                <w:rFonts w:ascii="Calibri" w:hAnsi="Calibri" w:eastAsia="Microsoft YaHei"/>
                <w:color w:val="0B2545"/>
                <w:sz w:val="14"/>
              </w:rPr>
              <w:t>not-public / 论文 URL 已移入参考文献；架构公开，生产代码和数据未发现可核验公共仓库</w:t>
            </w:r>
          </w:p>
        </w:tc>
        <w:tc>
          <w:tcPr>
            <w:tcW w:type="dxa" w:w="2500"/>
          </w:tcPr>
          <w:p>
            <w:pPr>
              <w:keepLines/>
              <w:spacing w:after="0" w:line="276" w:lineRule="auto"/>
            </w:pPr>
            <w:r>
              <w:rPr>
                <w:rFonts w:ascii="Calibri" w:hAnsi="Calibri" w:eastAsia="Microsoft YaHei"/>
                <w:color w:val="0B2545"/>
                <w:sz w:val="14"/>
              </w:rPr>
              <w:t>未公开</w:t>
            </w:r>
          </w:p>
        </w:tc>
      </w:tr>
      <w:tr>
        <w:trPr>
          <w:cantSplit/>
        </w:trPr>
        <w:tc>
          <w:tcPr>
            <w:tcW w:type="dxa" w:w="900"/>
          </w:tcPr>
          <w:p>
            <w:pPr>
              <w:keepLines/>
              <w:spacing w:after="0" w:line="276" w:lineRule="auto"/>
            </w:pPr>
            <w:r>
              <w:rPr>
                <w:rFonts w:ascii="Calibri" w:hAnsi="Calibri" w:eastAsia="Microsoft YaHei"/>
                <w:color w:val="0B2545"/>
                <w:sz w:val="14"/>
              </w:rPr>
              <w:t>软件</w:t>
            </w:r>
          </w:p>
        </w:tc>
        <w:tc>
          <w:tcPr>
            <w:tcW w:type="dxa" w:w="3200"/>
          </w:tcPr>
          <w:p>
            <w:pPr>
              <w:keepLines/>
              <w:spacing w:after="0" w:line="276" w:lineRule="auto"/>
            </w:pPr>
            <w:r>
              <w:rPr>
                <w:rFonts w:ascii="Calibri" w:hAnsi="Calibri" w:eastAsia="Microsoft YaHei"/>
                <w:color w:val="0B2545"/>
                <w:sz w:val="14"/>
              </w:rPr>
              <w:t>AUG diagnostic datasets</w:t>
            </w:r>
          </w:p>
        </w:tc>
        <w:tc>
          <w:tcPr>
            <w:tcW w:type="dxa" w:w="2760"/>
          </w:tcPr>
          <w:p>
            <w:pPr>
              <w:keepLines/>
              <w:spacing w:after="0" w:line="276" w:lineRule="auto"/>
            </w:pPr>
            <w:r>
              <w:rPr>
                <w:rFonts w:ascii="Calibri" w:hAnsi="Calibri" w:eastAsia="Microsoft YaHei"/>
                <w:color w:val="0B2545"/>
                <w:sz w:val="14"/>
              </w:rPr>
              <w:t>not-public / 装置主页已移入参考来源；数据需装置合作流程，未发现可直接访问的公共数据 API</w:t>
            </w:r>
          </w:p>
        </w:tc>
        <w:tc>
          <w:tcPr>
            <w:tcW w:type="dxa" w:w="2500"/>
          </w:tcPr>
          <w:p>
            <w:pPr>
              <w:keepLines/>
              <w:spacing w:after="0" w:line="276" w:lineRule="auto"/>
            </w:pPr>
            <w:r>
              <w:rPr>
                <w:rFonts w:ascii="Calibri" w:hAnsi="Calibri" w:eastAsia="Microsoft YaHei"/>
                <w:color w:val="0B2545"/>
                <w:sz w:val="14"/>
              </w:rPr>
              <w:t>未公开</w:t>
            </w:r>
          </w:p>
        </w:tc>
      </w:tr>
    </w:tbl>
    <w:p>
      <w:pPr>
        <w:spacing w:before="0" w:after="60"/>
      </w:pPr>
    </w:p>
    <w:p>
      <w:pPr>
        <w:pStyle w:val="Heading2"/>
      </w:pPr>
      <w:r>
        <w:t>17.02  DIII-D</w:t>
      </w:r>
    </w:p>
    <w:tbl>
      <w:tblPr>
        <w:tblStyle w:val="TableGrid"/>
        <w:tblW w:type="dxa" w:w="9360"/>
        <w:jc w:val="left"/>
        <w:tblLayout w:type="fixed"/>
        <w:tblLook w:firstColumn="1" w:firstRow="1" w:lastColumn="0" w:lastRow="0" w:noHBand="0" w:noVBand="1" w:val="04A0"/>
        <w:tblInd w:w="120" w:type="dxa"/>
      </w:tblPr>
      <w:tblGrid>
        <w:gridCol w:w="1100"/>
        <w:gridCol w:w="1100"/>
        <w:gridCol w:w="2400"/>
        <w:gridCol w:w="1900"/>
        <w:gridCol w:w="2860"/>
      </w:tblGrid>
      <w:tr>
        <w:trPr>
          <w:tblHeader w:val="true"/>
        </w:trPr>
        <w:tc>
          <w:tcPr>
            <w:tcW w:type="dxa" w:w="11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类型</w:t>
            </w:r>
          </w:p>
        </w:tc>
        <w:tc>
          <w:tcPr>
            <w:tcW w:type="dxa" w:w="11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国家/地区</w:t>
            </w:r>
          </w:p>
        </w:tc>
        <w:tc>
          <w:tcPr>
            <w:tcW w:type="dxa" w:w="24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运营方</w:t>
            </w:r>
          </w:p>
        </w:tc>
        <w:tc>
          <w:tcPr>
            <w:tcW w:type="dxa" w:w="19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状态</w:t>
            </w:r>
          </w:p>
        </w:tc>
        <w:tc>
          <w:tcPr>
            <w:tcW w:type="dxa" w:w="286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覆盖任务</w:t>
            </w:r>
          </w:p>
        </w:tc>
      </w:tr>
      <w:tr>
        <w:trPr>
          <w:cantSplit/>
        </w:trPr>
        <w:tc>
          <w:tcPr>
            <w:tcW w:type="dxa" w:w="1100"/>
          </w:tcPr>
          <w:p>
            <w:pPr>
              <w:keepLines/>
              <w:spacing w:after="0" w:line="276" w:lineRule="auto"/>
            </w:pPr>
            <w:r>
              <w:rPr>
                <w:rFonts w:ascii="Calibri" w:hAnsi="Calibri" w:eastAsia="Microsoft YaHei"/>
                <w:color w:val="0B2545"/>
                <w:sz w:val="15"/>
              </w:rPr>
              <w:t>先进托卡马克用户装置</w:t>
            </w:r>
          </w:p>
        </w:tc>
        <w:tc>
          <w:tcPr>
            <w:tcW w:type="dxa" w:w="1100"/>
          </w:tcPr>
          <w:p>
            <w:pPr>
              <w:keepLines/>
              <w:spacing w:after="0" w:line="276" w:lineRule="auto"/>
            </w:pPr>
            <w:r>
              <w:rPr>
                <w:rFonts w:ascii="Calibri" w:hAnsi="Calibri" w:eastAsia="Microsoft YaHei"/>
                <w:color w:val="0B2545"/>
                <w:sz w:val="15"/>
              </w:rPr>
              <w:t>美国</w:t>
            </w:r>
          </w:p>
        </w:tc>
        <w:tc>
          <w:tcPr>
            <w:tcW w:type="dxa" w:w="2400"/>
          </w:tcPr>
          <w:p>
            <w:pPr>
              <w:keepLines/>
              <w:spacing w:after="0" w:line="276" w:lineRule="auto"/>
            </w:pPr>
            <w:r>
              <w:rPr>
                <w:rFonts w:ascii="Calibri" w:hAnsi="Calibri" w:eastAsia="Microsoft YaHei"/>
                <w:color w:val="0B2545"/>
                <w:sz w:val="15"/>
              </w:rPr>
              <w:t>General Atomics / US DOE Office of Science</w:t>
            </w:r>
          </w:p>
        </w:tc>
        <w:tc>
          <w:tcPr>
            <w:tcW w:type="dxa" w:w="1900"/>
          </w:tcPr>
          <w:p>
            <w:pPr>
              <w:keepLines/>
              <w:spacing w:after="0" w:line="276" w:lineRule="auto"/>
            </w:pPr>
            <w:r>
              <w:rPr>
                <w:rFonts w:ascii="Calibri" w:hAnsi="Calibri" w:eastAsia="Microsoft YaHei"/>
                <w:color w:val="0B2545"/>
                <w:sz w:val="15"/>
              </w:rPr>
              <w:t>运行中的用户设施</w:t>
            </w:r>
          </w:p>
        </w:tc>
        <w:tc>
          <w:tcPr>
            <w:tcW w:type="dxa" w:w="2860"/>
          </w:tcPr>
          <w:p>
            <w:pPr>
              <w:keepLines/>
              <w:spacing w:after="0" w:line="276" w:lineRule="auto"/>
            </w:pPr>
            <w:r>
              <w:rPr>
                <w:rFonts w:ascii="Calibri" w:hAnsi="Calibri" w:eastAsia="Microsoft YaHei"/>
                <w:color w:val="0B2545"/>
                <w:sz w:val="15"/>
              </w:rPr>
              <w:t>DG1；DG2；DG3；DG4；DG5；DG6；DG7；DG10；DG11</w:t>
            </w:r>
          </w:p>
        </w:tc>
      </w:tr>
    </w:tbl>
    <w:p>
      <w:pPr>
        <w:spacing w:before="0" w:after="60"/>
      </w:pPr>
    </w:p>
    <w:p>
      <w:pPr>
        <w:widowControl/>
      </w:pPr>
      <w:r>
        <w:rPr>
          <w:rFonts w:ascii="Calibri" w:hAnsi="Calibri" w:eastAsia="Microsoft YaHei"/>
          <w:b/>
          <w:color w:val="1F4D78"/>
        </w:rPr>
        <w:t>诊断概况：</w:t>
      </w:r>
      <w:r>
        <w:rPr>
          <w:rFonts w:ascii="Calibri" w:hAnsi="Calibri" w:eastAsia="Microsoft YaHei"/>
        </w:rPr>
        <w:t>DIII-D 具有五十余套诊断和成熟 PCS，是平衡、MSE、电荷交换、ECE/ECEI、Thomson、反射计、BES、FIDA、中子、bolometry、SXR 和边界成像与控制耦合的代表装置。其优势是诊断密度、场景灵活性和大量控制实验；限制是原始 shot 数据及装置专用分析代码主要面向合作用户。</w:t>
      </w:r>
    </w:p>
    <w:p>
      <w:pPr>
        <w:widowControl/>
      </w:pPr>
      <w:r>
        <w:rPr>
          <w:rFonts w:ascii="Calibri" w:hAnsi="Calibri" w:eastAsia="Microsoft YaHei"/>
          <w:b/>
          <w:color w:val="1F4D78"/>
        </w:rPr>
        <w:t>主要系统：</w:t>
      </w:r>
      <w:r>
        <w:rPr>
          <w:rFonts w:ascii="Calibri" w:hAnsi="Calibri" w:eastAsia="Microsoft YaHei"/>
        </w:rPr>
        <w:t>family: magnetic-equilibrium；systems: magnetics；MSE；rtEFIT/EFIT constraints；measuredQuantities: boundary；q/current profile；Er constraints；evidence: E4/D4；realTimeUse: rtEFIT/isoflux/profile/NTM control；family: kinetic-fast-ion；systems: Thomson；ECE/ECEI；CER；FIDA；neutron diagnostics；measuredQuantities: ne/Te/Ti/rotation；fast-ion distribution；fusion rate；evidence: E4/D4；realTimeUse: selected channels and derived states enter PCS；family: fluctuation-edge；systems: BES；reflectometry；magnetic arrays；IR/visible imaging；Langmuir/divertor diagnostics；measuredQuantities: turbulence/MHD；ELMs；heat load/detachment；evidence: E4/D4；realTimeUse: experiment-dependent</w:t>
      </w:r>
    </w:p>
    <w:p>
      <w:pPr>
        <w:widowControl/>
      </w:pPr>
      <w:r>
        <w:rPr>
          <w:rFonts w:ascii="Calibri" w:hAnsi="Calibri" w:eastAsia="Microsoft YaHei"/>
          <w:b/>
          <w:color w:val="1F4D78"/>
        </w:rPr>
        <w:t>测量/传感：</w:t>
      </w:r>
      <w:r>
        <w:rPr>
          <w:rFonts w:ascii="Calibri" w:hAnsi="Calibri" w:eastAsia="Microsoft YaHei"/>
        </w:rPr>
        <w:t>magnetic pickup/flux loops；MSE polarimetry；laser Thomson polychromators；ECE radiometers/imagers；spectrometers；neutral-particle/neutron detectors；IR/visible cameras</w:t>
      </w:r>
    </w:p>
    <w:p>
      <w:pPr>
        <w:widowControl/>
      </w:pPr>
      <w:r>
        <w:rPr>
          <w:rFonts w:ascii="Calibri" w:hAnsi="Calibri" w:eastAsia="Microsoft YaHei"/>
          <w:b/>
          <w:color w:val="1F4D78"/>
        </w:rPr>
        <w:t>实时与 PCS 接口：</w:t>
      </w:r>
      <w:r>
        <w:rPr>
          <w:rFonts w:ascii="Calibri" w:hAnsi="Calibri" w:eastAsia="Microsoft YaHei"/>
        </w:rPr>
        <w:t>GA PCS；rtEFIT and real-time diagnostic nodes；quality/fault handling remains application-specific</w:t>
      </w:r>
    </w:p>
    <w:p>
      <w:pPr>
        <w:widowControl/>
      </w:pPr>
      <w:r>
        <w:rPr>
          <w:rFonts w:ascii="Calibri" w:hAnsi="Calibri" w:eastAsia="Microsoft YaHei"/>
          <w:b/>
          <w:color w:val="1F4D78"/>
        </w:rPr>
        <w:t>数据平台：</w:t>
      </w:r>
      <w:r>
        <w:rPr>
          <w:rFonts w:ascii="Calibri" w:hAnsi="Calibri" w:eastAsia="Microsoft YaHei"/>
        </w:rPr>
        <w:t>systems: MDSplus；PTDATA；OMFIT/OMAS adapters；access: facility user/collaboration access; selected figure data and repositories public；evidence: DOE facility page and GA data-management report</w:t>
      </w:r>
    </w:p>
    <w:p>
      <w:pPr>
        <w:widowControl/>
      </w:pPr>
      <w:r>
        <w:rPr>
          <w:rFonts w:ascii="Calibri" w:hAnsi="Calibri" w:eastAsia="Microsoft YaHei"/>
          <w:b/>
          <w:color w:val="1F4D78"/>
        </w:rPr>
        <w:t>代表工作概述：</w:t>
      </w:r>
      <w:r>
        <w:rPr>
          <w:rFonts w:ascii="Calibri" w:hAnsi="Calibri" w:eastAsia="Microsoft YaHei"/>
        </w:rPr>
        <w:t>三阵列 45 通道 MSE 电流剖面测量；Thomson/ECE/CER 与动力学平衡；BES/ECEI/磁阵列的 MHD 与湍流观测；FIDA/中子/快离子损失诊断；Diag2Diag 合成 Thomson 与多诊断恢复</w:t>
      </w:r>
    </w:p>
    <w:p>
      <w:pPr>
        <w:widowControl/>
      </w:pPr>
      <w:r>
        <w:rPr>
          <w:rFonts w:ascii="Calibri" w:hAnsi="Calibri" w:eastAsia="Microsoft YaHei"/>
          <w:b/>
          <w:color w:val="1F4D78"/>
        </w:rPr>
        <w:t>证据边界：</w:t>
      </w:r>
      <w:r>
        <w:rPr>
          <w:rFonts w:ascii="Calibri" w:hAnsi="Calibri" w:eastAsia="Microsoft YaHei"/>
        </w:rPr>
        <w:t>完整训练数据、标定数据库和生产 PCS/诊断代码不公开；多诊断相关性在 OOD、坏道和硬件升级后会漂移；研究装置冗余和端口条件不同于电厂</w:t>
      </w:r>
    </w:p>
    <w:tbl>
      <w:tblPr>
        <w:tblStyle w:val="TableGrid"/>
        <w:tblW w:type="dxa" w:w="9360"/>
        <w:jc w:val="left"/>
        <w:tblLayout w:type="fixed"/>
        <w:tblLook w:firstColumn="1" w:firstRow="1" w:lastColumn="0" w:lastRow="0" w:noHBand="0" w:noVBand="1" w:val="04A0"/>
        <w:tblInd w:w="120" w:type="dxa"/>
      </w:tblPr>
      <w:tblGrid>
        <w:gridCol w:w="1200"/>
        <w:gridCol w:w="750"/>
        <w:gridCol w:w="5300"/>
        <w:gridCol w:w="950"/>
        <w:gridCol w:w="1160"/>
      </w:tblGrid>
      <w:tr>
        <w:trPr>
          <w:tblHeader w:val="true"/>
        </w:trPr>
        <w:tc>
          <w:tcPr>
            <w:tcW w:type="dxa" w:w="12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工作 ID</w:t>
            </w:r>
          </w:p>
        </w:tc>
        <w:tc>
          <w:tcPr>
            <w:tcW w:type="dxa" w:w="7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任务</w:t>
            </w:r>
          </w:p>
        </w:tc>
        <w:tc>
          <w:tcPr>
            <w:tcW w:type="dxa" w:w="53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代表工作</w:t>
            </w:r>
          </w:p>
        </w:tc>
        <w:tc>
          <w:tcPr>
            <w:tcW w:type="dxa" w:w="9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证据</w:t>
            </w:r>
          </w:p>
        </w:tc>
        <w:tc>
          <w:tcPr>
            <w:tcW w:type="dxa" w:w="116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部署</w:t>
            </w:r>
          </w:p>
        </w:tc>
      </w:tr>
      <w:tr>
        <w:trPr>
          <w:cantSplit/>
        </w:trPr>
        <w:tc>
          <w:tcPr>
            <w:tcW w:type="dxa" w:w="1200"/>
          </w:tcPr>
          <w:p>
            <w:pPr>
              <w:keepLines/>
              <w:spacing w:after="0" w:line="276" w:lineRule="auto"/>
            </w:pPr>
            <w:r>
              <w:rPr>
                <w:rFonts w:ascii="Calibri" w:hAnsi="Calibri" w:eastAsia="Microsoft YaHei"/>
                <w:color w:val="0B2545"/>
                <w:sz w:val="15"/>
              </w:rPr>
              <w:t>DSI-002</w:t>
            </w:r>
          </w:p>
        </w:tc>
        <w:tc>
          <w:tcPr>
            <w:tcW w:type="dxa" w:w="750"/>
          </w:tcPr>
          <w:p>
            <w:pPr>
              <w:keepLines/>
              <w:spacing w:after="0" w:line="276" w:lineRule="auto"/>
            </w:pPr>
            <w:r>
              <w:rPr>
                <w:rFonts w:ascii="Calibri" w:hAnsi="Calibri" w:eastAsia="Microsoft YaHei"/>
                <w:color w:val="0B2545"/>
                <w:sz w:val="15"/>
              </w:rPr>
              <w:t>DG0</w:t>
            </w:r>
          </w:p>
        </w:tc>
        <w:tc>
          <w:tcPr>
            <w:tcW w:type="dxa" w:w="5300"/>
          </w:tcPr>
          <w:p>
            <w:pPr>
              <w:keepLines/>
              <w:spacing w:after="0" w:line="276" w:lineRule="auto"/>
            </w:pPr>
            <w:r>
              <w:rPr>
                <w:rFonts w:ascii="Calibri" w:hAnsi="Calibri" w:eastAsia="Microsoft YaHei"/>
                <w:color w:val="0B2545"/>
                <w:sz w:val="15"/>
              </w:rPr>
              <w:t>MDSplus 脉冲树、数据采集与时序数据管理</w:t>
            </w:r>
          </w:p>
        </w:tc>
        <w:tc>
          <w:tcPr>
            <w:tcW w:type="dxa" w:w="950"/>
          </w:tcPr>
          <w:p>
            <w:pPr>
              <w:keepLines/>
              <w:spacing w:after="0" w:line="276" w:lineRule="auto"/>
            </w:pPr>
            <w:r>
              <w:rPr>
                <w:rFonts w:ascii="Calibri" w:hAnsi="Calibri" w:eastAsia="Microsoft YaHei"/>
                <w:color w:val="0B2545"/>
                <w:sz w:val="15"/>
              </w:rPr>
              <w:t>E4</w:t>
            </w:r>
          </w:p>
        </w:tc>
        <w:tc>
          <w:tcPr>
            <w:tcW w:type="dxa" w:w="1160"/>
          </w:tcPr>
          <w:p>
            <w:pPr>
              <w:keepLines/>
              <w:spacing w:after="0" w:line="276" w:lineRule="auto"/>
            </w:pPr>
            <w:r>
              <w:rPr>
                <w:rFonts w:ascii="Calibri" w:hAnsi="Calibri" w:eastAsia="Microsoft YaHei"/>
                <w:color w:val="0B2545"/>
                <w:sz w:val="15"/>
              </w:rPr>
              <w:t>D4</w:t>
            </w:r>
          </w:p>
        </w:tc>
      </w:tr>
      <w:tr>
        <w:trPr>
          <w:cantSplit/>
        </w:trPr>
        <w:tc>
          <w:tcPr>
            <w:tcW w:type="dxa" w:w="1200"/>
          </w:tcPr>
          <w:p>
            <w:pPr>
              <w:keepLines/>
              <w:spacing w:after="0" w:line="276" w:lineRule="auto"/>
            </w:pPr>
            <w:r>
              <w:rPr>
                <w:rFonts w:ascii="Calibri" w:hAnsi="Calibri" w:eastAsia="Microsoft YaHei"/>
                <w:color w:val="0B2545"/>
                <w:sz w:val="15"/>
              </w:rPr>
              <w:t>DG1-004</w:t>
            </w:r>
          </w:p>
        </w:tc>
        <w:tc>
          <w:tcPr>
            <w:tcW w:type="dxa" w:w="750"/>
          </w:tcPr>
          <w:p>
            <w:pPr>
              <w:keepLines/>
              <w:spacing w:after="0" w:line="276" w:lineRule="auto"/>
            </w:pPr>
            <w:r>
              <w:rPr>
                <w:rFonts w:ascii="Calibri" w:hAnsi="Calibri" w:eastAsia="Microsoft YaHei"/>
                <w:color w:val="0B2545"/>
                <w:sz w:val="15"/>
              </w:rPr>
              <w:t>DG1</w:t>
            </w:r>
          </w:p>
        </w:tc>
        <w:tc>
          <w:tcPr>
            <w:tcW w:type="dxa" w:w="5300"/>
          </w:tcPr>
          <w:p>
            <w:pPr>
              <w:keepLines/>
              <w:spacing w:after="0" w:line="276" w:lineRule="auto"/>
            </w:pPr>
            <w:r>
              <w:rPr>
                <w:rFonts w:ascii="Calibri" w:hAnsi="Calibri" w:eastAsia="Microsoft YaHei"/>
                <w:color w:val="0B2545"/>
                <w:sz w:val="15"/>
              </w:rPr>
              <w:t>动生斯塔克效应：内部磁场与电流密度剖面</w:t>
            </w:r>
          </w:p>
        </w:tc>
        <w:tc>
          <w:tcPr>
            <w:tcW w:type="dxa" w:w="950"/>
          </w:tcPr>
          <w:p>
            <w:pPr>
              <w:keepLines/>
              <w:spacing w:after="0" w:line="276" w:lineRule="auto"/>
            </w:pPr>
            <w:r>
              <w:rPr>
                <w:rFonts w:ascii="Calibri" w:hAnsi="Calibri" w:eastAsia="Microsoft YaHei"/>
                <w:color w:val="0B2545"/>
                <w:sz w:val="15"/>
              </w:rPr>
              <w:t>E4</w:t>
            </w:r>
          </w:p>
        </w:tc>
        <w:tc>
          <w:tcPr>
            <w:tcW w:type="dxa" w:w="1160"/>
          </w:tcPr>
          <w:p>
            <w:pPr>
              <w:keepLines/>
              <w:spacing w:after="0" w:line="276" w:lineRule="auto"/>
            </w:pPr>
            <w:r>
              <w:rPr>
                <w:rFonts w:ascii="Calibri" w:hAnsi="Calibri" w:eastAsia="Microsoft YaHei"/>
                <w:color w:val="0B2545"/>
                <w:sz w:val="15"/>
              </w:rPr>
              <w:t>D4</w:t>
            </w:r>
          </w:p>
        </w:tc>
      </w:tr>
      <w:tr>
        <w:trPr>
          <w:cantSplit/>
        </w:trPr>
        <w:tc>
          <w:tcPr>
            <w:tcW w:type="dxa" w:w="1200"/>
          </w:tcPr>
          <w:p>
            <w:pPr>
              <w:keepLines/>
              <w:spacing w:after="0" w:line="276" w:lineRule="auto"/>
            </w:pPr>
            <w:r>
              <w:rPr>
                <w:rFonts w:ascii="Calibri" w:hAnsi="Calibri" w:eastAsia="Microsoft YaHei"/>
                <w:color w:val="0B2545"/>
                <w:sz w:val="15"/>
              </w:rPr>
              <w:t>DG1-005</w:t>
            </w:r>
          </w:p>
        </w:tc>
        <w:tc>
          <w:tcPr>
            <w:tcW w:type="dxa" w:w="750"/>
          </w:tcPr>
          <w:p>
            <w:pPr>
              <w:keepLines/>
              <w:spacing w:after="0" w:line="276" w:lineRule="auto"/>
            </w:pPr>
            <w:r>
              <w:rPr>
                <w:rFonts w:ascii="Calibri" w:hAnsi="Calibri" w:eastAsia="Microsoft YaHei"/>
                <w:color w:val="0B2545"/>
                <w:sz w:val="15"/>
              </w:rPr>
              <w:t>DG1</w:t>
            </w:r>
          </w:p>
        </w:tc>
        <w:tc>
          <w:tcPr>
            <w:tcW w:type="dxa" w:w="5300"/>
          </w:tcPr>
          <w:p>
            <w:pPr>
              <w:keepLines/>
              <w:spacing w:after="0" w:line="276" w:lineRule="auto"/>
            </w:pPr>
            <w:r>
              <w:rPr>
                <w:rFonts w:ascii="Calibri" w:hAnsi="Calibri" w:eastAsia="Microsoft YaHei"/>
                <w:color w:val="0B2545"/>
                <w:sz w:val="15"/>
              </w:rPr>
              <w:t>实时磁平衡重建：rtEFIT与GPU实现</w:t>
            </w:r>
          </w:p>
        </w:tc>
        <w:tc>
          <w:tcPr>
            <w:tcW w:type="dxa" w:w="950"/>
          </w:tcPr>
          <w:p>
            <w:pPr>
              <w:keepLines/>
              <w:spacing w:after="0" w:line="276" w:lineRule="auto"/>
            </w:pPr>
            <w:r>
              <w:rPr>
                <w:rFonts w:ascii="Calibri" w:hAnsi="Calibri" w:eastAsia="Microsoft YaHei"/>
                <w:color w:val="0B2545"/>
                <w:sz w:val="15"/>
              </w:rPr>
              <w:t>E4</w:t>
            </w:r>
          </w:p>
        </w:tc>
        <w:tc>
          <w:tcPr>
            <w:tcW w:type="dxa" w:w="1160"/>
          </w:tcPr>
          <w:p>
            <w:pPr>
              <w:keepLines/>
              <w:spacing w:after="0" w:line="276" w:lineRule="auto"/>
            </w:pPr>
            <w:r>
              <w:rPr>
                <w:rFonts w:ascii="Calibri" w:hAnsi="Calibri" w:eastAsia="Microsoft YaHei"/>
                <w:color w:val="0B2545"/>
                <w:sz w:val="15"/>
              </w:rPr>
              <w:t>D4</w:t>
            </w:r>
          </w:p>
        </w:tc>
      </w:tr>
      <w:tr>
        <w:trPr>
          <w:cantSplit/>
        </w:trPr>
        <w:tc>
          <w:tcPr>
            <w:tcW w:type="dxa" w:w="1200"/>
          </w:tcPr>
          <w:p>
            <w:pPr>
              <w:keepLines/>
              <w:spacing w:after="0" w:line="276" w:lineRule="auto"/>
            </w:pPr>
            <w:r>
              <w:rPr>
                <w:rFonts w:ascii="Calibri" w:hAnsi="Calibri" w:eastAsia="Microsoft YaHei"/>
                <w:color w:val="0B2545"/>
                <w:sz w:val="15"/>
              </w:rPr>
              <w:t>DG3-011</w:t>
            </w:r>
          </w:p>
        </w:tc>
        <w:tc>
          <w:tcPr>
            <w:tcW w:type="dxa" w:w="750"/>
          </w:tcPr>
          <w:p>
            <w:pPr>
              <w:keepLines/>
              <w:spacing w:after="0" w:line="276" w:lineRule="auto"/>
            </w:pPr>
            <w:r>
              <w:rPr>
                <w:rFonts w:ascii="Calibri" w:hAnsi="Calibri" w:eastAsia="Microsoft YaHei"/>
                <w:color w:val="0B2545"/>
                <w:sz w:val="15"/>
              </w:rPr>
              <w:t>DG3</w:t>
            </w:r>
          </w:p>
        </w:tc>
        <w:tc>
          <w:tcPr>
            <w:tcW w:type="dxa" w:w="5300"/>
          </w:tcPr>
          <w:p>
            <w:pPr>
              <w:keepLines/>
              <w:spacing w:after="0" w:line="276" w:lineRule="auto"/>
            </w:pPr>
            <w:r>
              <w:rPr>
                <w:rFonts w:ascii="Calibri" w:hAnsi="Calibri" w:eastAsia="Microsoft YaHei"/>
                <w:color w:val="0B2545"/>
                <w:sz w:val="15"/>
              </w:rPr>
              <w:t>电荷交换复合谱：离子温度与转动</w:t>
            </w:r>
          </w:p>
        </w:tc>
        <w:tc>
          <w:tcPr>
            <w:tcW w:type="dxa" w:w="950"/>
          </w:tcPr>
          <w:p>
            <w:pPr>
              <w:keepLines/>
              <w:spacing w:after="0" w:line="276" w:lineRule="auto"/>
            </w:pPr>
            <w:r>
              <w:rPr>
                <w:rFonts w:ascii="Calibri" w:hAnsi="Calibri" w:eastAsia="Microsoft YaHei"/>
                <w:color w:val="0B2545"/>
                <w:sz w:val="15"/>
              </w:rPr>
              <w:t>E4</w:t>
            </w:r>
          </w:p>
        </w:tc>
        <w:tc>
          <w:tcPr>
            <w:tcW w:type="dxa" w:w="1160"/>
          </w:tcPr>
          <w:p>
            <w:pPr>
              <w:keepLines/>
              <w:spacing w:after="0" w:line="276" w:lineRule="auto"/>
            </w:pPr>
            <w:r>
              <w:rPr>
                <w:rFonts w:ascii="Calibri" w:hAnsi="Calibri" w:eastAsia="Microsoft YaHei"/>
                <w:color w:val="0B2545"/>
                <w:sz w:val="15"/>
              </w:rPr>
              <w:t>D4</w:t>
            </w:r>
          </w:p>
        </w:tc>
      </w:tr>
      <w:tr>
        <w:trPr>
          <w:cantSplit/>
        </w:trPr>
        <w:tc>
          <w:tcPr>
            <w:tcW w:type="dxa" w:w="1200"/>
          </w:tcPr>
          <w:p>
            <w:pPr>
              <w:keepLines/>
              <w:spacing w:after="0" w:line="276" w:lineRule="auto"/>
            </w:pPr>
            <w:r>
              <w:rPr>
                <w:rFonts w:ascii="Calibri" w:hAnsi="Calibri" w:eastAsia="Microsoft YaHei"/>
                <w:color w:val="0B2545"/>
                <w:sz w:val="15"/>
              </w:rPr>
              <w:t>DG4-017</w:t>
            </w:r>
          </w:p>
        </w:tc>
        <w:tc>
          <w:tcPr>
            <w:tcW w:type="dxa" w:w="750"/>
          </w:tcPr>
          <w:p>
            <w:pPr>
              <w:keepLines/>
              <w:spacing w:after="0" w:line="276" w:lineRule="auto"/>
            </w:pPr>
            <w:r>
              <w:rPr>
                <w:rFonts w:ascii="Calibri" w:hAnsi="Calibri" w:eastAsia="Microsoft YaHei"/>
                <w:color w:val="0B2545"/>
                <w:sz w:val="15"/>
              </w:rPr>
              <w:t>DG4</w:t>
            </w:r>
          </w:p>
        </w:tc>
        <w:tc>
          <w:tcPr>
            <w:tcW w:type="dxa" w:w="5300"/>
          </w:tcPr>
          <w:p>
            <w:pPr>
              <w:keepLines/>
              <w:spacing w:after="0" w:line="276" w:lineRule="auto"/>
            </w:pPr>
            <w:r>
              <w:rPr>
                <w:rFonts w:ascii="Calibri" w:hAnsi="Calibri" w:eastAsia="Microsoft YaHei"/>
                <w:color w:val="0B2545"/>
                <w:sz w:val="15"/>
              </w:rPr>
              <w:t>软X射线阵列与快速层析</w:t>
            </w:r>
          </w:p>
        </w:tc>
        <w:tc>
          <w:tcPr>
            <w:tcW w:type="dxa" w:w="950"/>
          </w:tcPr>
          <w:p>
            <w:pPr>
              <w:keepLines/>
              <w:spacing w:after="0" w:line="276" w:lineRule="auto"/>
            </w:pPr>
            <w:r>
              <w:rPr>
                <w:rFonts w:ascii="Calibri" w:hAnsi="Calibri" w:eastAsia="Microsoft YaHei"/>
                <w:color w:val="0B2545"/>
                <w:sz w:val="15"/>
              </w:rPr>
              <w:t>E4</w:t>
            </w:r>
          </w:p>
        </w:tc>
        <w:tc>
          <w:tcPr>
            <w:tcW w:type="dxa" w:w="1160"/>
          </w:tcPr>
          <w:p>
            <w:pPr>
              <w:keepLines/>
              <w:spacing w:after="0" w:line="276" w:lineRule="auto"/>
            </w:pPr>
            <w:r>
              <w:rPr>
                <w:rFonts w:ascii="Calibri" w:hAnsi="Calibri" w:eastAsia="Microsoft YaHei"/>
                <w:color w:val="0B2545"/>
                <w:sz w:val="15"/>
              </w:rPr>
              <w:t>D4</w:t>
            </w:r>
          </w:p>
        </w:tc>
      </w:tr>
      <w:tr>
        <w:trPr>
          <w:cantSplit/>
        </w:trPr>
        <w:tc>
          <w:tcPr>
            <w:tcW w:type="dxa" w:w="1200"/>
          </w:tcPr>
          <w:p>
            <w:pPr>
              <w:keepLines/>
              <w:spacing w:after="0" w:line="276" w:lineRule="auto"/>
            </w:pPr>
            <w:r>
              <w:rPr>
                <w:rFonts w:ascii="Calibri" w:hAnsi="Calibri" w:eastAsia="Microsoft YaHei"/>
                <w:color w:val="0B2545"/>
                <w:sz w:val="15"/>
              </w:rPr>
              <w:t>DG4-019</w:t>
            </w:r>
          </w:p>
        </w:tc>
        <w:tc>
          <w:tcPr>
            <w:tcW w:type="dxa" w:w="750"/>
          </w:tcPr>
          <w:p>
            <w:pPr>
              <w:keepLines/>
              <w:spacing w:after="0" w:line="276" w:lineRule="auto"/>
            </w:pPr>
            <w:r>
              <w:rPr>
                <w:rFonts w:ascii="Calibri" w:hAnsi="Calibri" w:eastAsia="Microsoft YaHei"/>
                <w:color w:val="0B2545"/>
                <w:sz w:val="15"/>
              </w:rPr>
              <w:t>DG4</w:t>
            </w:r>
          </w:p>
        </w:tc>
        <w:tc>
          <w:tcPr>
            <w:tcW w:type="dxa" w:w="5300"/>
          </w:tcPr>
          <w:p>
            <w:pPr>
              <w:keepLines/>
              <w:spacing w:after="0" w:line="276" w:lineRule="auto"/>
            </w:pPr>
            <w:r>
              <w:rPr>
                <w:rFonts w:ascii="Calibri" w:hAnsi="Calibri" w:eastAsia="Microsoft YaHei"/>
                <w:color w:val="0B2545"/>
                <w:sz w:val="15"/>
              </w:rPr>
              <w:t>可见光杂质/燃料谱：Zeff、流入与回收</w:t>
            </w:r>
          </w:p>
        </w:tc>
        <w:tc>
          <w:tcPr>
            <w:tcW w:type="dxa" w:w="950"/>
          </w:tcPr>
          <w:p>
            <w:pPr>
              <w:keepLines/>
              <w:spacing w:after="0" w:line="276" w:lineRule="auto"/>
            </w:pPr>
            <w:r>
              <w:rPr>
                <w:rFonts w:ascii="Calibri" w:hAnsi="Calibri" w:eastAsia="Microsoft YaHei"/>
                <w:color w:val="0B2545"/>
                <w:sz w:val="15"/>
              </w:rPr>
              <w:t>E4</w:t>
            </w:r>
          </w:p>
        </w:tc>
        <w:tc>
          <w:tcPr>
            <w:tcW w:type="dxa" w:w="1160"/>
          </w:tcPr>
          <w:p>
            <w:pPr>
              <w:keepLines/>
              <w:spacing w:after="0" w:line="276" w:lineRule="auto"/>
            </w:pPr>
            <w:r>
              <w:rPr>
                <w:rFonts w:ascii="Calibri" w:hAnsi="Calibri" w:eastAsia="Microsoft YaHei"/>
                <w:color w:val="0B2545"/>
                <w:sz w:val="15"/>
              </w:rPr>
              <w:t>D4</w:t>
            </w:r>
          </w:p>
        </w:tc>
      </w:tr>
      <w:tr>
        <w:trPr>
          <w:cantSplit/>
        </w:trPr>
        <w:tc>
          <w:tcPr>
            <w:tcW w:type="dxa" w:w="1200"/>
          </w:tcPr>
          <w:p>
            <w:pPr>
              <w:keepLines/>
              <w:spacing w:after="0" w:line="276" w:lineRule="auto"/>
            </w:pPr>
            <w:r>
              <w:rPr>
                <w:rFonts w:ascii="Calibri" w:hAnsi="Calibri" w:eastAsia="Microsoft YaHei"/>
                <w:color w:val="0B2545"/>
                <w:sz w:val="15"/>
              </w:rPr>
              <w:t>DG5-026</w:t>
            </w:r>
          </w:p>
        </w:tc>
        <w:tc>
          <w:tcPr>
            <w:tcW w:type="dxa" w:w="750"/>
          </w:tcPr>
          <w:p>
            <w:pPr>
              <w:keepLines/>
              <w:spacing w:after="0" w:line="276" w:lineRule="auto"/>
            </w:pPr>
            <w:r>
              <w:rPr>
                <w:rFonts w:ascii="Calibri" w:hAnsi="Calibri" w:eastAsia="Microsoft YaHei"/>
                <w:color w:val="0B2545"/>
                <w:sz w:val="15"/>
              </w:rPr>
              <w:t>DG5</w:t>
            </w:r>
          </w:p>
        </w:tc>
        <w:tc>
          <w:tcPr>
            <w:tcW w:type="dxa" w:w="5300"/>
          </w:tcPr>
          <w:p>
            <w:pPr>
              <w:keepLines/>
              <w:spacing w:after="0" w:line="276" w:lineRule="auto"/>
            </w:pPr>
            <w:r>
              <w:rPr>
                <w:rFonts w:ascii="Calibri" w:hAnsi="Calibri" w:eastAsia="Microsoft YaHei"/>
                <w:color w:val="0B2545"/>
                <w:sz w:val="15"/>
              </w:rPr>
              <w:t>FIDA与成像FIDA：快离子相空间</w:t>
            </w:r>
          </w:p>
        </w:tc>
        <w:tc>
          <w:tcPr>
            <w:tcW w:type="dxa" w:w="950"/>
          </w:tcPr>
          <w:p>
            <w:pPr>
              <w:keepLines/>
              <w:spacing w:after="0" w:line="276" w:lineRule="auto"/>
            </w:pPr>
            <w:r>
              <w:rPr>
                <w:rFonts w:ascii="Calibri" w:hAnsi="Calibri" w:eastAsia="Microsoft YaHei"/>
                <w:color w:val="0B2545"/>
                <w:sz w:val="15"/>
              </w:rPr>
              <w:t>E4</w:t>
            </w:r>
          </w:p>
        </w:tc>
        <w:tc>
          <w:tcPr>
            <w:tcW w:type="dxa" w:w="1160"/>
          </w:tcPr>
          <w:p>
            <w:pPr>
              <w:keepLines/>
              <w:spacing w:after="0" w:line="276" w:lineRule="auto"/>
            </w:pPr>
            <w:r>
              <w:rPr>
                <w:rFonts w:ascii="Calibri" w:hAnsi="Calibri" w:eastAsia="Microsoft YaHei"/>
                <w:color w:val="0B2545"/>
                <w:sz w:val="15"/>
              </w:rPr>
              <w:t>D4</w:t>
            </w:r>
          </w:p>
        </w:tc>
      </w:tr>
      <w:tr>
        <w:trPr>
          <w:cantSplit/>
        </w:trPr>
        <w:tc>
          <w:tcPr>
            <w:tcW w:type="dxa" w:w="1200"/>
          </w:tcPr>
          <w:p>
            <w:pPr>
              <w:keepLines/>
              <w:spacing w:after="0" w:line="276" w:lineRule="auto"/>
            </w:pPr>
            <w:r>
              <w:rPr>
                <w:rFonts w:ascii="Calibri" w:hAnsi="Calibri" w:eastAsia="Microsoft YaHei"/>
                <w:color w:val="0B2545"/>
                <w:sz w:val="15"/>
              </w:rPr>
              <w:t>DG6-029</w:t>
            </w:r>
          </w:p>
        </w:tc>
        <w:tc>
          <w:tcPr>
            <w:tcW w:type="dxa" w:w="750"/>
          </w:tcPr>
          <w:p>
            <w:pPr>
              <w:keepLines/>
              <w:spacing w:after="0" w:line="276" w:lineRule="auto"/>
            </w:pPr>
            <w:r>
              <w:rPr>
                <w:rFonts w:ascii="Calibri" w:hAnsi="Calibri" w:eastAsia="Microsoft YaHei"/>
                <w:color w:val="0B2545"/>
                <w:sz w:val="15"/>
              </w:rPr>
              <w:t>DG6</w:t>
            </w:r>
          </w:p>
        </w:tc>
        <w:tc>
          <w:tcPr>
            <w:tcW w:type="dxa" w:w="5300"/>
          </w:tcPr>
          <w:p>
            <w:pPr>
              <w:keepLines/>
              <w:spacing w:after="0" w:line="276" w:lineRule="auto"/>
            </w:pPr>
            <w:r>
              <w:rPr>
                <w:rFonts w:ascii="Calibri" w:hAnsi="Calibri" w:eastAsia="Microsoft YaHei"/>
                <w:color w:val="0B2545"/>
                <w:sz w:val="15"/>
              </w:rPr>
              <w:t>Mirnov线圈阵列：MHD模态与锁模</w:t>
            </w:r>
          </w:p>
        </w:tc>
        <w:tc>
          <w:tcPr>
            <w:tcW w:type="dxa" w:w="950"/>
          </w:tcPr>
          <w:p>
            <w:pPr>
              <w:keepLines/>
              <w:spacing w:after="0" w:line="276" w:lineRule="auto"/>
            </w:pPr>
            <w:r>
              <w:rPr>
                <w:rFonts w:ascii="Calibri" w:hAnsi="Calibri" w:eastAsia="Microsoft YaHei"/>
                <w:color w:val="0B2545"/>
                <w:sz w:val="15"/>
              </w:rPr>
              <w:t>E4</w:t>
            </w:r>
          </w:p>
        </w:tc>
        <w:tc>
          <w:tcPr>
            <w:tcW w:type="dxa" w:w="1160"/>
          </w:tcPr>
          <w:p>
            <w:pPr>
              <w:keepLines/>
              <w:spacing w:after="0" w:line="276" w:lineRule="auto"/>
            </w:pPr>
            <w:r>
              <w:rPr>
                <w:rFonts w:ascii="Calibri" w:hAnsi="Calibri" w:eastAsia="Microsoft YaHei"/>
                <w:color w:val="0B2545"/>
                <w:sz w:val="15"/>
              </w:rPr>
              <w:t>D4</w:t>
            </w:r>
          </w:p>
        </w:tc>
      </w:tr>
      <w:tr>
        <w:trPr>
          <w:cantSplit/>
        </w:trPr>
        <w:tc>
          <w:tcPr>
            <w:tcW w:type="dxa" w:w="1200"/>
          </w:tcPr>
          <w:p>
            <w:pPr>
              <w:keepLines/>
              <w:spacing w:after="0" w:line="276" w:lineRule="auto"/>
            </w:pPr>
            <w:r>
              <w:rPr>
                <w:rFonts w:ascii="Calibri" w:hAnsi="Calibri" w:eastAsia="Microsoft YaHei"/>
                <w:color w:val="0B2545"/>
                <w:sz w:val="15"/>
              </w:rPr>
              <w:t>DG7-036</w:t>
            </w:r>
          </w:p>
        </w:tc>
        <w:tc>
          <w:tcPr>
            <w:tcW w:type="dxa" w:w="750"/>
          </w:tcPr>
          <w:p>
            <w:pPr>
              <w:keepLines/>
              <w:spacing w:after="0" w:line="276" w:lineRule="auto"/>
            </w:pPr>
            <w:r>
              <w:rPr>
                <w:rFonts w:ascii="Calibri" w:hAnsi="Calibri" w:eastAsia="Microsoft YaHei"/>
                <w:color w:val="0B2545"/>
                <w:sz w:val="15"/>
              </w:rPr>
              <w:t>DG7</w:t>
            </w:r>
          </w:p>
        </w:tc>
        <w:tc>
          <w:tcPr>
            <w:tcW w:type="dxa" w:w="5300"/>
          </w:tcPr>
          <w:p>
            <w:pPr>
              <w:keepLines/>
              <w:spacing w:after="0" w:line="276" w:lineRule="auto"/>
            </w:pPr>
            <w:r>
              <w:rPr>
                <w:rFonts w:ascii="Calibri" w:hAnsi="Calibri" w:eastAsia="Microsoft YaHei"/>
                <w:color w:val="0B2545"/>
                <w:sz w:val="15"/>
              </w:rPr>
              <w:t>固定/往复式朗缪尔探针：SOL与偏滤器局部参数</w:t>
            </w:r>
          </w:p>
        </w:tc>
        <w:tc>
          <w:tcPr>
            <w:tcW w:type="dxa" w:w="950"/>
          </w:tcPr>
          <w:p>
            <w:pPr>
              <w:keepLines/>
              <w:spacing w:after="0" w:line="276" w:lineRule="auto"/>
            </w:pPr>
            <w:r>
              <w:rPr>
                <w:rFonts w:ascii="Calibri" w:hAnsi="Calibri" w:eastAsia="Microsoft YaHei"/>
                <w:color w:val="0B2545"/>
                <w:sz w:val="15"/>
              </w:rPr>
              <w:t>E4</w:t>
            </w:r>
          </w:p>
        </w:tc>
        <w:tc>
          <w:tcPr>
            <w:tcW w:type="dxa" w:w="1160"/>
          </w:tcPr>
          <w:p>
            <w:pPr>
              <w:keepLines/>
              <w:spacing w:after="0" w:line="276" w:lineRule="auto"/>
            </w:pPr>
            <w:r>
              <w:rPr>
                <w:rFonts w:ascii="Calibri" w:hAnsi="Calibri" w:eastAsia="Microsoft YaHei"/>
                <w:color w:val="0B2545"/>
                <w:sz w:val="15"/>
              </w:rPr>
              <w:t>D4</w:t>
            </w:r>
          </w:p>
        </w:tc>
      </w:tr>
      <w:tr>
        <w:trPr>
          <w:cantSplit/>
        </w:trPr>
        <w:tc>
          <w:tcPr>
            <w:tcW w:type="dxa" w:w="1200"/>
          </w:tcPr>
          <w:p>
            <w:pPr>
              <w:keepLines/>
              <w:spacing w:after="0" w:line="276" w:lineRule="auto"/>
            </w:pPr>
            <w:r>
              <w:rPr>
                <w:rFonts w:ascii="Calibri" w:hAnsi="Calibri" w:eastAsia="Microsoft YaHei"/>
                <w:color w:val="0B2545"/>
                <w:sz w:val="15"/>
              </w:rPr>
              <w:t>DG2-006</w:t>
            </w:r>
          </w:p>
        </w:tc>
        <w:tc>
          <w:tcPr>
            <w:tcW w:type="dxa" w:w="750"/>
          </w:tcPr>
          <w:p>
            <w:pPr>
              <w:keepLines/>
              <w:spacing w:after="0" w:line="276" w:lineRule="auto"/>
            </w:pPr>
            <w:r>
              <w:rPr>
                <w:rFonts w:ascii="Calibri" w:hAnsi="Calibri" w:eastAsia="Microsoft YaHei"/>
                <w:color w:val="0B2545"/>
                <w:sz w:val="15"/>
              </w:rPr>
              <w:t>DG2</w:t>
            </w:r>
          </w:p>
        </w:tc>
        <w:tc>
          <w:tcPr>
            <w:tcW w:type="dxa" w:w="5300"/>
          </w:tcPr>
          <w:p>
            <w:pPr>
              <w:keepLines/>
              <w:spacing w:after="0" w:line="276" w:lineRule="auto"/>
            </w:pPr>
            <w:r>
              <w:rPr>
                <w:rFonts w:ascii="Calibri" w:hAnsi="Calibri" w:eastAsia="Microsoft YaHei"/>
                <w:color w:val="0B2545"/>
                <w:sz w:val="15"/>
              </w:rPr>
              <w:t>多点汤姆逊散射：核心与边缘电子剖面</w:t>
            </w:r>
          </w:p>
        </w:tc>
        <w:tc>
          <w:tcPr>
            <w:tcW w:type="dxa" w:w="950"/>
          </w:tcPr>
          <w:p>
            <w:pPr>
              <w:keepLines/>
              <w:spacing w:after="0" w:line="276" w:lineRule="auto"/>
            </w:pPr>
            <w:r>
              <w:rPr>
                <w:rFonts w:ascii="Calibri" w:hAnsi="Calibri" w:eastAsia="Microsoft YaHei"/>
                <w:color w:val="0B2545"/>
                <w:sz w:val="15"/>
              </w:rPr>
              <w:t>E3</w:t>
            </w:r>
          </w:p>
        </w:tc>
        <w:tc>
          <w:tcPr>
            <w:tcW w:type="dxa" w:w="1160"/>
          </w:tcPr>
          <w:p>
            <w:pPr>
              <w:keepLines/>
              <w:spacing w:after="0" w:line="276" w:lineRule="auto"/>
            </w:pPr>
            <w:r>
              <w:rPr>
                <w:rFonts w:ascii="Calibri" w:hAnsi="Calibri" w:eastAsia="Microsoft YaHei"/>
                <w:color w:val="0B2545"/>
                <w:sz w:val="15"/>
              </w:rPr>
              <w:t>D3</w:t>
            </w:r>
          </w:p>
        </w:tc>
      </w:tr>
      <w:tr>
        <w:trPr>
          <w:cantSplit/>
        </w:trPr>
        <w:tc>
          <w:tcPr>
            <w:tcW w:type="dxa" w:w="1200"/>
          </w:tcPr>
          <w:p>
            <w:pPr>
              <w:keepLines/>
              <w:spacing w:after="0" w:line="276" w:lineRule="auto"/>
            </w:pPr>
            <w:r>
              <w:rPr>
                <w:rFonts w:ascii="Calibri" w:hAnsi="Calibri" w:eastAsia="Microsoft YaHei"/>
                <w:color w:val="0B2545"/>
                <w:sz w:val="15"/>
              </w:rPr>
              <w:t>DSI-011</w:t>
            </w:r>
          </w:p>
        </w:tc>
        <w:tc>
          <w:tcPr>
            <w:tcW w:type="dxa" w:w="750"/>
          </w:tcPr>
          <w:p>
            <w:pPr>
              <w:keepLines/>
              <w:spacing w:after="0" w:line="276" w:lineRule="auto"/>
            </w:pPr>
            <w:r>
              <w:rPr>
                <w:rFonts w:ascii="Calibri" w:hAnsi="Calibri" w:eastAsia="Microsoft YaHei"/>
                <w:color w:val="0B2545"/>
                <w:sz w:val="15"/>
              </w:rPr>
              <w:t>DG9</w:t>
            </w:r>
          </w:p>
        </w:tc>
        <w:tc>
          <w:tcPr>
            <w:tcW w:type="dxa" w:w="5300"/>
          </w:tcPr>
          <w:p>
            <w:pPr>
              <w:keepLines/>
              <w:spacing w:after="0" w:line="276" w:lineRule="auto"/>
            </w:pPr>
            <w:r>
              <w:rPr>
                <w:rFonts w:ascii="Calibri" w:hAnsi="Calibri" w:eastAsia="Microsoft YaHei"/>
                <w:color w:val="0B2545"/>
                <w:sz w:val="15"/>
              </w:rPr>
              <w:t>FIDASIM 快离子 Dα 与中性粒子分析器合成诊断</w:t>
            </w:r>
          </w:p>
        </w:tc>
        <w:tc>
          <w:tcPr>
            <w:tcW w:type="dxa" w:w="950"/>
          </w:tcPr>
          <w:p>
            <w:pPr>
              <w:keepLines/>
              <w:spacing w:after="0" w:line="276" w:lineRule="auto"/>
            </w:pPr>
            <w:r>
              <w:rPr>
                <w:rFonts w:ascii="Calibri" w:hAnsi="Calibri" w:eastAsia="Microsoft YaHei"/>
                <w:color w:val="0B2545"/>
                <w:sz w:val="15"/>
              </w:rPr>
              <w:t>E3</w:t>
            </w:r>
          </w:p>
        </w:tc>
        <w:tc>
          <w:tcPr>
            <w:tcW w:type="dxa" w:w="1160"/>
          </w:tcPr>
          <w:p>
            <w:pPr>
              <w:keepLines/>
              <w:spacing w:after="0" w:line="276" w:lineRule="auto"/>
            </w:pPr>
            <w:r>
              <w:rPr>
                <w:rFonts w:ascii="Calibri" w:hAnsi="Calibri" w:eastAsia="Microsoft YaHei"/>
                <w:color w:val="0B2545"/>
                <w:sz w:val="15"/>
              </w:rPr>
              <w:t>D3</w:t>
            </w:r>
          </w:p>
        </w:tc>
      </w:tr>
      <w:tr>
        <w:trPr>
          <w:cantSplit/>
        </w:trPr>
        <w:tc>
          <w:tcPr>
            <w:tcW w:type="dxa" w:w="1200"/>
          </w:tcPr>
          <w:p>
            <w:pPr>
              <w:keepLines/>
              <w:spacing w:after="0" w:line="276" w:lineRule="auto"/>
            </w:pPr>
            <w:r>
              <w:rPr>
                <w:rFonts w:ascii="Calibri" w:hAnsi="Calibri" w:eastAsia="Microsoft YaHei"/>
                <w:color w:val="0B2545"/>
                <w:sz w:val="15"/>
              </w:rPr>
              <w:t>DSI-031</w:t>
            </w:r>
          </w:p>
        </w:tc>
        <w:tc>
          <w:tcPr>
            <w:tcW w:type="dxa" w:w="750"/>
          </w:tcPr>
          <w:p>
            <w:pPr>
              <w:keepLines/>
              <w:spacing w:after="0" w:line="276" w:lineRule="auto"/>
            </w:pPr>
            <w:r>
              <w:rPr>
                <w:rFonts w:ascii="Calibri" w:hAnsi="Calibri" w:eastAsia="Microsoft YaHei"/>
                <w:color w:val="0B2545"/>
                <w:sz w:val="15"/>
              </w:rPr>
              <w:t>DG11</w:t>
            </w:r>
          </w:p>
        </w:tc>
        <w:tc>
          <w:tcPr>
            <w:tcW w:type="dxa" w:w="5300"/>
          </w:tcPr>
          <w:p>
            <w:pPr>
              <w:keepLines/>
              <w:spacing w:after="0" w:line="276" w:lineRule="auto"/>
            </w:pPr>
            <w:r>
              <w:rPr>
                <w:rFonts w:ascii="Calibri" w:hAnsi="Calibri" w:eastAsia="Microsoft YaHei"/>
                <w:color w:val="0B2545"/>
                <w:sz w:val="15"/>
              </w:rPr>
              <w:t>RAPTOR 实时剖面状态观测器</w:t>
            </w:r>
          </w:p>
        </w:tc>
        <w:tc>
          <w:tcPr>
            <w:tcW w:type="dxa" w:w="950"/>
          </w:tcPr>
          <w:p>
            <w:pPr>
              <w:keepLines/>
              <w:spacing w:after="0" w:line="276" w:lineRule="auto"/>
            </w:pPr>
            <w:r>
              <w:rPr>
                <w:rFonts w:ascii="Calibri" w:hAnsi="Calibri" w:eastAsia="Microsoft YaHei"/>
                <w:color w:val="0B2545"/>
                <w:sz w:val="15"/>
              </w:rPr>
              <w:t>E3</w:t>
            </w:r>
          </w:p>
        </w:tc>
        <w:tc>
          <w:tcPr>
            <w:tcW w:type="dxa" w:w="1160"/>
          </w:tcPr>
          <w:p>
            <w:pPr>
              <w:keepLines/>
              <w:spacing w:after="0" w:line="276" w:lineRule="auto"/>
            </w:pPr>
            <w:r>
              <w:rPr>
                <w:rFonts w:ascii="Calibri" w:hAnsi="Calibri" w:eastAsia="Microsoft YaHei"/>
                <w:color w:val="0B2545"/>
                <w:sz w:val="15"/>
              </w:rPr>
              <w:t>D3</w:t>
            </w:r>
          </w:p>
        </w:tc>
      </w:tr>
    </w:tbl>
    <w:p>
      <w:pPr>
        <w:spacing w:before="0" w:after="60"/>
      </w:pPr>
    </w:p>
    <w:tbl>
      <w:tblPr>
        <w:tblStyle w:val="TableGrid"/>
        <w:tblW w:type="dxa" w:w="9360"/>
        <w:jc w:val="left"/>
        <w:tblLayout w:type="fixed"/>
        <w:tblLook w:firstColumn="1" w:firstRow="1" w:lastColumn="0" w:lastRow="0" w:noHBand="0" w:noVBand="1" w:val="04A0"/>
        <w:tblInd w:w="120" w:type="dxa"/>
      </w:tblPr>
      <w:tblGrid>
        <w:gridCol w:w="900"/>
        <w:gridCol w:w="3200"/>
        <w:gridCol w:w="2760"/>
        <w:gridCol w:w="2500"/>
      </w:tblGrid>
      <w:tr>
        <w:trPr>
          <w:tblHeader w:val="true"/>
        </w:trPr>
        <w:tc>
          <w:tcPr>
            <w:tcW w:type="dxa" w:w="9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年份/类型</w:t>
            </w:r>
          </w:p>
        </w:tc>
        <w:tc>
          <w:tcPr>
            <w:tcW w:type="dxa" w:w="32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论文或软件</w:t>
            </w:r>
          </w:p>
        </w:tc>
        <w:tc>
          <w:tcPr>
            <w:tcW w:type="dxa" w:w="276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来源/关系</w:t>
            </w:r>
          </w:p>
        </w:tc>
        <w:tc>
          <w:tcPr>
            <w:tcW w:type="dxa" w:w="25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链接</w:t>
            </w:r>
          </w:p>
        </w:tc>
      </w:tr>
      <w:tr>
        <w:trPr>
          <w:cantSplit/>
        </w:trPr>
        <w:tc>
          <w:tcPr>
            <w:tcW w:type="dxa" w:w="900"/>
          </w:tcPr>
          <w:p>
            <w:pPr>
              <w:keepLines/>
              <w:spacing w:after="0" w:line="276" w:lineRule="auto"/>
            </w:pPr>
            <w:r>
              <w:rPr>
                <w:rFonts w:ascii="Calibri" w:hAnsi="Calibri" w:eastAsia="Microsoft YaHei"/>
                <w:color w:val="0B2545"/>
                <w:sz w:val="14"/>
              </w:rPr>
              <w:t>2006</w:t>
            </w:r>
          </w:p>
        </w:tc>
        <w:tc>
          <w:tcPr>
            <w:tcW w:type="dxa" w:w="3200"/>
          </w:tcPr>
          <w:p>
            <w:pPr>
              <w:keepLines/>
              <w:spacing w:after="0" w:line="276" w:lineRule="auto"/>
            </w:pPr>
            <w:r>
              <w:rPr>
                <w:rFonts w:ascii="Calibri" w:hAnsi="Calibri" w:eastAsia="Microsoft YaHei"/>
                <w:color w:val="0B2545"/>
                <w:sz w:val="14"/>
              </w:rPr>
              <w:t>Current Profile Measurement on the DIII-D Tokamak</w:t>
            </w:r>
          </w:p>
        </w:tc>
        <w:tc>
          <w:tcPr>
            <w:tcW w:type="dxa" w:w="2760"/>
          </w:tcPr>
          <w:p>
            <w:pPr>
              <w:keepLines/>
              <w:spacing w:after="0" w:line="276" w:lineRule="auto"/>
            </w:pPr>
            <w:r>
              <w:rPr>
                <w:rFonts w:ascii="Calibri" w:hAnsi="Calibri" w:eastAsia="Microsoft YaHei"/>
                <w:color w:val="0B2545"/>
                <w:sz w:val="14"/>
              </w:rPr>
              <w:t>原始论文 / 官方来源</w:t>
            </w:r>
          </w:p>
        </w:tc>
        <w:tc>
          <w:tcPr>
            <w:tcW w:type="dxa" w:w="2500"/>
          </w:tcPr>
          <w:p>
            <w:pPr>
              <w:keepLines/>
              <w:spacing w:after="0" w:line="276" w:lineRule="auto"/>
            </w:pPr>
            <w:hyperlink r:id="rId222">
              <w:r>
                <w:rPr>
                  <w:rFonts w:ascii="Calibri" w:hAnsi="Calibri" w:eastAsia="Microsoft YaHei"/>
                  <w:color w:val="008C95"/>
                  <w:u w:val="single"/>
                </w:rPr>
                <w:t>打开原始来源 ↗</w:t>
              </w:r>
            </w:hyperlink>
          </w:p>
        </w:tc>
      </w:tr>
      <w:tr>
        <w:trPr>
          <w:cantSplit/>
        </w:trPr>
        <w:tc>
          <w:tcPr>
            <w:tcW w:type="dxa" w:w="900"/>
          </w:tcPr>
          <w:p>
            <w:pPr>
              <w:keepLines/>
              <w:spacing w:after="0" w:line="276" w:lineRule="auto"/>
            </w:pPr>
            <w:r>
              <w:rPr>
                <w:rFonts w:ascii="Calibri" w:hAnsi="Calibri" w:eastAsia="Microsoft YaHei"/>
                <w:color w:val="0B2545"/>
                <w:sz w:val="14"/>
              </w:rPr>
              <w:t>2025</w:t>
            </w:r>
          </w:p>
        </w:tc>
        <w:tc>
          <w:tcPr>
            <w:tcW w:type="dxa" w:w="3200"/>
          </w:tcPr>
          <w:p>
            <w:pPr>
              <w:keepLines/>
              <w:spacing w:after="0" w:line="276" w:lineRule="auto"/>
            </w:pPr>
            <w:r>
              <w:rPr>
                <w:rFonts w:ascii="Calibri" w:hAnsi="Calibri" w:eastAsia="Microsoft YaHei"/>
                <w:color w:val="0B2545"/>
                <w:sz w:val="14"/>
              </w:rPr>
              <w:t>Multimodal super-resolution: discovering hidden physics and its application to fusion plasmas</w:t>
            </w:r>
          </w:p>
        </w:tc>
        <w:tc>
          <w:tcPr>
            <w:tcW w:type="dxa" w:w="2760"/>
          </w:tcPr>
          <w:p>
            <w:pPr>
              <w:keepLines/>
              <w:spacing w:after="0" w:line="276" w:lineRule="auto"/>
            </w:pPr>
            <w:r>
              <w:rPr>
                <w:rFonts w:ascii="Calibri" w:hAnsi="Calibri" w:eastAsia="Microsoft YaHei"/>
                <w:color w:val="0B2545"/>
                <w:sz w:val="14"/>
              </w:rPr>
              <w:t>Nature Communications</w:t>
            </w:r>
          </w:p>
        </w:tc>
        <w:tc>
          <w:tcPr>
            <w:tcW w:type="dxa" w:w="2500"/>
          </w:tcPr>
          <w:p>
            <w:pPr>
              <w:keepLines/>
              <w:spacing w:after="0" w:line="276" w:lineRule="auto"/>
            </w:pPr>
            <w:hyperlink r:id="rId210">
              <w:r>
                <w:rPr>
                  <w:rFonts w:ascii="Calibri" w:hAnsi="Calibri" w:eastAsia="Microsoft YaHei"/>
                  <w:color w:val="008C95"/>
                  <w:u w:val="single"/>
                </w:rPr>
                <w:t>打开原始来源 ↗</w:t>
              </w:r>
            </w:hyperlink>
          </w:p>
        </w:tc>
      </w:tr>
      <w:tr>
        <w:trPr>
          <w:cantSplit/>
        </w:trPr>
        <w:tc>
          <w:tcPr>
            <w:tcW w:type="dxa" w:w="900"/>
          </w:tcPr>
          <w:p>
            <w:pPr>
              <w:keepLines/>
              <w:spacing w:after="0" w:line="276" w:lineRule="auto"/>
            </w:pPr>
            <w:r>
              <w:rPr>
                <w:rFonts w:ascii="Calibri" w:hAnsi="Calibri" w:eastAsia="Microsoft YaHei"/>
                <w:color w:val="0B2545"/>
                <w:sz w:val="14"/>
              </w:rPr>
              <w:t>2026</w:t>
            </w:r>
          </w:p>
        </w:tc>
        <w:tc>
          <w:tcPr>
            <w:tcW w:type="dxa" w:w="3200"/>
          </w:tcPr>
          <w:p>
            <w:pPr>
              <w:keepLines/>
              <w:spacing w:after="0" w:line="276" w:lineRule="auto"/>
            </w:pPr>
            <w:r>
              <w:rPr>
                <w:rFonts w:ascii="Calibri" w:hAnsi="Calibri" w:eastAsia="Microsoft YaHei"/>
                <w:color w:val="0B2545"/>
                <w:sz w:val="14"/>
              </w:rPr>
              <w:t>DIII-D National Fusion Facility</w:t>
            </w:r>
          </w:p>
        </w:tc>
        <w:tc>
          <w:tcPr>
            <w:tcW w:type="dxa" w:w="2760"/>
          </w:tcPr>
          <w:p>
            <w:pPr>
              <w:keepLines/>
              <w:spacing w:after="0" w:line="276" w:lineRule="auto"/>
            </w:pPr>
            <w:r>
              <w:rPr>
                <w:rFonts w:ascii="Calibri" w:hAnsi="Calibri" w:eastAsia="Microsoft YaHei"/>
                <w:color w:val="0B2545"/>
                <w:sz w:val="14"/>
              </w:rPr>
              <w:t>原始论文 / 官方来源</w:t>
            </w:r>
          </w:p>
        </w:tc>
        <w:tc>
          <w:tcPr>
            <w:tcW w:type="dxa" w:w="2500"/>
          </w:tcPr>
          <w:p>
            <w:pPr>
              <w:keepLines/>
              <w:spacing w:after="0" w:line="276" w:lineRule="auto"/>
            </w:pPr>
            <w:hyperlink r:id="rId223">
              <w:r>
                <w:rPr>
                  <w:rFonts w:ascii="Calibri" w:hAnsi="Calibri" w:eastAsia="Microsoft YaHei"/>
                  <w:color w:val="008C95"/>
                  <w:u w:val="single"/>
                </w:rPr>
                <w:t>打开原始来源 ↗</w:t>
              </w:r>
            </w:hyperlink>
          </w:p>
        </w:tc>
      </w:tr>
      <w:tr>
        <w:trPr>
          <w:cantSplit/>
        </w:trPr>
        <w:tc>
          <w:tcPr>
            <w:tcW w:type="dxa" w:w="900"/>
          </w:tcPr>
          <w:p>
            <w:pPr>
              <w:keepLines/>
              <w:spacing w:after="0" w:line="276" w:lineRule="auto"/>
            </w:pPr>
            <w:r>
              <w:rPr>
                <w:rFonts w:ascii="Calibri" w:hAnsi="Calibri" w:eastAsia="Microsoft YaHei"/>
                <w:color w:val="0B2545"/>
                <w:sz w:val="14"/>
              </w:rPr>
              <w:t>软件</w:t>
            </w:r>
          </w:p>
        </w:tc>
        <w:tc>
          <w:tcPr>
            <w:tcW w:type="dxa" w:w="3200"/>
          </w:tcPr>
          <w:p>
            <w:pPr>
              <w:keepLines/>
              <w:spacing w:after="0" w:line="276" w:lineRule="auto"/>
            </w:pPr>
            <w:r>
              <w:rPr>
                <w:rFonts w:ascii="Calibri" w:hAnsi="Calibri" w:eastAsia="Microsoft YaHei"/>
                <w:color w:val="0B2545"/>
                <w:sz w:val="14"/>
              </w:rPr>
              <w:t>OMAS</w:t>
            </w:r>
          </w:p>
        </w:tc>
        <w:tc>
          <w:tcPr>
            <w:tcW w:type="dxa" w:w="2760"/>
          </w:tcPr>
          <w:p>
            <w:pPr>
              <w:keepLines/>
              <w:spacing w:after="0" w:line="276" w:lineRule="auto"/>
            </w:pPr>
            <w:r>
              <w:rPr>
                <w:rFonts w:ascii="Calibri" w:hAnsi="Calibri" w:eastAsia="Microsoft YaHei"/>
                <w:color w:val="0B2545"/>
                <w:sz w:val="14"/>
              </w:rPr>
              <w:t>official-enabling / 使能 DIII-D/IMAS 数据映射，不是诊断反演全集</w:t>
            </w:r>
          </w:p>
        </w:tc>
        <w:tc>
          <w:tcPr>
            <w:tcW w:type="dxa" w:w="2500"/>
          </w:tcPr>
          <w:p>
            <w:pPr>
              <w:keepLines/>
              <w:spacing w:after="0" w:line="276" w:lineRule="auto"/>
            </w:pPr>
            <w:hyperlink r:id="rId25">
              <w:r>
                <w:rPr>
                  <w:rFonts w:ascii="Calibri" w:hAnsi="Calibri" w:eastAsia="Microsoft YaHei"/>
                  <w:color w:val="008C95"/>
                  <w:u w:val="single"/>
                </w:rPr>
                <w:t>打开原始来源 ↗</w:t>
              </w:r>
            </w:hyperlink>
          </w:p>
        </w:tc>
      </w:tr>
      <w:tr>
        <w:trPr>
          <w:cantSplit/>
        </w:trPr>
        <w:tc>
          <w:tcPr>
            <w:tcW w:type="dxa" w:w="900"/>
          </w:tcPr>
          <w:p>
            <w:pPr>
              <w:keepLines/>
              <w:spacing w:after="0" w:line="276" w:lineRule="auto"/>
            </w:pPr>
            <w:r>
              <w:rPr>
                <w:rFonts w:ascii="Calibri" w:hAnsi="Calibri" w:eastAsia="Microsoft YaHei"/>
                <w:color w:val="0B2545"/>
                <w:sz w:val="14"/>
              </w:rPr>
              <w:t>软件</w:t>
            </w:r>
          </w:p>
        </w:tc>
        <w:tc>
          <w:tcPr>
            <w:tcW w:type="dxa" w:w="3200"/>
          </w:tcPr>
          <w:p>
            <w:pPr>
              <w:keepLines/>
              <w:spacing w:after="0" w:line="276" w:lineRule="auto"/>
            </w:pPr>
            <w:r>
              <w:rPr>
                <w:rFonts w:ascii="Calibri" w:hAnsi="Calibri" w:eastAsia="Microsoft YaHei"/>
                <w:color w:val="0B2545"/>
                <w:sz w:val="14"/>
              </w:rPr>
              <w:t>Diag2Diag-SRTS</w:t>
            </w:r>
          </w:p>
        </w:tc>
        <w:tc>
          <w:tcPr>
            <w:tcW w:type="dxa" w:w="2760"/>
          </w:tcPr>
          <w:p>
            <w:pPr>
              <w:keepLines/>
              <w:spacing w:after="0" w:line="276" w:lineRule="auto"/>
            </w:pPr>
            <w:r>
              <w:rPr>
                <w:rFonts w:ascii="Calibri" w:hAnsi="Calibri" w:eastAsia="Microsoft YaHei"/>
                <w:color w:val="0B2545"/>
                <w:sz w:val="14"/>
              </w:rPr>
              <w:t>official-direct / 论文方法与 shot list 公开；原始 DIII-D 数据仍受设施规则约束</w:t>
            </w:r>
          </w:p>
        </w:tc>
        <w:tc>
          <w:tcPr>
            <w:tcW w:type="dxa" w:w="2500"/>
          </w:tcPr>
          <w:p>
            <w:pPr>
              <w:keepLines/>
              <w:spacing w:after="0" w:line="276" w:lineRule="auto"/>
            </w:pPr>
            <w:hyperlink r:id="rId211">
              <w:r>
                <w:rPr>
                  <w:rFonts w:ascii="Calibri" w:hAnsi="Calibri" w:eastAsia="Microsoft YaHei"/>
                  <w:color w:val="008C95"/>
                  <w:u w:val="single"/>
                </w:rPr>
                <w:t>打开原始来源 ↗</w:t>
              </w:r>
            </w:hyperlink>
          </w:p>
        </w:tc>
      </w:tr>
      <w:tr>
        <w:trPr>
          <w:cantSplit/>
        </w:trPr>
        <w:tc>
          <w:tcPr>
            <w:tcW w:type="dxa" w:w="900"/>
          </w:tcPr>
          <w:p>
            <w:pPr>
              <w:keepLines/>
              <w:spacing w:after="0" w:line="276" w:lineRule="auto"/>
            </w:pPr>
            <w:r>
              <w:rPr>
                <w:rFonts w:ascii="Calibri" w:hAnsi="Calibri" w:eastAsia="Microsoft YaHei"/>
                <w:color w:val="0B2545"/>
                <w:sz w:val="14"/>
              </w:rPr>
              <w:t>软件</w:t>
            </w:r>
          </w:p>
        </w:tc>
        <w:tc>
          <w:tcPr>
            <w:tcW w:type="dxa" w:w="3200"/>
          </w:tcPr>
          <w:p>
            <w:pPr>
              <w:keepLines/>
              <w:spacing w:after="0" w:line="276" w:lineRule="auto"/>
            </w:pPr>
            <w:r>
              <w:rPr>
                <w:rFonts w:ascii="Calibri" w:hAnsi="Calibri" w:eastAsia="Microsoft YaHei"/>
                <w:color w:val="0B2545"/>
                <w:sz w:val="14"/>
              </w:rPr>
              <w:t>DIII-D experimental data</w:t>
            </w:r>
          </w:p>
        </w:tc>
        <w:tc>
          <w:tcPr>
            <w:tcW w:type="dxa" w:w="2760"/>
          </w:tcPr>
          <w:p>
            <w:pPr>
              <w:keepLines/>
              <w:spacing w:after="0" w:line="276" w:lineRule="auto"/>
            </w:pPr>
            <w:r>
              <w:rPr>
                <w:rFonts w:ascii="Calibri" w:hAnsi="Calibri" w:eastAsia="Microsoft YaHei"/>
                <w:color w:val="0B2545"/>
                <w:sz w:val="14"/>
              </w:rPr>
              <w:t>controlled-access / 用户设施合作访问</w:t>
            </w:r>
          </w:p>
        </w:tc>
        <w:tc>
          <w:tcPr>
            <w:tcW w:type="dxa" w:w="2500"/>
          </w:tcPr>
          <w:p>
            <w:pPr>
              <w:keepLines/>
              <w:spacing w:after="0" w:line="276" w:lineRule="auto"/>
            </w:pPr>
            <w:hyperlink r:id="rId224">
              <w:r>
                <w:rPr>
                  <w:rFonts w:ascii="Calibri" w:hAnsi="Calibri" w:eastAsia="Microsoft YaHei"/>
                  <w:color w:val="008C95"/>
                  <w:u w:val="single"/>
                </w:rPr>
                <w:t>打开原始来源 ↗</w:t>
              </w:r>
            </w:hyperlink>
          </w:p>
        </w:tc>
      </w:tr>
    </w:tbl>
    <w:p>
      <w:pPr>
        <w:spacing w:before="0" w:after="60"/>
      </w:pPr>
    </w:p>
    <w:p>
      <w:pPr>
        <w:pStyle w:val="Heading2"/>
      </w:pPr>
      <w:r>
        <w:t>17.03  EAST</w:t>
      </w:r>
    </w:p>
    <w:tbl>
      <w:tblPr>
        <w:tblStyle w:val="TableGrid"/>
        <w:tblW w:type="dxa" w:w="9360"/>
        <w:jc w:val="left"/>
        <w:tblLayout w:type="fixed"/>
        <w:tblLook w:firstColumn="1" w:firstRow="1" w:lastColumn="0" w:lastRow="0" w:noHBand="0" w:noVBand="1" w:val="04A0"/>
        <w:tblInd w:w="120" w:type="dxa"/>
      </w:tblPr>
      <w:tblGrid>
        <w:gridCol w:w="1100"/>
        <w:gridCol w:w="1100"/>
        <w:gridCol w:w="2400"/>
        <w:gridCol w:w="1900"/>
        <w:gridCol w:w="2860"/>
      </w:tblGrid>
      <w:tr>
        <w:trPr>
          <w:tblHeader w:val="true"/>
        </w:trPr>
        <w:tc>
          <w:tcPr>
            <w:tcW w:type="dxa" w:w="11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类型</w:t>
            </w:r>
          </w:p>
        </w:tc>
        <w:tc>
          <w:tcPr>
            <w:tcW w:type="dxa" w:w="11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国家/地区</w:t>
            </w:r>
          </w:p>
        </w:tc>
        <w:tc>
          <w:tcPr>
            <w:tcW w:type="dxa" w:w="24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运营方</w:t>
            </w:r>
          </w:p>
        </w:tc>
        <w:tc>
          <w:tcPr>
            <w:tcW w:type="dxa" w:w="19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状态</w:t>
            </w:r>
          </w:p>
        </w:tc>
        <w:tc>
          <w:tcPr>
            <w:tcW w:type="dxa" w:w="286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覆盖任务</w:t>
            </w:r>
          </w:p>
        </w:tc>
      </w:tr>
      <w:tr>
        <w:trPr>
          <w:cantSplit/>
        </w:trPr>
        <w:tc>
          <w:tcPr>
            <w:tcW w:type="dxa" w:w="1100"/>
          </w:tcPr>
          <w:p>
            <w:pPr>
              <w:keepLines/>
              <w:spacing w:after="0" w:line="276" w:lineRule="auto"/>
            </w:pPr>
            <w:r>
              <w:rPr>
                <w:rFonts w:ascii="Calibri" w:hAnsi="Calibri" w:eastAsia="Microsoft YaHei"/>
                <w:color w:val="0B2545"/>
                <w:sz w:val="15"/>
              </w:rPr>
              <w:t>全超导长脉冲托卡马克</w:t>
            </w:r>
          </w:p>
        </w:tc>
        <w:tc>
          <w:tcPr>
            <w:tcW w:type="dxa" w:w="1100"/>
          </w:tcPr>
          <w:p>
            <w:pPr>
              <w:keepLines/>
              <w:spacing w:after="0" w:line="276" w:lineRule="auto"/>
            </w:pPr>
            <w:r>
              <w:rPr>
                <w:rFonts w:ascii="Calibri" w:hAnsi="Calibri" w:eastAsia="Microsoft YaHei"/>
                <w:color w:val="0B2545"/>
                <w:sz w:val="15"/>
              </w:rPr>
              <w:t>中国</w:t>
            </w:r>
          </w:p>
        </w:tc>
        <w:tc>
          <w:tcPr>
            <w:tcW w:type="dxa" w:w="2400"/>
          </w:tcPr>
          <w:p>
            <w:pPr>
              <w:keepLines/>
              <w:spacing w:after="0" w:line="276" w:lineRule="auto"/>
            </w:pPr>
            <w:r>
              <w:rPr>
                <w:rFonts w:ascii="Calibri" w:hAnsi="Calibri" w:eastAsia="Microsoft YaHei"/>
                <w:color w:val="0B2545"/>
                <w:sz w:val="15"/>
              </w:rPr>
              <w:t>中国科学院合肥物质科学研究院等离子体物理研究所</w:t>
            </w:r>
          </w:p>
        </w:tc>
        <w:tc>
          <w:tcPr>
            <w:tcW w:type="dxa" w:w="1900"/>
          </w:tcPr>
          <w:p>
            <w:pPr>
              <w:keepLines/>
              <w:spacing w:after="0" w:line="276" w:lineRule="auto"/>
            </w:pPr>
            <w:r>
              <w:rPr>
                <w:rFonts w:ascii="Calibri" w:hAnsi="Calibri" w:eastAsia="Microsoft YaHei"/>
                <w:color w:val="0B2545"/>
                <w:sz w:val="15"/>
              </w:rPr>
              <w:t>运行中的长脉冲研究装置</w:t>
            </w:r>
          </w:p>
        </w:tc>
        <w:tc>
          <w:tcPr>
            <w:tcW w:type="dxa" w:w="2860"/>
          </w:tcPr>
          <w:p>
            <w:pPr>
              <w:keepLines/>
              <w:spacing w:after="0" w:line="276" w:lineRule="auto"/>
            </w:pPr>
            <w:r>
              <w:rPr>
                <w:rFonts w:ascii="Calibri" w:hAnsi="Calibri" w:eastAsia="Microsoft YaHei"/>
                <w:color w:val="0B2545"/>
                <w:sz w:val="15"/>
              </w:rPr>
              <w:t>DG0；DG1；DG2；DG3；DG4；DG5；DG6；DG7；DG8；DG11</w:t>
            </w:r>
          </w:p>
        </w:tc>
      </w:tr>
    </w:tbl>
    <w:p>
      <w:pPr>
        <w:spacing w:before="0" w:after="60"/>
      </w:pPr>
    </w:p>
    <w:p>
      <w:pPr>
        <w:widowControl/>
      </w:pPr>
      <w:r>
        <w:rPr>
          <w:rFonts w:ascii="Calibri" w:hAnsi="Calibri" w:eastAsia="Microsoft YaHei"/>
          <w:b/>
          <w:color w:val="1F4D78"/>
        </w:rPr>
        <w:t>诊断概况：</w:t>
      </w:r>
      <w:r>
        <w:rPr>
          <w:rFonts w:ascii="Calibri" w:hAnsi="Calibri" w:eastAsia="Microsoft YaHei"/>
        </w:rPr>
        <w:t>EAST 的诊断组合服务于稳态高约束、加热电流驱动、快离子、钨偏滤器和长脉冲设备健康：磁测量/POINT、Thomson、ECE/ECEI、反射计、FIDA、中子监测、光谱/SXR/bolometer、IR 与 Langmuir 探针。MDSplus 既归档物理诊断也支持技术诊断；长脉冲中标定漂移、冷却与数据连续性尤为重要。</w:t>
      </w:r>
    </w:p>
    <w:p>
      <w:pPr>
        <w:widowControl/>
      </w:pPr>
      <w:r>
        <w:rPr>
          <w:rFonts w:ascii="Calibri" w:hAnsi="Calibri" w:eastAsia="Microsoft YaHei"/>
          <w:b/>
          <w:color w:val="1F4D78"/>
        </w:rPr>
        <w:t>主要系统：</w:t>
      </w:r>
      <w:r>
        <w:rPr>
          <w:rFonts w:ascii="Calibri" w:hAnsi="Calibri" w:eastAsia="Microsoft YaHei"/>
        </w:rPr>
        <w:t>family: profiles-equilibrium；systems: magnetics；POINT polarimeter-interferometer；Thomson；ECE/ECEI；reflectometry；measuredQuantities: boundary/current profile；ne/Te；MHD；evidence: E4/D4；realTimeUse: P-EFIT、密度和温度/事件服务；family: fast-ion-radiation；systems: FIDA；neutron flux/profile/spectrum；SXR；bolometry；spectroscopy；measuredQuantities: fast ions；fusion neutrons；radiation/impurities；evidence: E3-E4/D3-D4；realTimeUse: 系统而异；family: engineering-edge；systems: IR thermography；Langmuir probes；coil outlet temperature TDS；cryogenic/vacuum plant signals；measuredQuantities: PFC temperature/heat load；edge plasma；coil/cryogenic health；evidence: E4/D4；realTimeUse: TDS 阈值可触发装置安全联锁</w:t>
      </w:r>
    </w:p>
    <w:p>
      <w:pPr>
        <w:widowControl/>
      </w:pPr>
      <w:r>
        <w:rPr>
          <w:rFonts w:ascii="Calibri" w:hAnsi="Calibri" w:eastAsia="Microsoft YaHei"/>
          <w:b/>
          <w:color w:val="1F4D78"/>
        </w:rPr>
        <w:t>测量/传感：</w:t>
      </w:r>
      <w:r>
        <w:rPr>
          <w:rFonts w:ascii="Calibri" w:hAnsi="Calibri" w:eastAsia="Microsoft YaHei"/>
        </w:rPr>
        <w:t>magnetic coils/FOCS；FIR/polarimetry optics；ECE radiometers；laser Thomson；spectrometers；neutron detectors；IR cameras/probes；cryogenic temperature sensors</w:t>
      </w:r>
    </w:p>
    <w:p>
      <w:pPr>
        <w:widowControl/>
      </w:pPr>
      <w:r>
        <w:rPr>
          <w:rFonts w:ascii="Calibri" w:hAnsi="Calibri" w:eastAsia="Microsoft YaHei"/>
          <w:b/>
          <w:color w:val="1F4D78"/>
        </w:rPr>
        <w:t>实时与 PCS 接口：</w:t>
      </w:r>
      <w:r>
        <w:rPr>
          <w:rFonts w:ascii="Calibri" w:hAnsi="Calibri" w:eastAsia="Microsoft YaHei"/>
        </w:rPr>
        <w:t>PCS/P-EFIT/POINT；MDSplus 实时/脉冲归档；TDS 到 cryogenic system 与 safety interlock</w:t>
      </w:r>
    </w:p>
    <w:p>
      <w:pPr>
        <w:widowControl/>
      </w:pPr>
      <w:r>
        <w:rPr>
          <w:rFonts w:ascii="Calibri" w:hAnsi="Calibri" w:eastAsia="Microsoft YaHei"/>
          <w:b/>
          <w:color w:val="1F4D78"/>
        </w:rPr>
        <w:t>数据平台：</w:t>
      </w:r>
      <w:r>
        <w:rPr>
          <w:rFonts w:ascii="Calibri" w:hAnsi="Calibri" w:eastAsia="Microsoft YaHei"/>
        </w:rPr>
        <w:t>systems: MDSplus；MySQL for selected engineering metadata；EAST DAQ；access: 数据主要通过合作；DAQ论文和部分接口材料公开；evidence: EAST DAQ/TDS primary papers</w:t>
      </w:r>
    </w:p>
    <w:p>
      <w:pPr>
        <w:widowControl/>
      </w:pPr>
      <w:r>
        <w:rPr>
          <w:rFonts w:ascii="Calibri" w:hAnsi="Calibri" w:eastAsia="Microsoft YaHei"/>
          <w:b/>
          <w:color w:val="1F4D78"/>
        </w:rPr>
        <w:t>代表工作概述：</w:t>
      </w:r>
      <w:r>
        <w:rPr>
          <w:rFonts w:ascii="Calibri" w:hAnsi="Calibri" w:eastAsia="Microsoft YaHei"/>
        </w:rPr>
        <w:t>POINT 偏振干涉约束实时电流剖面；ECE 频段升级与 ECEI 合成诊断；双视向 FIDA 与中子谱/相机；钨偏滤器 IR/探针/光谱；超导线圈温度技术诊断与联锁</w:t>
      </w:r>
    </w:p>
    <w:p>
      <w:pPr>
        <w:widowControl/>
      </w:pPr>
      <w:r>
        <w:rPr>
          <w:rFonts w:ascii="Calibri" w:hAnsi="Calibri" w:eastAsia="Microsoft YaHei"/>
          <w:b/>
          <w:color w:val="1F4D78"/>
        </w:rPr>
        <w:t>证据边界：</w:t>
      </w:r>
      <w:r>
        <w:rPr>
          <w:rFonts w:ascii="Calibri" w:hAnsi="Calibri" w:eastAsia="Microsoft YaHei"/>
        </w:rPr>
        <w:t>各诊断标定、数据质量位和生产算法开放度有限；长期稳态放大了积分漂移、热漂移、通道退化与数据吞吐风险；技术诊断联锁证据不等于核安全资格</w:t>
      </w:r>
    </w:p>
    <w:tbl>
      <w:tblPr>
        <w:tblStyle w:val="TableGrid"/>
        <w:tblW w:type="dxa" w:w="9360"/>
        <w:jc w:val="left"/>
        <w:tblLayout w:type="fixed"/>
        <w:tblLook w:firstColumn="1" w:firstRow="1" w:lastColumn="0" w:lastRow="0" w:noHBand="0" w:noVBand="1" w:val="04A0"/>
        <w:tblInd w:w="120" w:type="dxa"/>
      </w:tblPr>
      <w:tblGrid>
        <w:gridCol w:w="1200"/>
        <w:gridCol w:w="750"/>
        <w:gridCol w:w="5300"/>
        <w:gridCol w:w="950"/>
        <w:gridCol w:w="1160"/>
      </w:tblGrid>
      <w:tr>
        <w:trPr>
          <w:tblHeader w:val="true"/>
        </w:trPr>
        <w:tc>
          <w:tcPr>
            <w:tcW w:type="dxa" w:w="12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工作 ID</w:t>
            </w:r>
          </w:p>
        </w:tc>
        <w:tc>
          <w:tcPr>
            <w:tcW w:type="dxa" w:w="7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任务</w:t>
            </w:r>
          </w:p>
        </w:tc>
        <w:tc>
          <w:tcPr>
            <w:tcW w:type="dxa" w:w="53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代表工作</w:t>
            </w:r>
          </w:p>
        </w:tc>
        <w:tc>
          <w:tcPr>
            <w:tcW w:type="dxa" w:w="9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证据</w:t>
            </w:r>
          </w:p>
        </w:tc>
        <w:tc>
          <w:tcPr>
            <w:tcW w:type="dxa" w:w="116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部署</w:t>
            </w:r>
          </w:p>
        </w:tc>
      </w:tr>
      <w:tr>
        <w:trPr>
          <w:cantSplit/>
        </w:trPr>
        <w:tc>
          <w:tcPr>
            <w:tcW w:type="dxa" w:w="1200"/>
          </w:tcPr>
          <w:p>
            <w:pPr>
              <w:keepLines/>
              <w:spacing w:after="0" w:line="276" w:lineRule="auto"/>
            </w:pPr>
            <w:r>
              <w:rPr>
                <w:rFonts w:ascii="Calibri" w:hAnsi="Calibri" w:eastAsia="Microsoft YaHei"/>
                <w:color w:val="0B2545"/>
                <w:sz w:val="15"/>
              </w:rPr>
              <w:t>PDT-003</w:t>
            </w:r>
          </w:p>
        </w:tc>
        <w:tc>
          <w:tcPr>
            <w:tcW w:type="dxa" w:w="750"/>
          </w:tcPr>
          <w:p>
            <w:pPr>
              <w:keepLines/>
              <w:spacing w:after="0" w:line="276" w:lineRule="auto"/>
            </w:pPr>
            <w:r>
              <w:rPr>
                <w:rFonts w:ascii="Calibri" w:hAnsi="Calibri" w:eastAsia="Microsoft YaHei"/>
                <w:color w:val="0B2545"/>
                <w:sz w:val="15"/>
              </w:rPr>
              <w:t>DG8</w:t>
            </w:r>
          </w:p>
        </w:tc>
        <w:tc>
          <w:tcPr>
            <w:tcW w:type="dxa" w:w="5300"/>
          </w:tcPr>
          <w:p>
            <w:pPr>
              <w:keepLines/>
              <w:spacing w:after="0" w:line="276" w:lineRule="auto"/>
            </w:pPr>
            <w:r>
              <w:rPr>
                <w:rFonts w:ascii="Calibri" w:hAnsi="Calibri" w:eastAsia="Microsoft YaHei"/>
                <w:color w:val="0B2545"/>
                <w:sz w:val="15"/>
              </w:rPr>
              <w:t>EAST 超导线圈出口温度技术诊断与安全联锁</w:t>
            </w:r>
          </w:p>
        </w:tc>
        <w:tc>
          <w:tcPr>
            <w:tcW w:type="dxa" w:w="950"/>
          </w:tcPr>
          <w:p>
            <w:pPr>
              <w:keepLines/>
              <w:spacing w:after="0" w:line="276" w:lineRule="auto"/>
            </w:pPr>
            <w:r>
              <w:rPr>
                <w:rFonts w:ascii="Calibri" w:hAnsi="Calibri" w:eastAsia="Microsoft YaHei"/>
                <w:color w:val="0B2545"/>
                <w:sz w:val="15"/>
              </w:rPr>
              <w:t>E4</w:t>
            </w:r>
          </w:p>
        </w:tc>
        <w:tc>
          <w:tcPr>
            <w:tcW w:type="dxa" w:w="1160"/>
          </w:tcPr>
          <w:p>
            <w:pPr>
              <w:keepLines/>
              <w:spacing w:after="0" w:line="276" w:lineRule="auto"/>
            </w:pPr>
            <w:r>
              <w:rPr>
                <w:rFonts w:ascii="Calibri" w:hAnsi="Calibri" w:eastAsia="Microsoft YaHei"/>
                <w:color w:val="0B2545"/>
                <w:sz w:val="15"/>
              </w:rPr>
              <w:t>D4</w:t>
            </w:r>
          </w:p>
        </w:tc>
      </w:tr>
      <w:tr>
        <w:trPr>
          <w:cantSplit/>
        </w:trPr>
        <w:tc>
          <w:tcPr>
            <w:tcW w:type="dxa" w:w="1200"/>
          </w:tcPr>
          <w:p>
            <w:pPr>
              <w:keepLines/>
              <w:spacing w:after="0" w:line="276" w:lineRule="auto"/>
            </w:pPr>
            <w:r>
              <w:rPr>
                <w:rFonts w:ascii="Calibri" w:hAnsi="Calibri" w:eastAsia="Microsoft YaHei"/>
                <w:color w:val="0B2545"/>
                <w:sz w:val="15"/>
              </w:rPr>
              <w:t>PDT-007</w:t>
            </w:r>
          </w:p>
        </w:tc>
        <w:tc>
          <w:tcPr>
            <w:tcW w:type="dxa" w:w="750"/>
          </w:tcPr>
          <w:p>
            <w:pPr>
              <w:keepLines/>
              <w:spacing w:after="0" w:line="276" w:lineRule="auto"/>
            </w:pPr>
            <w:r>
              <w:rPr>
                <w:rFonts w:ascii="Calibri" w:hAnsi="Calibri" w:eastAsia="Microsoft YaHei"/>
                <w:color w:val="0B2545"/>
                <w:sz w:val="15"/>
              </w:rPr>
              <w:t>DG8</w:t>
            </w:r>
          </w:p>
        </w:tc>
        <w:tc>
          <w:tcPr>
            <w:tcW w:type="dxa" w:w="5300"/>
          </w:tcPr>
          <w:p>
            <w:pPr>
              <w:keepLines/>
              <w:spacing w:after="0" w:line="276" w:lineRule="auto"/>
            </w:pPr>
            <w:r>
              <w:rPr>
                <w:rFonts w:ascii="Calibri" w:hAnsi="Calibri" w:eastAsia="Microsoft YaHei"/>
                <w:color w:val="0B2545"/>
                <w:sz w:val="15"/>
              </w:rPr>
              <w:t>EAST 钨偏滤器 FBG 应变—温度监测研发</w:t>
            </w:r>
          </w:p>
        </w:tc>
        <w:tc>
          <w:tcPr>
            <w:tcW w:type="dxa" w:w="950"/>
          </w:tcPr>
          <w:p>
            <w:pPr>
              <w:keepLines/>
              <w:spacing w:after="0" w:line="276" w:lineRule="auto"/>
            </w:pPr>
            <w:r>
              <w:rPr>
                <w:rFonts w:ascii="Calibri" w:hAnsi="Calibri" w:eastAsia="Microsoft YaHei"/>
                <w:color w:val="0B2545"/>
                <w:sz w:val="15"/>
              </w:rPr>
              <w:t>E2</w:t>
            </w:r>
          </w:p>
        </w:tc>
        <w:tc>
          <w:tcPr>
            <w:tcW w:type="dxa" w:w="1160"/>
          </w:tcPr>
          <w:p>
            <w:pPr>
              <w:keepLines/>
              <w:spacing w:after="0" w:line="276" w:lineRule="auto"/>
            </w:pPr>
            <w:r>
              <w:rPr>
                <w:rFonts w:ascii="Calibri" w:hAnsi="Calibri" w:eastAsia="Microsoft YaHei"/>
                <w:color w:val="0B2545"/>
                <w:sz w:val="15"/>
              </w:rPr>
              <w:t>D2</w:t>
            </w:r>
          </w:p>
        </w:tc>
      </w:tr>
      <w:tr>
        <w:trPr>
          <w:cantSplit/>
        </w:trPr>
        <w:tc>
          <w:tcPr>
            <w:tcW w:type="dxa" w:w="1200"/>
          </w:tcPr>
          <w:p>
            <w:pPr>
              <w:keepLines/>
              <w:spacing w:after="0" w:line="276" w:lineRule="auto"/>
            </w:pPr>
            <w:r>
              <w:rPr>
                <w:rFonts w:ascii="Calibri" w:hAnsi="Calibri" w:eastAsia="Microsoft YaHei"/>
                <w:color w:val="0B2545"/>
                <w:sz w:val="15"/>
              </w:rPr>
              <w:t>DSI-002</w:t>
            </w:r>
          </w:p>
        </w:tc>
        <w:tc>
          <w:tcPr>
            <w:tcW w:type="dxa" w:w="750"/>
          </w:tcPr>
          <w:p>
            <w:pPr>
              <w:keepLines/>
              <w:spacing w:after="0" w:line="276" w:lineRule="auto"/>
            </w:pPr>
            <w:r>
              <w:rPr>
                <w:rFonts w:ascii="Calibri" w:hAnsi="Calibri" w:eastAsia="Microsoft YaHei"/>
                <w:color w:val="0B2545"/>
                <w:sz w:val="15"/>
              </w:rPr>
              <w:t>DG0</w:t>
            </w:r>
          </w:p>
        </w:tc>
        <w:tc>
          <w:tcPr>
            <w:tcW w:type="dxa" w:w="5300"/>
          </w:tcPr>
          <w:p>
            <w:pPr>
              <w:keepLines/>
              <w:spacing w:after="0" w:line="276" w:lineRule="auto"/>
            </w:pPr>
            <w:r>
              <w:rPr>
                <w:rFonts w:ascii="Calibri" w:hAnsi="Calibri" w:eastAsia="Microsoft YaHei"/>
                <w:color w:val="0B2545"/>
                <w:sz w:val="15"/>
              </w:rPr>
              <w:t>MDSplus 脉冲树、数据采集与时序数据管理</w:t>
            </w:r>
          </w:p>
        </w:tc>
        <w:tc>
          <w:tcPr>
            <w:tcW w:type="dxa" w:w="950"/>
          </w:tcPr>
          <w:p>
            <w:pPr>
              <w:keepLines/>
              <w:spacing w:after="0" w:line="276" w:lineRule="auto"/>
            </w:pPr>
            <w:r>
              <w:rPr>
                <w:rFonts w:ascii="Calibri" w:hAnsi="Calibri" w:eastAsia="Microsoft YaHei"/>
                <w:color w:val="0B2545"/>
                <w:sz w:val="15"/>
              </w:rPr>
              <w:t>E4</w:t>
            </w:r>
          </w:p>
        </w:tc>
        <w:tc>
          <w:tcPr>
            <w:tcW w:type="dxa" w:w="1160"/>
          </w:tcPr>
          <w:p>
            <w:pPr>
              <w:keepLines/>
              <w:spacing w:after="0" w:line="276" w:lineRule="auto"/>
            </w:pPr>
            <w:r>
              <w:rPr>
                <w:rFonts w:ascii="Calibri" w:hAnsi="Calibri" w:eastAsia="Microsoft YaHei"/>
                <w:color w:val="0B2545"/>
                <w:sz w:val="15"/>
              </w:rPr>
              <w:t>D4</w:t>
            </w:r>
          </w:p>
        </w:tc>
      </w:tr>
      <w:tr>
        <w:trPr>
          <w:cantSplit/>
        </w:trPr>
        <w:tc>
          <w:tcPr>
            <w:tcW w:type="dxa" w:w="1200"/>
          </w:tcPr>
          <w:p>
            <w:pPr>
              <w:keepLines/>
              <w:spacing w:after="0" w:line="276" w:lineRule="auto"/>
            </w:pPr>
            <w:r>
              <w:rPr>
                <w:rFonts w:ascii="Calibri" w:hAnsi="Calibri" w:eastAsia="Microsoft YaHei"/>
                <w:color w:val="0B2545"/>
                <w:sz w:val="15"/>
              </w:rPr>
              <w:t>DG1-003</w:t>
            </w:r>
          </w:p>
        </w:tc>
        <w:tc>
          <w:tcPr>
            <w:tcW w:type="dxa" w:w="750"/>
          </w:tcPr>
          <w:p>
            <w:pPr>
              <w:keepLines/>
              <w:spacing w:after="0" w:line="276" w:lineRule="auto"/>
            </w:pPr>
            <w:r>
              <w:rPr>
                <w:rFonts w:ascii="Calibri" w:hAnsi="Calibri" w:eastAsia="Microsoft YaHei"/>
                <w:color w:val="0B2545"/>
                <w:sz w:val="15"/>
              </w:rPr>
              <w:t>DG1</w:t>
            </w:r>
          </w:p>
        </w:tc>
        <w:tc>
          <w:tcPr>
            <w:tcW w:type="dxa" w:w="5300"/>
          </w:tcPr>
          <w:p>
            <w:pPr>
              <w:keepLines/>
              <w:spacing w:after="0" w:line="276" w:lineRule="auto"/>
            </w:pPr>
            <w:r>
              <w:rPr>
                <w:rFonts w:ascii="Calibri" w:hAnsi="Calibri" w:eastAsia="Microsoft YaHei"/>
                <w:color w:val="0B2545"/>
                <w:sz w:val="15"/>
              </w:rPr>
              <w:t>光纤电流传感：EAST等离子体与PF母排电流</w:t>
            </w:r>
          </w:p>
        </w:tc>
        <w:tc>
          <w:tcPr>
            <w:tcW w:type="dxa" w:w="950"/>
          </w:tcPr>
          <w:p>
            <w:pPr>
              <w:keepLines/>
              <w:spacing w:after="0" w:line="276" w:lineRule="auto"/>
            </w:pPr>
            <w:r>
              <w:rPr>
                <w:rFonts w:ascii="Calibri" w:hAnsi="Calibri" w:eastAsia="Microsoft YaHei"/>
                <w:color w:val="0B2545"/>
                <w:sz w:val="15"/>
              </w:rPr>
              <w:t>E4</w:t>
            </w:r>
          </w:p>
        </w:tc>
        <w:tc>
          <w:tcPr>
            <w:tcW w:type="dxa" w:w="1160"/>
          </w:tcPr>
          <w:p>
            <w:pPr>
              <w:keepLines/>
              <w:spacing w:after="0" w:line="276" w:lineRule="auto"/>
            </w:pPr>
            <w:r>
              <w:rPr>
                <w:rFonts w:ascii="Calibri" w:hAnsi="Calibri" w:eastAsia="Microsoft YaHei"/>
                <w:color w:val="0B2545"/>
                <w:sz w:val="15"/>
              </w:rPr>
              <w:t>D4</w:t>
            </w:r>
          </w:p>
        </w:tc>
      </w:tr>
      <w:tr>
        <w:trPr>
          <w:cantSplit/>
        </w:trPr>
        <w:tc>
          <w:tcPr>
            <w:tcW w:type="dxa" w:w="1200"/>
          </w:tcPr>
          <w:p>
            <w:pPr>
              <w:keepLines/>
              <w:spacing w:after="0" w:line="276" w:lineRule="auto"/>
            </w:pPr>
            <w:r>
              <w:rPr>
                <w:rFonts w:ascii="Calibri" w:hAnsi="Calibri" w:eastAsia="Microsoft YaHei"/>
                <w:color w:val="0B2545"/>
                <w:sz w:val="15"/>
              </w:rPr>
              <w:t>DG1-005</w:t>
            </w:r>
          </w:p>
        </w:tc>
        <w:tc>
          <w:tcPr>
            <w:tcW w:type="dxa" w:w="750"/>
          </w:tcPr>
          <w:p>
            <w:pPr>
              <w:keepLines/>
              <w:spacing w:after="0" w:line="276" w:lineRule="auto"/>
            </w:pPr>
            <w:r>
              <w:rPr>
                <w:rFonts w:ascii="Calibri" w:hAnsi="Calibri" w:eastAsia="Microsoft YaHei"/>
                <w:color w:val="0B2545"/>
                <w:sz w:val="15"/>
              </w:rPr>
              <w:t>DG1</w:t>
            </w:r>
          </w:p>
        </w:tc>
        <w:tc>
          <w:tcPr>
            <w:tcW w:type="dxa" w:w="5300"/>
          </w:tcPr>
          <w:p>
            <w:pPr>
              <w:keepLines/>
              <w:spacing w:after="0" w:line="276" w:lineRule="auto"/>
            </w:pPr>
            <w:r>
              <w:rPr>
                <w:rFonts w:ascii="Calibri" w:hAnsi="Calibri" w:eastAsia="Microsoft YaHei"/>
                <w:color w:val="0B2545"/>
                <w:sz w:val="15"/>
              </w:rPr>
              <w:t>实时磁平衡重建：rtEFIT与GPU实现</w:t>
            </w:r>
          </w:p>
        </w:tc>
        <w:tc>
          <w:tcPr>
            <w:tcW w:type="dxa" w:w="950"/>
          </w:tcPr>
          <w:p>
            <w:pPr>
              <w:keepLines/>
              <w:spacing w:after="0" w:line="276" w:lineRule="auto"/>
            </w:pPr>
            <w:r>
              <w:rPr>
                <w:rFonts w:ascii="Calibri" w:hAnsi="Calibri" w:eastAsia="Microsoft YaHei"/>
                <w:color w:val="0B2545"/>
                <w:sz w:val="15"/>
              </w:rPr>
              <w:t>E4</w:t>
            </w:r>
          </w:p>
        </w:tc>
        <w:tc>
          <w:tcPr>
            <w:tcW w:type="dxa" w:w="1160"/>
          </w:tcPr>
          <w:p>
            <w:pPr>
              <w:keepLines/>
              <w:spacing w:after="0" w:line="276" w:lineRule="auto"/>
            </w:pPr>
            <w:r>
              <w:rPr>
                <w:rFonts w:ascii="Calibri" w:hAnsi="Calibri" w:eastAsia="Microsoft YaHei"/>
                <w:color w:val="0B2545"/>
                <w:sz w:val="15"/>
              </w:rPr>
              <w:t>D4</w:t>
            </w:r>
          </w:p>
        </w:tc>
      </w:tr>
      <w:tr>
        <w:trPr>
          <w:cantSplit/>
        </w:trPr>
        <w:tc>
          <w:tcPr>
            <w:tcW w:type="dxa" w:w="1200"/>
          </w:tcPr>
          <w:p>
            <w:pPr>
              <w:keepLines/>
              <w:spacing w:after="0" w:line="276" w:lineRule="auto"/>
            </w:pPr>
            <w:r>
              <w:rPr>
                <w:rFonts w:ascii="Calibri" w:hAnsi="Calibri" w:eastAsia="Microsoft YaHei"/>
                <w:color w:val="0B2545"/>
                <w:sz w:val="15"/>
              </w:rPr>
              <w:t>DG3-012</w:t>
            </w:r>
          </w:p>
        </w:tc>
        <w:tc>
          <w:tcPr>
            <w:tcW w:type="dxa" w:w="750"/>
          </w:tcPr>
          <w:p>
            <w:pPr>
              <w:keepLines/>
              <w:spacing w:after="0" w:line="276" w:lineRule="auto"/>
            </w:pPr>
            <w:r>
              <w:rPr>
                <w:rFonts w:ascii="Calibri" w:hAnsi="Calibri" w:eastAsia="Microsoft YaHei"/>
                <w:color w:val="0B2545"/>
                <w:sz w:val="15"/>
              </w:rPr>
              <w:t>DG3</w:t>
            </w:r>
          </w:p>
        </w:tc>
        <w:tc>
          <w:tcPr>
            <w:tcW w:type="dxa" w:w="5300"/>
          </w:tcPr>
          <w:p>
            <w:pPr>
              <w:keepLines/>
              <w:spacing w:after="0" w:line="276" w:lineRule="auto"/>
            </w:pPr>
            <w:r>
              <w:rPr>
                <w:rFonts w:ascii="Calibri" w:hAnsi="Calibri" w:eastAsia="Microsoft YaHei"/>
                <w:color w:val="0B2545"/>
                <w:sz w:val="15"/>
              </w:rPr>
              <w:t>成像X射线晶体谱：二维离子温度、流速与杂质</w:t>
            </w:r>
          </w:p>
        </w:tc>
        <w:tc>
          <w:tcPr>
            <w:tcW w:type="dxa" w:w="950"/>
          </w:tcPr>
          <w:p>
            <w:pPr>
              <w:keepLines/>
              <w:spacing w:after="0" w:line="276" w:lineRule="auto"/>
            </w:pPr>
            <w:r>
              <w:rPr>
                <w:rFonts w:ascii="Calibri" w:hAnsi="Calibri" w:eastAsia="Microsoft YaHei"/>
                <w:color w:val="0B2545"/>
                <w:sz w:val="15"/>
              </w:rPr>
              <w:t>E4</w:t>
            </w:r>
          </w:p>
        </w:tc>
        <w:tc>
          <w:tcPr>
            <w:tcW w:type="dxa" w:w="1160"/>
          </w:tcPr>
          <w:p>
            <w:pPr>
              <w:keepLines/>
              <w:spacing w:after="0" w:line="276" w:lineRule="auto"/>
            </w:pPr>
            <w:r>
              <w:rPr>
                <w:rFonts w:ascii="Calibri" w:hAnsi="Calibri" w:eastAsia="Microsoft YaHei"/>
                <w:color w:val="0B2545"/>
                <w:sz w:val="15"/>
              </w:rPr>
              <w:t>D4</w:t>
            </w:r>
          </w:p>
        </w:tc>
      </w:tr>
      <w:tr>
        <w:trPr>
          <w:cantSplit/>
        </w:trPr>
        <w:tc>
          <w:tcPr>
            <w:tcW w:type="dxa" w:w="1200"/>
          </w:tcPr>
          <w:p>
            <w:pPr>
              <w:keepLines/>
              <w:spacing w:after="0" w:line="276" w:lineRule="auto"/>
            </w:pPr>
            <w:r>
              <w:rPr>
                <w:rFonts w:ascii="Calibri" w:hAnsi="Calibri" w:eastAsia="Microsoft YaHei"/>
                <w:color w:val="0B2545"/>
                <w:sz w:val="15"/>
              </w:rPr>
              <w:t>DG4-017</w:t>
            </w:r>
          </w:p>
        </w:tc>
        <w:tc>
          <w:tcPr>
            <w:tcW w:type="dxa" w:w="750"/>
          </w:tcPr>
          <w:p>
            <w:pPr>
              <w:keepLines/>
              <w:spacing w:after="0" w:line="276" w:lineRule="auto"/>
            </w:pPr>
            <w:r>
              <w:rPr>
                <w:rFonts w:ascii="Calibri" w:hAnsi="Calibri" w:eastAsia="Microsoft YaHei"/>
                <w:color w:val="0B2545"/>
                <w:sz w:val="15"/>
              </w:rPr>
              <w:t>DG4</w:t>
            </w:r>
          </w:p>
        </w:tc>
        <w:tc>
          <w:tcPr>
            <w:tcW w:type="dxa" w:w="5300"/>
          </w:tcPr>
          <w:p>
            <w:pPr>
              <w:keepLines/>
              <w:spacing w:after="0" w:line="276" w:lineRule="auto"/>
            </w:pPr>
            <w:r>
              <w:rPr>
                <w:rFonts w:ascii="Calibri" w:hAnsi="Calibri" w:eastAsia="Microsoft YaHei"/>
                <w:color w:val="0B2545"/>
                <w:sz w:val="15"/>
              </w:rPr>
              <w:t>软X射线阵列与快速层析</w:t>
            </w:r>
          </w:p>
        </w:tc>
        <w:tc>
          <w:tcPr>
            <w:tcW w:type="dxa" w:w="950"/>
          </w:tcPr>
          <w:p>
            <w:pPr>
              <w:keepLines/>
              <w:spacing w:after="0" w:line="276" w:lineRule="auto"/>
            </w:pPr>
            <w:r>
              <w:rPr>
                <w:rFonts w:ascii="Calibri" w:hAnsi="Calibri" w:eastAsia="Microsoft YaHei"/>
                <w:color w:val="0B2545"/>
                <w:sz w:val="15"/>
              </w:rPr>
              <w:t>E4</w:t>
            </w:r>
          </w:p>
        </w:tc>
        <w:tc>
          <w:tcPr>
            <w:tcW w:type="dxa" w:w="1160"/>
          </w:tcPr>
          <w:p>
            <w:pPr>
              <w:keepLines/>
              <w:spacing w:after="0" w:line="276" w:lineRule="auto"/>
            </w:pPr>
            <w:r>
              <w:rPr>
                <w:rFonts w:ascii="Calibri" w:hAnsi="Calibri" w:eastAsia="Microsoft YaHei"/>
                <w:color w:val="0B2545"/>
                <w:sz w:val="15"/>
              </w:rPr>
              <w:t>D4</w:t>
            </w:r>
          </w:p>
        </w:tc>
      </w:tr>
      <w:tr>
        <w:trPr>
          <w:cantSplit/>
        </w:trPr>
        <w:tc>
          <w:tcPr>
            <w:tcW w:type="dxa" w:w="1200"/>
          </w:tcPr>
          <w:p>
            <w:pPr>
              <w:keepLines/>
              <w:spacing w:after="0" w:line="276" w:lineRule="auto"/>
            </w:pPr>
            <w:r>
              <w:rPr>
                <w:rFonts w:ascii="Calibri" w:hAnsi="Calibri" w:eastAsia="Microsoft YaHei"/>
                <w:color w:val="0B2545"/>
                <w:sz w:val="15"/>
              </w:rPr>
              <w:t>DG6-029</w:t>
            </w:r>
          </w:p>
        </w:tc>
        <w:tc>
          <w:tcPr>
            <w:tcW w:type="dxa" w:w="750"/>
          </w:tcPr>
          <w:p>
            <w:pPr>
              <w:keepLines/>
              <w:spacing w:after="0" w:line="276" w:lineRule="auto"/>
            </w:pPr>
            <w:r>
              <w:rPr>
                <w:rFonts w:ascii="Calibri" w:hAnsi="Calibri" w:eastAsia="Microsoft YaHei"/>
                <w:color w:val="0B2545"/>
                <w:sz w:val="15"/>
              </w:rPr>
              <w:t>DG6</w:t>
            </w:r>
          </w:p>
        </w:tc>
        <w:tc>
          <w:tcPr>
            <w:tcW w:type="dxa" w:w="5300"/>
          </w:tcPr>
          <w:p>
            <w:pPr>
              <w:keepLines/>
              <w:spacing w:after="0" w:line="276" w:lineRule="auto"/>
            </w:pPr>
            <w:r>
              <w:rPr>
                <w:rFonts w:ascii="Calibri" w:hAnsi="Calibri" w:eastAsia="Microsoft YaHei"/>
                <w:color w:val="0B2545"/>
                <w:sz w:val="15"/>
              </w:rPr>
              <w:t>Mirnov线圈阵列：MHD模态与锁模</w:t>
            </w:r>
          </w:p>
        </w:tc>
        <w:tc>
          <w:tcPr>
            <w:tcW w:type="dxa" w:w="950"/>
          </w:tcPr>
          <w:p>
            <w:pPr>
              <w:keepLines/>
              <w:spacing w:after="0" w:line="276" w:lineRule="auto"/>
            </w:pPr>
            <w:r>
              <w:rPr>
                <w:rFonts w:ascii="Calibri" w:hAnsi="Calibri" w:eastAsia="Microsoft YaHei"/>
                <w:color w:val="0B2545"/>
                <w:sz w:val="15"/>
              </w:rPr>
              <w:t>E4</w:t>
            </w:r>
          </w:p>
        </w:tc>
        <w:tc>
          <w:tcPr>
            <w:tcW w:type="dxa" w:w="1160"/>
          </w:tcPr>
          <w:p>
            <w:pPr>
              <w:keepLines/>
              <w:spacing w:after="0" w:line="276" w:lineRule="auto"/>
            </w:pPr>
            <w:r>
              <w:rPr>
                <w:rFonts w:ascii="Calibri" w:hAnsi="Calibri" w:eastAsia="Microsoft YaHei"/>
                <w:color w:val="0B2545"/>
                <w:sz w:val="15"/>
              </w:rPr>
              <w:t>D4</w:t>
            </w:r>
          </w:p>
        </w:tc>
      </w:tr>
      <w:tr>
        <w:trPr>
          <w:cantSplit/>
        </w:trPr>
        <w:tc>
          <w:tcPr>
            <w:tcW w:type="dxa" w:w="1200"/>
          </w:tcPr>
          <w:p>
            <w:pPr>
              <w:keepLines/>
              <w:spacing w:after="0" w:line="276" w:lineRule="auto"/>
            </w:pPr>
            <w:r>
              <w:rPr>
                <w:rFonts w:ascii="Calibri" w:hAnsi="Calibri" w:eastAsia="Microsoft YaHei"/>
                <w:color w:val="0B2545"/>
                <w:sz w:val="15"/>
              </w:rPr>
              <w:t>DG7-036</w:t>
            </w:r>
          </w:p>
        </w:tc>
        <w:tc>
          <w:tcPr>
            <w:tcW w:type="dxa" w:w="750"/>
          </w:tcPr>
          <w:p>
            <w:pPr>
              <w:keepLines/>
              <w:spacing w:after="0" w:line="276" w:lineRule="auto"/>
            </w:pPr>
            <w:r>
              <w:rPr>
                <w:rFonts w:ascii="Calibri" w:hAnsi="Calibri" w:eastAsia="Microsoft YaHei"/>
                <w:color w:val="0B2545"/>
                <w:sz w:val="15"/>
              </w:rPr>
              <w:t>DG7</w:t>
            </w:r>
          </w:p>
        </w:tc>
        <w:tc>
          <w:tcPr>
            <w:tcW w:type="dxa" w:w="5300"/>
          </w:tcPr>
          <w:p>
            <w:pPr>
              <w:keepLines/>
              <w:spacing w:after="0" w:line="276" w:lineRule="auto"/>
            </w:pPr>
            <w:r>
              <w:rPr>
                <w:rFonts w:ascii="Calibri" w:hAnsi="Calibri" w:eastAsia="Microsoft YaHei"/>
                <w:color w:val="0B2545"/>
                <w:sz w:val="15"/>
              </w:rPr>
              <w:t>固定/往复式朗缪尔探针：SOL与偏滤器局部参数</w:t>
            </w:r>
          </w:p>
        </w:tc>
        <w:tc>
          <w:tcPr>
            <w:tcW w:type="dxa" w:w="950"/>
          </w:tcPr>
          <w:p>
            <w:pPr>
              <w:keepLines/>
              <w:spacing w:after="0" w:line="276" w:lineRule="auto"/>
            </w:pPr>
            <w:r>
              <w:rPr>
                <w:rFonts w:ascii="Calibri" w:hAnsi="Calibri" w:eastAsia="Microsoft YaHei"/>
                <w:color w:val="0B2545"/>
                <w:sz w:val="15"/>
              </w:rPr>
              <w:t>E4</w:t>
            </w:r>
          </w:p>
        </w:tc>
        <w:tc>
          <w:tcPr>
            <w:tcW w:type="dxa" w:w="1160"/>
          </w:tcPr>
          <w:p>
            <w:pPr>
              <w:keepLines/>
              <w:spacing w:after="0" w:line="276" w:lineRule="auto"/>
            </w:pPr>
            <w:r>
              <w:rPr>
                <w:rFonts w:ascii="Calibri" w:hAnsi="Calibri" w:eastAsia="Microsoft YaHei"/>
                <w:color w:val="0B2545"/>
                <w:sz w:val="15"/>
              </w:rPr>
              <w:t>D4</w:t>
            </w:r>
          </w:p>
        </w:tc>
      </w:tr>
      <w:tr>
        <w:trPr>
          <w:cantSplit/>
        </w:trPr>
        <w:tc>
          <w:tcPr>
            <w:tcW w:type="dxa" w:w="1200"/>
          </w:tcPr>
          <w:p>
            <w:pPr>
              <w:keepLines/>
              <w:spacing w:after="0" w:line="276" w:lineRule="auto"/>
            </w:pPr>
            <w:r>
              <w:rPr>
                <w:rFonts w:ascii="Calibri" w:hAnsi="Calibri" w:eastAsia="Microsoft YaHei"/>
                <w:color w:val="0B2545"/>
                <w:sz w:val="15"/>
              </w:rPr>
              <w:t>DG2-006</w:t>
            </w:r>
          </w:p>
        </w:tc>
        <w:tc>
          <w:tcPr>
            <w:tcW w:type="dxa" w:w="750"/>
          </w:tcPr>
          <w:p>
            <w:pPr>
              <w:keepLines/>
              <w:spacing w:after="0" w:line="276" w:lineRule="auto"/>
            </w:pPr>
            <w:r>
              <w:rPr>
                <w:rFonts w:ascii="Calibri" w:hAnsi="Calibri" w:eastAsia="Microsoft YaHei"/>
                <w:color w:val="0B2545"/>
                <w:sz w:val="15"/>
              </w:rPr>
              <w:t>DG2</w:t>
            </w:r>
          </w:p>
        </w:tc>
        <w:tc>
          <w:tcPr>
            <w:tcW w:type="dxa" w:w="5300"/>
          </w:tcPr>
          <w:p>
            <w:pPr>
              <w:keepLines/>
              <w:spacing w:after="0" w:line="276" w:lineRule="auto"/>
            </w:pPr>
            <w:r>
              <w:rPr>
                <w:rFonts w:ascii="Calibri" w:hAnsi="Calibri" w:eastAsia="Microsoft YaHei"/>
                <w:color w:val="0B2545"/>
                <w:sz w:val="15"/>
              </w:rPr>
              <w:t>多点汤姆逊散射：核心与边缘电子剖面</w:t>
            </w:r>
          </w:p>
        </w:tc>
        <w:tc>
          <w:tcPr>
            <w:tcW w:type="dxa" w:w="950"/>
          </w:tcPr>
          <w:p>
            <w:pPr>
              <w:keepLines/>
              <w:spacing w:after="0" w:line="276" w:lineRule="auto"/>
            </w:pPr>
            <w:r>
              <w:rPr>
                <w:rFonts w:ascii="Calibri" w:hAnsi="Calibri" w:eastAsia="Microsoft YaHei"/>
                <w:color w:val="0B2545"/>
                <w:sz w:val="15"/>
              </w:rPr>
              <w:t>E3</w:t>
            </w:r>
          </w:p>
        </w:tc>
        <w:tc>
          <w:tcPr>
            <w:tcW w:type="dxa" w:w="1160"/>
          </w:tcPr>
          <w:p>
            <w:pPr>
              <w:keepLines/>
              <w:spacing w:after="0" w:line="276" w:lineRule="auto"/>
            </w:pPr>
            <w:r>
              <w:rPr>
                <w:rFonts w:ascii="Calibri" w:hAnsi="Calibri" w:eastAsia="Microsoft YaHei"/>
                <w:color w:val="0B2545"/>
                <w:sz w:val="15"/>
              </w:rPr>
              <w:t>D3</w:t>
            </w:r>
          </w:p>
        </w:tc>
      </w:tr>
      <w:tr>
        <w:trPr>
          <w:cantSplit/>
        </w:trPr>
        <w:tc>
          <w:tcPr>
            <w:tcW w:type="dxa" w:w="1200"/>
          </w:tcPr>
          <w:p>
            <w:pPr>
              <w:keepLines/>
              <w:spacing w:after="0" w:line="276" w:lineRule="auto"/>
            </w:pPr>
            <w:r>
              <w:rPr>
                <w:rFonts w:ascii="Calibri" w:hAnsi="Calibri" w:eastAsia="Microsoft YaHei"/>
                <w:color w:val="0B2545"/>
                <w:sz w:val="15"/>
              </w:rPr>
              <w:t>DG5-024</w:t>
            </w:r>
          </w:p>
        </w:tc>
        <w:tc>
          <w:tcPr>
            <w:tcW w:type="dxa" w:w="750"/>
          </w:tcPr>
          <w:p>
            <w:pPr>
              <w:keepLines/>
              <w:spacing w:after="0" w:line="276" w:lineRule="auto"/>
            </w:pPr>
            <w:r>
              <w:rPr>
                <w:rFonts w:ascii="Calibri" w:hAnsi="Calibri" w:eastAsia="Microsoft YaHei"/>
                <w:color w:val="0B2545"/>
                <w:sz w:val="15"/>
              </w:rPr>
              <w:t>DG5</w:t>
            </w:r>
          </w:p>
        </w:tc>
        <w:tc>
          <w:tcPr>
            <w:tcW w:type="dxa" w:w="5300"/>
          </w:tcPr>
          <w:p>
            <w:pPr>
              <w:keepLines/>
              <w:spacing w:after="0" w:line="276" w:lineRule="auto"/>
            </w:pPr>
            <w:r>
              <w:rPr>
                <w:rFonts w:ascii="Calibri" w:hAnsi="Calibri" w:eastAsia="Microsoft YaHei"/>
                <w:color w:val="0B2545"/>
                <w:sz w:val="15"/>
              </w:rPr>
              <w:t>中子活化系统：积分聚变中子产额与绝对校核</w:t>
            </w:r>
          </w:p>
        </w:tc>
        <w:tc>
          <w:tcPr>
            <w:tcW w:type="dxa" w:w="950"/>
          </w:tcPr>
          <w:p>
            <w:pPr>
              <w:keepLines/>
              <w:spacing w:after="0" w:line="276" w:lineRule="auto"/>
            </w:pPr>
            <w:r>
              <w:rPr>
                <w:rFonts w:ascii="Calibri" w:hAnsi="Calibri" w:eastAsia="Microsoft YaHei"/>
                <w:color w:val="0B2545"/>
                <w:sz w:val="15"/>
              </w:rPr>
              <w:t>E3</w:t>
            </w:r>
          </w:p>
        </w:tc>
        <w:tc>
          <w:tcPr>
            <w:tcW w:type="dxa" w:w="1160"/>
          </w:tcPr>
          <w:p>
            <w:pPr>
              <w:keepLines/>
              <w:spacing w:after="0" w:line="276" w:lineRule="auto"/>
            </w:pPr>
            <w:r>
              <w:rPr>
                <w:rFonts w:ascii="Calibri" w:hAnsi="Calibri" w:eastAsia="Microsoft YaHei"/>
                <w:color w:val="0B2545"/>
                <w:sz w:val="15"/>
              </w:rPr>
              <w:t>D3</w:t>
            </w:r>
          </w:p>
        </w:tc>
      </w:tr>
      <w:tr>
        <w:trPr>
          <w:cantSplit/>
        </w:trPr>
        <w:tc>
          <w:tcPr>
            <w:tcW w:type="dxa" w:w="1200"/>
          </w:tcPr>
          <w:p>
            <w:pPr>
              <w:keepLines/>
              <w:spacing w:after="0" w:line="276" w:lineRule="auto"/>
            </w:pPr>
            <w:r>
              <w:rPr>
                <w:rFonts w:ascii="Calibri" w:hAnsi="Calibri" w:eastAsia="Microsoft YaHei"/>
                <w:color w:val="0B2545"/>
                <w:sz w:val="15"/>
              </w:rPr>
              <w:t>DSI-012</w:t>
            </w:r>
          </w:p>
        </w:tc>
        <w:tc>
          <w:tcPr>
            <w:tcW w:type="dxa" w:w="750"/>
          </w:tcPr>
          <w:p>
            <w:pPr>
              <w:keepLines/>
              <w:spacing w:after="0" w:line="276" w:lineRule="auto"/>
            </w:pPr>
            <w:r>
              <w:rPr>
                <w:rFonts w:ascii="Calibri" w:hAnsi="Calibri" w:eastAsia="Microsoft YaHei"/>
                <w:color w:val="0B2545"/>
                <w:sz w:val="15"/>
              </w:rPr>
              <w:t>DG9</w:t>
            </w:r>
          </w:p>
        </w:tc>
        <w:tc>
          <w:tcPr>
            <w:tcW w:type="dxa" w:w="5300"/>
          </w:tcPr>
          <w:p>
            <w:pPr>
              <w:keepLines/>
              <w:spacing w:after="0" w:line="276" w:lineRule="auto"/>
            </w:pPr>
            <w:r>
              <w:rPr>
                <w:rFonts w:ascii="Calibri" w:hAnsi="Calibri" w:eastAsia="Microsoft YaHei"/>
                <w:color w:val="0B2545"/>
                <w:sz w:val="15"/>
              </w:rPr>
              <w:t>SOFT 逃逸电子同步辐射合成诊断</w:t>
            </w:r>
          </w:p>
        </w:tc>
        <w:tc>
          <w:tcPr>
            <w:tcW w:type="dxa" w:w="950"/>
          </w:tcPr>
          <w:p>
            <w:pPr>
              <w:keepLines/>
              <w:spacing w:after="0" w:line="276" w:lineRule="auto"/>
            </w:pPr>
            <w:r>
              <w:rPr>
                <w:rFonts w:ascii="Calibri" w:hAnsi="Calibri" w:eastAsia="Microsoft YaHei"/>
                <w:color w:val="0B2545"/>
                <w:sz w:val="15"/>
              </w:rPr>
              <w:t>E3</w:t>
            </w:r>
          </w:p>
        </w:tc>
        <w:tc>
          <w:tcPr>
            <w:tcW w:type="dxa" w:w="1160"/>
          </w:tcPr>
          <w:p>
            <w:pPr>
              <w:keepLines/>
              <w:spacing w:after="0" w:line="276" w:lineRule="auto"/>
            </w:pPr>
            <w:r>
              <w:rPr>
                <w:rFonts w:ascii="Calibri" w:hAnsi="Calibri" w:eastAsia="Microsoft YaHei"/>
                <w:color w:val="0B2545"/>
                <w:sz w:val="15"/>
              </w:rPr>
              <w:t>D2</w:t>
            </w:r>
          </w:p>
        </w:tc>
      </w:tr>
    </w:tbl>
    <w:p>
      <w:pPr>
        <w:spacing w:before="0" w:after="60"/>
      </w:pPr>
    </w:p>
    <w:tbl>
      <w:tblPr>
        <w:tblStyle w:val="TableGrid"/>
        <w:tblW w:type="dxa" w:w="9360"/>
        <w:jc w:val="left"/>
        <w:tblLayout w:type="fixed"/>
        <w:tblLook w:firstColumn="1" w:firstRow="1" w:lastColumn="0" w:lastRow="0" w:noHBand="0" w:noVBand="1" w:val="04A0"/>
        <w:tblInd w:w="120" w:type="dxa"/>
      </w:tblPr>
      <w:tblGrid>
        <w:gridCol w:w="900"/>
        <w:gridCol w:w="3200"/>
        <w:gridCol w:w="2760"/>
        <w:gridCol w:w="2500"/>
      </w:tblGrid>
      <w:tr>
        <w:trPr>
          <w:tblHeader w:val="true"/>
        </w:trPr>
        <w:tc>
          <w:tcPr>
            <w:tcW w:type="dxa" w:w="9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年份/类型</w:t>
            </w:r>
          </w:p>
        </w:tc>
        <w:tc>
          <w:tcPr>
            <w:tcW w:type="dxa" w:w="32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论文或软件</w:t>
            </w:r>
          </w:p>
        </w:tc>
        <w:tc>
          <w:tcPr>
            <w:tcW w:type="dxa" w:w="276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来源/关系</w:t>
            </w:r>
          </w:p>
        </w:tc>
        <w:tc>
          <w:tcPr>
            <w:tcW w:type="dxa" w:w="25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链接</w:t>
            </w:r>
          </w:p>
        </w:tc>
      </w:tr>
      <w:tr>
        <w:trPr>
          <w:cantSplit/>
        </w:trPr>
        <w:tc>
          <w:tcPr>
            <w:tcW w:type="dxa" w:w="900"/>
          </w:tcPr>
          <w:p>
            <w:pPr>
              <w:keepLines/>
              <w:spacing w:after="0" w:line="276" w:lineRule="auto"/>
            </w:pPr>
            <w:r>
              <w:rPr>
                <w:rFonts w:ascii="Calibri" w:hAnsi="Calibri" w:eastAsia="Microsoft YaHei"/>
                <w:color w:val="0B2545"/>
                <w:sz w:val="14"/>
              </w:rPr>
              <w:t>2017</w:t>
            </w:r>
          </w:p>
        </w:tc>
        <w:tc>
          <w:tcPr>
            <w:tcW w:type="dxa" w:w="3200"/>
          </w:tcPr>
          <w:p>
            <w:pPr>
              <w:keepLines/>
              <w:spacing w:after="0" w:line="276" w:lineRule="auto"/>
            </w:pPr>
            <w:r>
              <w:rPr>
                <w:rFonts w:ascii="Calibri" w:hAnsi="Calibri" w:eastAsia="Microsoft YaHei"/>
                <w:color w:val="0B2545"/>
                <w:sz w:val="14"/>
              </w:rPr>
              <w:t>Development of real-time plasma current profile reconstruction with POINT diagnostic for EAST plasma control</w:t>
            </w:r>
          </w:p>
        </w:tc>
        <w:tc>
          <w:tcPr>
            <w:tcW w:type="dxa" w:w="2760"/>
          </w:tcPr>
          <w:p>
            <w:pPr>
              <w:keepLines/>
              <w:spacing w:after="0" w:line="276" w:lineRule="auto"/>
            </w:pPr>
            <w:r>
              <w:rPr>
                <w:rFonts w:ascii="Calibri" w:hAnsi="Calibri" w:eastAsia="Microsoft YaHei"/>
                <w:color w:val="0B2545"/>
                <w:sz w:val="14"/>
              </w:rPr>
              <w:t>Fusion Engineering and Design</w:t>
            </w:r>
          </w:p>
        </w:tc>
        <w:tc>
          <w:tcPr>
            <w:tcW w:type="dxa" w:w="2500"/>
          </w:tcPr>
          <w:p>
            <w:pPr>
              <w:keepLines/>
              <w:spacing w:after="0" w:line="276" w:lineRule="auto"/>
            </w:pPr>
            <w:hyperlink r:id="rId225">
              <w:r>
                <w:rPr>
                  <w:rFonts w:ascii="Calibri" w:hAnsi="Calibri" w:eastAsia="Microsoft YaHei"/>
                  <w:color w:val="008C95"/>
                  <w:u w:val="single"/>
                </w:rPr>
                <w:t>打开原始来源 ↗</w:t>
              </w:r>
            </w:hyperlink>
          </w:p>
        </w:tc>
      </w:tr>
      <w:tr>
        <w:trPr>
          <w:cantSplit/>
        </w:trPr>
        <w:tc>
          <w:tcPr>
            <w:tcW w:type="dxa" w:w="900"/>
          </w:tcPr>
          <w:p>
            <w:pPr>
              <w:keepLines/>
              <w:spacing w:after="0" w:line="276" w:lineRule="auto"/>
            </w:pPr>
            <w:r>
              <w:rPr>
                <w:rFonts w:ascii="Calibri" w:hAnsi="Calibri" w:eastAsia="Microsoft YaHei"/>
                <w:color w:val="0B2545"/>
                <w:sz w:val="14"/>
              </w:rPr>
              <w:t>2018</w:t>
            </w:r>
          </w:p>
        </w:tc>
        <w:tc>
          <w:tcPr>
            <w:tcW w:type="dxa" w:w="3200"/>
          </w:tcPr>
          <w:p>
            <w:pPr>
              <w:keepLines/>
              <w:spacing w:after="0" w:line="276" w:lineRule="auto"/>
            </w:pPr>
            <w:r>
              <w:rPr>
                <w:rFonts w:ascii="Calibri" w:hAnsi="Calibri" w:eastAsia="Microsoft YaHei"/>
                <w:color w:val="0B2545"/>
                <w:sz w:val="14"/>
              </w:rPr>
              <w:t>Upgrade of the ECE diagnostic on EAST</w:t>
            </w:r>
          </w:p>
        </w:tc>
        <w:tc>
          <w:tcPr>
            <w:tcW w:type="dxa" w:w="2760"/>
          </w:tcPr>
          <w:p>
            <w:pPr>
              <w:keepLines/>
              <w:spacing w:after="0" w:line="276" w:lineRule="auto"/>
            </w:pPr>
            <w:r>
              <w:rPr>
                <w:rFonts w:ascii="Calibri" w:hAnsi="Calibri" w:eastAsia="Microsoft YaHei"/>
                <w:color w:val="0B2545"/>
                <w:sz w:val="14"/>
              </w:rPr>
              <w:t>Review of Scientific Instruments</w:t>
            </w:r>
          </w:p>
        </w:tc>
        <w:tc>
          <w:tcPr>
            <w:tcW w:type="dxa" w:w="2500"/>
          </w:tcPr>
          <w:p>
            <w:pPr>
              <w:keepLines/>
              <w:spacing w:after="0" w:line="276" w:lineRule="auto"/>
            </w:pPr>
            <w:hyperlink r:id="rId226">
              <w:r>
                <w:rPr>
                  <w:rFonts w:ascii="Calibri" w:hAnsi="Calibri" w:eastAsia="Microsoft YaHei"/>
                  <w:color w:val="008C95"/>
                  <w:u w:val="single"/>
                </w:rPr>
                <w:t>打开原始来源 ↗</w:t>
              </w:r>
            </w:hyperlink>
          </w:p>
        </w:tc>
      </w:tr>
      <w:tr>
        <w:trPr>
          <w:cantSplit/>
        </w:trPr>
        <w:tc>
          <w:tcPr>
            <w:tcW w:type="dxa" w:w="900"/>
          </w:tcPr>
          <w:p>
            <w:pPr>
              <w:keepLines/>
              <w:spacing w:after="0" w:line="276" w:lineRule="auto"/>
            </w:pPr>
            <w:r>
              <w:rPr>
                <w:rFonts w:ascii="Calibri" w:hAnsi="Calibri" w:eastAsia="Microsoft YaHei"/>
                <w:color w:val="0B2545"/>
                <w:sz w:val="14"/>
              </w:rPr>
              <w:t>2016</w:t>
            </w:r>
          </w:p>
        </w:tc>
        <w:tc>
          <w:tcPr>
            <w:tcW w:type="dxa" w:w="3200"/>
          </w:tcPr>
          <w:p>
            <w:pPr>
              <w:keepLines/>
              <w:spacing w:after="0" w:line="276" w:lineRule="auto"/>
            </w:pPr>
            <w:r>
              <w:rPr>
                <w:rFonts w:ascii="Calibri" w:hAnsi="Calibri" w:eastAsia="Microsoft YaHei"/>
                <w:color w:val="0B2545"/>
                <w:sz w:val="14"/>
              </w:rPr>
              <w:t>Fast-ion Dα spectrum diagnostic in the EAST</w:t>
            </w:r>
          </w:p>
        </w:tc>
        <w:tc>
          <w:tcPr>
            <w:tcW w:type="dxa" w:w="2760"/>
          </w:tcPr>
          <w:p>
            <w:pPr>
              <w:keepLines/>
              <w:spacing w:after="0" w:line="276" w:lineRule="auto"/>
            </w:pPr>
            <w:r>
              <w:rPr>
                <w:rFonts w:ascii="Calibri" w:hAnsi="Calibri" w:eastAsia="Microsoft YaHei"/>
                <w:color w:val="0B2545"/>
                <w:sz w:val="14"/>
              </w:rPr>
              <w:t>Review of Scientific Instruments</w:t>
            </w:r>
          </w:p>
        </w:tc>
        <w:tc>
          <w:tcPr>
            <w:tcW w:type="dxa" w:w="2500"/>
          </w:tcPr>
          <w:p>
            <w:pPr>
              <w:keepLines/>
              <w:spacing w:after="0" w:line="276" w:lineRule="auto"/>
            </w:pPr>
            <w:hyperlink r:id="rId227">
              <w:r>
                <w:rPr>
                  <w:rFonts w:ascii="Calibri" w:hAnsi="Calibri" w:eastAsia="Microsoft YaHei"/>
                  <w:color w:val="008C95"/>
                  <w:u w:val="single"/>
                </w:rPr>
                <w:t>打开原始来源 ↗</w:t>
              </w:r>
            </w:hyperlink>
          </w:p>
        </w:tc>
      </w:tr>
      <w:tr>
        <w:trPr>
          <w:cantSplit/>
        </w:trPr>
        <w:tc>
          <w:tcPr>
            <w:tcW w:type="dxa" w:w="900"/>
          </w:tcPr>
          <w:p>
            <w:pPr>
              <w:keepLines/>
              <w:spacing w:after="0" w:line="276" w:lineRule="auto"/>
            </w:pPr>
            <w:r>
              <w:rPr>
                <w:rFonts w:ascii="Calibri" w:hAnsi="Calibri" w:eastAsia="Microsoft YaHei"/>
                <w:color w:val="0B2545"/>
                <w:sz w:val="14"/>
              </w:rPr>
              <w:t>软件</w:t>
            </w:r>
          </w:p>
        </w:tc>
        <w:tc>
          <w:tcPr>
            <w:tcW w:type="dxa" w:w="3200"/>
          </w:tcPr>
          <w:p>
            <w:pPr>
              <w:keepLines/>
              <w:spacing w:after="0" w:line="276" w:lineRule="auto"/>
            </w:pPr>
            <w:r>
              <w:rPr>
                <w:rFonts w:ascii="Calibri" w:hAnsi="Calibri" w:eastAsia="Microsoft YaHei"/>
                <w:color w:val="0B2545"/>
                <w:sz w:val="14"/>
              </w:rPr>
              <w:t>EAST MDSplus/DAQ</w:t>
            </w:r>
          </w:p>
        </w:tc>
        <w:tc>
          <w:tcPr>
            <w:tcW w:type="dxa" w:w="2760"/>
          </w:tcPr>
          <w:p>
            <w:pPr>
              <w:keepLines/>
              <w:spacing w:after="0" w:line="276" w:lineRule="auto"/>
            </w:pPr>
            <w:r>
              <w:rPr>
                <w:rFonts w:ascii="Calibri" w:hAnsi="Calibri" w:eastAsia="Microsoft YaHei"/>
                <w:color w:val="0B2545"/>
                <w:sz w:val="14"/>
              </w:rPr>
              <w:t>not-public / 论文公开架构；论文 URL 已移入参考文献，未发现匿名开放 shot server 或可核验的 EAST 专用公共实现</w:t>
            </w:r>
          </w:p>
        </w:tc>
        <w:tc>
          <w:tcPr>
            <w:tcW w:type="dxa" w:w="2500"/>
          </w:tcPr>
          <w:p>
            <w:pPr>
              <w:keepLines/>
              <w:spacing w:after="0" w:line="276" w:lineRule="auto"/>
            </w:pPr>
            <w:r>
              <w:rPr>
                <w:rFonts w:ascii="Calibri" w:hAnsi="Calibri" w:eastAsia="Microsoft YaHei"/>
                <w:color w:val="0B2545"/>
                <w:sz w:val="14"/>
              </w:rPr>
              <w:t>未公开</w:t>
            </w:r>
          </w:p>
        </w:tc>
      </w:tr>
      <w:tr>
        <w:trPr>
          <w:cantSplit/>
        </w:trPr>
        <w:tc>
          <w:tcPr>
            <w:tcW w:type="dxa" w:w="900"/>
          </w:tcPr>
          <w:p>
            <w:pPr>
              <w:keepLines/>
              <w:spacing w:after="0" w:line="276" w:lineRule="auto"/>
            </w:pPr>
            <w:r>
              <w:rPr>
                <w:rFonts w:ascii="Calibri" w:hAnsi="Calibri" w:eastAsia="Microsoft YaHei"/>
                <w:color w:val="0B2545"/>
                <w:sz w:val="14"/>
              </w:rPr>
              <w:t>软件</w:t>
            </w:r>
          </w:p>
        </w:tc>
        <w:tc>
          <w:tcPr>
            <w:tcW w:type="dxa" w:w="3200"/>
          </w:tcPr>
          <w:p>
            <w:pPr>
              <w:keepLines/>
              <w:spacing w:after="0" w:line="276" w:lineRule="auto"/>
            </w:pPr>
            <w:r>
              <w:rPr>
                <w:rFonts w:ascii="Calibri" w:hAnsi="Calibri" w:eastAsia="Microsoft YaHei"/>
                <w:color w:val="0B2545"/>
                <w:sz w:val="14"/>
              </w:rPr>
              <w:t>EAST diagnostic production code</w:t>
            </w:r>
          </w:p>
        </w:tc>
        <w:tc>
          <w:tcPr>
            <w:tcW w:type="dxa" w:w="2760"/>
          </w:tcPr>
          <w:p>
            <w:pPr>
              <w:keepLines/>
              <w:spacing w:after="0" w:line="276" w:lineRule="auto"/>
            </w:pPr>
            <w:r>
              <w:rPr>
                <w:rFonts w:ascii="Calibri" w:hAnsi="Calibri" w:eastAsia="Microsoft YaHei"/>
                <w:color w:val="0B2545"/>
                <w:sz w:val="14"/>
              </w:rPr>
              <w:t>not-public / 未发现可核验的完整公共仓库</w:t>
            </w:r>
          </w:p>
        </w:tc>
        <w:tc>
          <w:tcPr>
            <w:tcW w:type="dxa" w:w="2500"/>
          </w:tcPr>
          <w:p>
            <w:pPr>
              <w:keepLines/>
              <w:spacing w:after="0" w:line="276" w:lineRule="auto"/>
            </w:pPr>
            <w:r>
              <w:rPr>
                <w:rFonts w:ascii="Calibri" w:hAnsi="Calibri" w:eastAsia="Microsoft YaHei"/>
                <w:color w:val="0B2545"/>
                <w:sz w:val="14"/>
              </w:rPr>
              <w:t>未公开</w:t>
            </w:r>
          </w:p>
        </w:tc>
      </w:tr>
    </w:tbl>
    <w:p>
      <w:pPr>
        <w:spacing w:before="0" w:after="60"/>
      </w:pPr>
    </w:p>
    <w:p>
      <w:pPr>
        <w:pStyle w:val="Heading2"/>
      </w:pPr>
      <w:r>
        <w:t>17.04  EHL-2</w:t>
      </w:r>
    </w:p>
    <w:tbl>
      <w:tblPr>
        <w:tblStyle w:val="TableGrid"/>
        <w:tblW w:type="dxa" w:w="9360"/>
        <w:jc w:val="left"/>
        <w:tblLayout w:type="fixed"/>
        <w:tblLook w:firstColumn="1" w:firstRow="1" w:lastColumn="0" w:lastRow="0" w:noHBand="0" w:noVBand="1" w:val="04A0"/>
        <w:tblInd w:w="120" w:type="dxa"/>
      </w:tblPr>
      <w:tblGrid>
        <w:gridCol w:w="1100"/>
        <w:gridCol w:w="1100"/>
        <w:gridCol w:w="2400"/>
        <w:gridCol w:w="1900"/>
        <w:gridCol w:w="2860"/>
      </w:tblGrid>
      <w:tr>
        <w:trPr>
          <w:tblHeader w:val="true"/>
        </w:trPr>
        <w:tc>
          <w:tcPr>
            <w:tcW w:type="dxa" w:w="11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类型</w:t>
            </w:r>
          </w:p>
        </w:tc>
        <w:tc>
          <w:tcPr>
            <w:tcW w:type="dxa" w:w="11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国家/地区</w:t>
            </w:r>
          </w:p>
        </w:tc>
        <w:tc>
          <w:tcPr>
            <w:tcW w:type="dxa" w:w="24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运营方</w:t>
            </w:r>
          </w:p>
        </w:tc>
        <w:tc>
          <w:tcPr>
            <w:tcW w:type="dxa" w:w="19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状态</w:t>
            </w:r>
          </w:p>
        </w:tc>
        <w:tc>
          <w:tcPr>
            <w:tcW w:type="dxa" w:w="286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覆盖任务</w:t>
            </w:r>
          </w:p>
        </w:tc>
      </w:tr>
      <w:tr>
        <w:trPr>
          <w:cantSplit/>
        </w:trPr>
        <w:tc>
          <w:tcPr>
            <w:tcW w:type="dxa" w:w="1100"/>
          </w:tcPr>
          <w:p>
            <w:pPr>
              <w:keepLines/>
              <w:spacing w:after="0" w:line="276" w:lineRule="auto"/>
            </w:pPr>
            <w:r>
              <w:rPr>
                <w:rFonts w:ascii="Calibri" w:hAnsi="Calibri" w:eastAsia="Microsoft YaHei"/>
                <w:color w:val="0B2545"/>
                <w:sz w:val="15"/>
              </w:rPr>
              <w:t>高场球形环 / p-11B 研究平台（设计建设阶段）</w:t>
            </w:r>
          </w:p>
        </w:tc>
        <w:tc>
          <w:tcPr>
            <w:tcW w:type="dxa" w:w="1100"/>
          </w:tcPr>
          <w:p>
            <w:pPr>
              <w:keepLines/>
              <w:spacing w:after="0" w:line="276" w:lineRule="auto"/>
            </w:pPr>
            <w:r>
              <w:rPr>
                <w:rFonts w:ascii="Calibri" w:hAnsi="Calibri" w:eastAsia="Microsoft YaHei"/>
                <w:color w:val="0B2545"/>
                <w:sz w:val="15"/>
              </w:rPr>
              <w:t>中国</w:t>
            </w:r>
          </w:p>
        </w:tc>
        <w:tc>
          <w:tcPr>
            <w:tcW w:type="dxa" w:w="2400"/>
          </w:tcPr>
          <w:p>
            <w:pPr>
              <w:keepLines/>
              <w:spacing w:after="0" w:line="276" w:lineRule="auto"/>
            </w:pPr>
            <w:r>
              <w:rPr>
                <w:rFonts w:ascii="Calibri" w:hAnsi="Calibri" w:eastAsia="Microsoft YaHei"/>
                <w:color w:val="0B2545"/>
                <w:sz w:val="15"/>
              </w:rPr>
              <w:t>新奥能源研究院 / ENN</w:t>
            </w:r>
          </w:p>
        </w:tc>
        <w:tc>
          <w:tcPr>
            <w:tcW w:type="dxa" w:w="1900"/>
          </w:tcPr>
          <w:p>
            <w:pPr>
              <w:keepLines/>
              <w:spacing w:after="0" w:line="276" w:lineRule="auto"/>
            </w:pPr>
            <w:r>
              <w:rPr>
                <w:rFonts w:ascii="Calibri" w:hAnsi="Calibri" w:eastAsia="Microsoft YaHei"/>
                <w:color w:val="0B2545"/>
                <w:sz w:val="15"/>
              </w:rPr>
              <w:t>物理与工程设计/建设推进；尚无 EHL-2 plasma data</w:t>
            </w:r>
          </w:p>
        </w:tc>
        <w:tc>
          <w:tcPr>
            <w:tcW w:type="dxa" w:w="2860"/>
          </w:tcPr>
          <w:p>
            <w:pPr>
              <w:keepLines/>
              <w:spacing w:after="0" w:line="276" w:lineRule="auto"/>
            </w:pPr>
            <w:r>
              <w:rPr>
                <w:rFonts w:ascii="Calibri" w:hAnsi="Calibri" w:eastAsia="Microsoft YaHei"/>
                <w:color w:val="0B2545"/>
                <w:sz w:val="15"/>
              </w:rPr>
              <w:t>DG0；DG1；DG2；DG3；DG4；DG5；DG7；DG8；DG9；DG11</w:t>
            </w:r>
          </w:p>
        </w:tc>
      </w:tr>
    </w:tbl>
    <w:p>
      <w:pPr>
        <w:spacing w:before="0" w:after="60"/>
      </w:pPr>
    </w:p>
    <w:p>
      <w:pPr>
        <w:widowControl/>
      </w:pPr>
      <w:r>
        <w:rPr>
          <w:rFonts w:ascii="Calibri" w:hAnsi="Calibri" w:eastAsia="Microsoft YaHei"/>
          <w:b/>
          <w:color w:val="1F4D78"/>
        </w:rPr>
        <w:t>诊断概况：</w:t>
      </w:r>
      <w:r>
        <w:rPr>
          <w:rFonts w:ascii="Calibri" w:hAnsi="Calibri" w:eastAsia="Microsoft YaHei"/>
        </w:rPr>
        <w:t>EHL-2 的公开论文聚焦高场、高离子温度和 p-11B 物理/工程设计，尚未发现可核验的完整诊断基线、接口控制文件或生产代码。合理需求包括磁与平衡、电子/离子剖面、组分与硼谱、硬 X 射线/逃逸电子、聚变产物（尤其带电粒子与伴随辐射）、PFC 热监测以及磁体/低温/结构/真空状态，但报告不得把需求写成已安装能力。</w:t>
      </w:r>
    </w:p>
    <w:p>
      <w:pPr>
        <w:widowControl/>
      </w:pPr>
      <w:r>
        <w:rPr>
          <w:rFonts w:ascii="Calibri" w:hAnsi="Calibri" w:eastAsia="Microsoft YaHei"/>
          <w:b/>
          <w:color w:val="1F4D78"/>
        </w:rPr>
        <w:t>主要系统：</w:t>
      </w:r>
      <w:r>
        <w:rPr>
          <w:rFonts w:ascii="Calibri" w:hAnsi="Calibri" w:eastAsia="Microsoft YaHei"/>
        </w:rPr>
        <w:t>family: requirements；systems: magnetics/equilibrium；interferometry/Thomson/ECE；CXRS/impurity spectroscopy；X-ray/radiation/fusion-product diagnostics；IR/visible/PFC sensors；engineering condition monitoring；measuredQuantities: required plasma and plant states；evidence: E0-E1/D1：需求/设计推导，非已安装清单；realTimeUse: future PCS/protection requirements only</w:t>
      </w:r>
    </w:p>
    <w:p>
      <w:pPr>
        <w:widowControl/>
      </w:pPr>
      <w:r>
        <w:rPr>
          <w:rFonts w:ascii="Calibri" w:hAnsi="Calibri" w:eastAsia="Microsoft YaHei"/>
          <w:b/>
          <w:color w:val="1F4D78"/>
        </w:rPr>
        <w:t>测量/传感：</w:t>
      </w:r>
      <w:r>
        <w:rPr>
          <w:rFonts w:ascii="Calibri" w:hAnsi="Calibri" w:eastAsia="Microsoft YaHei"/>
        </w:rPr>
        <w:t>to be defined by project ICD and port allocation</w:t>
      </w:r>
    </w:p>
    <w:p>
      <w:pPr>
        <w:widowControl/>
      </w:pPr>
      <w:r>
        <w:rPr>
          <w:rFonts w:ascii="Calibri" w:hAnsi="Calibri" w:eastAsia="Microsoft YaHei"/>
          <w:b/>
          <w:color w:val="1F4D78"/>
        </w:rPr>
        <w:t>实时与 PCS 接口：</w:t>
      </w:r>
      <w:r>
        <w:rPr>
          <w:rFonts w:ascii="Calibri" w:hAnsi="Calibri" w:eastAsia="Microsoft YaHei"/>
        </w:rPr>
        <w:t>应建立 diagnostic-to-PCS/protection/data ICD；尚无公开生产接口证据</w:t>
      </w:r>
    </w:p>
    <w:p>
      <w:pPr>
        <w:widowControl/>
      </w:pPr>
      <w:r>
        <w:rPr>
          <w:rFonts w:ascii="Calibri" w:hAnsi="Calibri" w:eastAsia="Microsoft YaHei"/>
          <w:b/>
          <w:color w:val="1F4D78"/>
        </w:rPr>
        <w:t>数据平台：</w:t>
      </w:r>
      <w:r>
        <w:rPr>
          <w:rFonts w:ascii="Calibri" w:hAnsi="Calibri" w:eastAsia="Microsoft YaHei"/>
        </w:rPr>
        <w:t>systems: not publicly specified；access: 无公开 shot data（装置尚未运行）；evidence: official project and IAEA design papers</w:t>
      </w:r>
    </w:p>
    <w:p>
      <w:pPr>
        <w:widowControl/>
      </w:pPr>
      <w:r>
        <w:rPr>
          <w:rFonts w:ascii="Calibri" w:hAnsi="Calibri" w:eastAsia="Microsoft YaHei"/>
          <w:b/>
          <w:color w:val="1F4D78"/>
        </w:rPr>
        <w:t>代表工作概述：</w:t>
      </w:r>
      <w:r>
        <w:rPr>
          <w:rFonts w:ascii="Calibri" w:hAnsi="Calibri" w:eastAsia="Microsoft YaHei"/>
        </w:rPr>
        <w:t>FEC 2025 physics-design paper/poster；ENN official project page；diagnostic requirements and port/harsh-environment co-design gap</w:t>
      </w:r>
    </w:p>
    <w:p>
      <w:pPr>
        <w:widowControl/>
      </w:pPr>
      <w:r>
        <w:rPr>
          <w:rFonts w:ascii="Calibri" w:hAnsi="Calibri" w:eastAsia="Microsoft YaHei"/>
          <w:b/>
          <w:color w:val="1F4D78"/>
        </w:rPr>
        <w:t>证据边界：</w:t>
      </w:r>
      <w:r>
        <w:rPr>
          <w:rFonts w:ascii="Calibri" w:hAnsi="Calibri" w:eastAsia="Microsoft YaHei"/>
        </w:rPr>
        <w:t>当前只能形成需求和协同设计路线，不能评价装置测量效果；p-11B 带电聚变产物、强硬 X 射线/高能电子和有限端口会改变诊断选择；需要项目方提供端口、辐射/热/磁环境、量程、精度、延迟、校准与维护 ICD</w:t>
      </w:r>
    </w:p>
    <w:tbl>
      <w:tblPr>
        <w:tblStyle w:val="TableGrid"/>
        <w:tblW w:type="dxa" w:w="9360"/>
        <w:jc w:val="left"/>
        <w:tblLayout w:type="fixed"/>
        <w:tblLook w:firstColumn="1" w:firstRow="1" w:lastColumn="0" w:lastRow="0" w:noHBand="0" w:noVBand="1" w:val="04A0"/>
        <w:tblInd w:w="120" w:type="dxa"/>
      </w:tblPr>
      <w:tblGrid>
        <w:gridCol w:w="1200"/>
        <w:gridCol w:w="750"/>
        <w:gridCol w:w="5300"/>
        <w:gridCol w:w="950"/>
        <w:gridCol w:w="1160"/>
      </w:tblGrid>
      <w:tr>
        <w:trPr>
          <w:tblHeader w:val="true"/>
        </w:trPr>
        <w:tc>
          <w:tcPr>
            <w:tcW w:type="dxa" w:w="12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工作 ID</w:t>
            </w:r>
          </w:p>
        </w:tc>
        <w:tc>
          <w:tcPr>
            <w:tcW w:type="dxa" w:w="7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任务</w:t>
            </w:r>
          </w:p>
        </w:tc>
        <w:tc>
          <w:tcPr>
            <w:tcW w:type="dxa" w:w="53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代表工作</w:t>
            </w:r>
          </w:p>
        </w:tc>
        <w:tc>
          <w:tcPr>
            <w:tcW w:type="dxa" w:w="9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证据</w:t>
            </w:r>
          </w:p>
        </w:tc>
        <w:tc>
          <w:tcPr>
            <w:tcW w:type="dxa" w:w="116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部署</w:t>
            </w:r>
          </w:p>
        </w:tc>
      </w:tr>
      <w:tr>
        <w:trPr>
          <w:cantSplit/>
        </w:trPr>
        <w:tc>
          <w:tcPr>
            <w:tcW w:type="dxa" w:w="1200"/>
          </w:tcPr>
          <w:p>
            <w:pPr>
              <w:keepLines/>
              <w:spacing w:after="0" w:line="276" w:lineRule="auto"/>
            </w:pPr>
            <w:r>
              <w:rPr>
                <w:rFonts w:ascii="Calibri" w:hAnsi="Calibri" w:eastAsia="Microsoft YaHei"/>
                <w:color w:val="0B2545"/>
                <w:sz w:val="15"/>
              </w:rPr>
              <w:t>—</w:t>
            </w:r>
          </w:p>
        </w:tc>
        <w:tc>
          <w:tcPr>
            <w:tcW w:type="dxa" w:w="750"/>
          </w:tcPr>
          <w:p>
            <w:pPr>
              <w:keepLines/>
              <w:spacing w:after="0" w:line="276" w:lineRule="auto"/>
            </w:pPr>
            <w:r>
              <w:rPr>
                <w:rFonts w:ascii="Calibri" w:hAnsi="Calibri" w:eastAsia="Microsoft YaHei"/>
                <w:color w:val="0B2545"/>
                <w:sz w:val="15"/>
              </w:rPr>
              <w:t>—</w:t>
            </w:r>
          </w:p>
        </w:tc>
        <w:tc>
          <w:tcPr>
            <w:tcW w:type="dxa" w:w="5300"/>
          </w:tcPr>
          <w:p>
            <w:pPr>
              <w:keepLines/>
              <w:spacing w:after="0" w:line="276" w:lineRule="auto"/>
            </w:pPr>
            <w:r>
              <w:rPr>
                <w:rFonts w:ascii="Calibri" w:hAnsi="Calibri" w:eastAsia="Microsoft YaHei"/>
                <w:color w:val="0B2545"/>
                <w:sz w:val="15"/>
              </w:rPr>
              <w:t>暂无可关联的结构化工作</w:t>
            </w:r>
          </w:p>
        </w:tc>
        <w:tc>
          <w:tcPr>
            <w:tcW w:type="dxa" w:w="950"/>
          </w:tcPr>
          <w:p>
            <w:pPr>
              <w:keepLines/>
              <w:spacing w:after="0" w:line="276" w:lineRule="auto"/>
            </w:pPr>
            <w:r>
              <w:rPr>
                <w:rFonts w:ascii="Calibri" w:hAnsi="Calibri" w:eastAsia="Microsoft YaHei"/>
                <w:color w:val="0B2545"/>
                <w:sz w:val="15"/>
              </w:rPr>
              <w:t>—</w:t>
            </w:r>
          </w:p>
        </w:tc>
        <w:tc>
          <w:tcPr>
            <w:tcW w:type="dxa" w:w="1160"/>
          </w:tcPr>
          <w:p>
            <w:pPr>
              <w:keepLines/>
              <w:spacing w:after="0" w:line="276" w:lineRule="auto"/>
            </w:pPr>
            <w:r>
              <w:rPr>
                <w:rFonts w:ascii="Calibri" w:hAnsi="Calibri" w:eastAsia="Microsoft YaHei"/>
                <w:color w:val="0B2545"/>
                <w:sz w:val="15"/>
              </w:rPr>
              <w:t>—</w:t>
            </w:r>
          </w:p>
        </w:tc>
      </w:tr>
    </w:tbl>
    <w:p>
      <w:pPr>
        <w:spacing w:before="0" w:after="60"/>
      </w:pPr>
    </w:p>
    <w:tbl>
      <w:tblPr>
        <w:tblStyle w:val="TableGrid"/>
        <w:tblW w:type="dxa" w:w="9360"/>
        <w:jc w:val="left"/>
        <w:tblLayout w:type="fixed"/>
        <w:tblLook w:firstColumn="1" w:firstRow="1" w:lastColumn="0" w:lastRow="0" w:noHBand="0" w:noVBand="1" w:val="04A0"/>
        <w:tblInd w:w="120" w:type="dxa"/>
      </w:tblPr>
      <w:tblGrid>
        <w:gridCol w:w="900"/>
        <w:gridCol w:w="3200"/>
        <w:gridCol w:w="2760"/>
        <w:gridCol w:w="2500"/>
      </w:tblGrid>
      <w:tr>
        <w:trPr>
          <w:tblHeader w:val="true"/>
        </w:trPr>
        <w:tc>
          <w:tcPr>
            <w:tcW w:type="dxa" w:w="9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年份/类型</w:t>
            </w:r>
          </w:p>
        </w:tc>
        <w:tc>
          <w:tcPr>
            <w:tcW w:type="dxa" w:w="32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论文或软件</w:t>
            </w:r>
          </w:p>
        </w:tc>
        <w:tc>
          <w:tcPr>
            <w:tcW w:type="dxa" w:w="276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来源/关系</w:t>
            </w:r>
          </w:p>
        </w:tc>
        <w:tc>
          <w:tcPr>
            <w:tcW w:type="dxa" w:w="25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链接</w:t>
            </w:r>
          </w:p>
        </w:tc>
      </w:tr>
      <w:tr>
        <w:trPr>
          <w:cantSplit/>
        </w:trPr>
        <w:tc>
          <w:tcPr>
            <w:tcW w:type="dxa" w:w="900"/>
          </w:tcPr>
          <w:p>
            <w:pPr>
              <w:keepLines/>
              <w:spacing w:after="0" w:line="276" w:lineRule="auto"/>
            </w:pPr>
            <w:r>
              <w:rPr>
                <w:rFonts w:ascii="Calibri" w:hAnsi="Calibri" w:eastAsia="Microsoft YaHei"/>
                <w:color w:val="0B2545"/>
                <w:sz w:val="14"/>
              </w:rPr>
              <w:t>2025</w:t>
            </w:r>
          </w:p>
        </w:tc>
        <w:tc>
          <w:tcPr>
            <w:tcW w:type="dxa" w:w="3200"/>
          </w:tcPr>
          <w:p>
            <w:pPr>
              <w:keepLines/>
              <w:spacing w:after="0" w:line="276" w:lineRule="auto"/>
            </w:pPr>
            <w:r>
              <w:rPr>
                <w:rFonts w:ascii="Calibri" w:hAnsi="Calibri" w:eastAsia="Microsoft YaHei"/>
                <w:color w:val="0B2545"/>
                <w:sz w:val="14"/>
              </w:rPr>
              <w:t>Overview of the physics design of the EHL-2 spherical torus for proton-Boron fusion</w:t>
            </w:r>
          </w:p>
        </w:tc>
        <w:tc>
          <w:tcPr>
            <w:tcW w:type="dxa" w:w="2760"/>
          </w:tcPr>
          <w:p>
            <w:pPr>
              <w:keepLines/>
              <w:spacing w:after="0" w:line="276" w:lineRule="auto"/>
            </w:pPr>
            <w:r>
              <w:rPr>
                <w:rFonts w:ascii="Calibri" w:hAnsi="Calibri" w:eastAsia="Microsoft YaHei"/>
                <w:color w:val="0B2545"/>
                <w:sz w:val="14"/>
              </w:rPr>
              <w:t>原始论文 / 官方来源</w:t>
            </w:r>
          </w:p>
        </w:tc>
        <w:tc>
          <w:tcPr>
            <w:tcW w:type="dxa" w:w="2500"/>
          </w:tcPr>
          <w:p>
            <w:pPr>
              <w:keepLines/>
              <w:spacing w:after="0" w:line="276" w:lineRule="auto"/>
            </w:pPr>
            <w:hyperlink r:id="rId228">
              <w:r>
                <w:rPr>
                  <w:rFonts w:ascii="Calibri" w:hAnsi="Calibri" w:eastAsia="Microsoft YaHei"/>
                  <w:color w:val="008C95"/>
                  <w:u w:val="single"/>
                </w:rPr>
                <w:t>打开原始来源 ↗</w:t>
              </w:r>
            </w:hyperlink>
          </w:p>
        </w:tc>
      </w:tr>
      <w:tr>
        <w:trPr>
          <w:cantSplit/>
        </w:trPr>
        <w:tc>
          <w:tcPr>
            <w:tcW w:type="dxa" w:w="900"/>
          </w:tcPr>
          <w:p>
            <w:pPr>
              <w:keepLines/>
              <w:spacing w:after="0" w:line="276" w:lineRule="auto"/>
            </w:pPr>
            <w:r>
              <w:rPr>
                <w:rFonts w:ascii="Calibri" w:hAnsi="Calibri" w:eastAsia="Microsoft YaHei"/>
                <w:color w:val="0B2545"/>
                <w:sz w:val="14"/>
              </w:rPr>
              <w:t>2026</w:t>
            </w:r>
          </w:p>
        </w:tc>
        <w:tc>
          <w:tcPr>
            <w:tcW w:type="dxa" w:w="3200"/>
          </w:tcPr>
          <w:p>
            <w:pPr>
              <w:keepLines/>
              <w:spacing w:after="0" w:line="276" w:lineRule="auto"/>
            </w:pPr>
            <w:r>
              <w:rPr>
                <w:rFonts w:ascii="Calibri" w:hAnsi="Calibri" w:eastAsia="Microsoft YaHei"/>
                <w:color w:val="0B2545"/>
                <w:sz w:val="14"/>
              </w:rPr>
              <w:t>EHL-2 official project page</w:t>
            </w:r>
          </w:p>
        </w:tc>
        <w:tc>
          <w:tcPr>
            <w:tcW w:type="dxa" w:w="2760"/>
          </w:tcPr>
          <w:p>
            <w:pPr>
              <w:keepLines/>
              <w:spacing w:after="0" w:line="276" w:lineRule="auto"/>
            </w:pPr>
            <w:r>
              <w:rPr>
                <w:rFonts w:ascii="Calibri" w:hAnsi="Calibri" w:eastAsia="Microsoft YaHei"/>
                <w:color w:val="0B2545"/>
                <w:sz w:val="14"/>
              </w:rPr>
              <w:t>原始论文 / 官方来源</w:t>
            </w:r>
          </w:p>
        </w:tc>
        <w:tc>
          <w:tcPr>
            <w:tcW w:type="dxa" w:w="2500"/>
          </w:tcPr>
          <w:p>
            <w:pPr>
              <w:keepLines/>
              <w:spacing w:after="0" w:line="276" w:lineRule="auto"/>
            </w:pPr>
            <w:hyperlink r:id="rId229">
              <w:r>
                <w:rPr>
                  <w:rFonts w:ascii="Calibri" w:hAnsi="Calibri" w:eastAsia="Microsoft YaHei"/>
                  <w:color w:val="008C95"/>
                  <w:u w:val="single"/>
                </w:rPr>
                <w:t>打开原始来源 ↗</w:t>
              </w:r>
            </w:hyperlink>
          </w:p>
        </w:tc>
      </w:tr>
      <w:tr>
        <w:trPr>
          <w:cantSplit/>
        </w:trPr>
        <w:tc>
          <w:tcPr>
            <w:tcW w:type="dxa" w:w="900"/>
          </w:tcPr>
          <w:p>
            <w:pPr>
              <w:keepLines/>
              <w:spacing w:after="0" w:line="276" w:lineRule="auto"/>
            </w:pPr>
            <w:r>
              <w:rPr>
                <w:rFonts w:ascii="Calibri" w:hAnsi="Calibri" w:eastAsia="Microsoft YaHei"/>
                <w:color w:val="0B2545"/>
                <w:sz w:val="14"/>
              </w:rPr>
              <w:t>2025</w:t>
            </w:r>
          </w:p>
        </w:tc>
        <w:tc>
          <w:tcPr>
            <w:tcW w:type="dxa" w:w="3200"/>
          </w:tcPr>
          <w:p>
            <w:pPr>
              <w:keepLines/>
              <w:spacing w:after="0" w:line="276" w:lineRule="auto"/>
            </w:pPr>
            <w:r>
              <w:rPr>
                <w:rFonts w:ascii="Calibri" w:hAnsi="Calibri" w:eastAsia="Microsoft YaHei"/>
                <w:color w:val="0B2545"/>
                <w:sz w:val="14"/>
              </w:rPr>
              <w:t>EHL-2 physics design manuscript</w:t>
            </w:r>
          </w:p>
        </w:tc>
        <w:tc>
          <w:tcPr>
            <w:tcW w:type="dxa" w:w="2760"/>
          </w:tcPr>
          <w:p>
            <w:pPr>
              <w:keepLines/>
              <w:spacing w:after="0" w:line="276" w:lineRule="auto"/>
            </w:pPr>
            <w:r>
              <w:rPr>
                <w:rFonts w:ascii="Calibri" w:hAnsi="Calibri" w:eastAsia="Microsoft YaHei"/>
                <w:color w:val="0B2545"/>
                <w:sz w:val="14"/>
              </w:rPr>
              <w:t>原始论文 / 官方来源</w:t>
            </w:r>
          </w:p>
        </w:tc>
        <w:tc>
          <w:tcPr>
            <w:tcW w:type="dxa" w:w="2500"/>
          </w:tcPr>
          <w:p>
            <w:pPr>
              <w:keepLines/>
              <w:spacing w:after="0" w:line="276" w:lineRule="auto"/>
            </w:pPr>
            <w:hyperlink r:id="rId230">
              <w:r>
                <w:rPr>
                  <w:rFonts w:ascii="Calibri" w:hAnsi="Calibri" w:eastAsia="Microsoft YaHei"/>
                  <w:color w:val="008C95"/>
                  <w:u w:val="single"/>
                </w:rPr>
                <w:t>打开原始来源 ↗</w:t>
              </w:r>
            </w:hyperlink>
          </w:p>
        </w:tc>
      </w:tr>
      <w:tr>
        <w:trPr>
          <w:cantSplit/>
        </w:trPr>
        <w:tc>
          <w:tcPr>
            <w:tcW w:type="dxa" w:w="900"/>
          </w:tcPr>
          <w:p>
            <w:pPr>
              <w:keepLines/>
              <w:spacing w:after="0" w:line="276" w:lineRule="auto"/>
            </w:pPr>
            <w:r>
              <w:rPr>
                <w:rFonts w:ascii="Calibri" w:hAnsi="Calibri" w:eastAsia="Microsoft YaHei"/>
                <w:color w:val="0B2545"/>
                <w:sz w:val="14"/>
              </w:rPr>
              <w:t>软件</w:t>
            </w:r>
          </w:p>
        </w:tc>
        <w:tc>
          <w:tcPr>
            <w:tcW w:type="dxa" w:w="3200"/>
          </w:tcPr>
          <w:p>
            <w:pPr>
              <w:keepLines/>
              <w:spacing w:after="0" w:line="276" w:lineRule="auto"/>
            </w:pPr>
            <w:r>
              <w:rPr>
                <w:rFonts w:ascii="Calibri" w:hAnsi="Calibri" w:eastAsia="Microsoft YaHei"/>
                <w:color w:val="0B2545"/>
                <w:sz w:val="14"/>
              </w:rPr>
              <w:t>EHL-2 diagnostic code/data</w:t>
            </w:r>
          </w:p>
        </w:tc>
        <w:tc>
          <w:tcPr>
            <w:tcW w:type="dxa" w:w="2760"/>
          </w:tcPr>
          <w:p>
            <w:pPr>
              <w:keepLines/>
              <w:spacing w:after="0" w:line="276" w:lineRule="auto"/>
            </w:pPr>
            <w:r>
              <w:rPr>
                <w:rFonts w:ascii="Calibri" w:hAnsi="Calibri" w:eastAsia="Microsoft YaHei"/>
                <w:color w:val="0B2545"/>
                <w:sz w:val="14"/>
              </w:rPr>
              <w:t>not-public / 未发现可核验的诊断生产仓库或实验数据</w:t>
            </w:r>
          </w:p>
        </w:tc>
        <w:tc>
          <w:tcPr>
            <w:tcW w:type="dxa" w:w="2500"/>
          </w:tcPr>
          <w:p>
            <w:pPr>
              <w:keepLines/>
              <w:spacing w:after="0" w:line="276" w:lineRule="auto"/>
            </w:pPr>
            <w:r>
              <w:rPr>
                <w:rFonts w:ascii="Calibri" w:hAnsi="Calibri" w:eastAsia="Microsoft YaHei"/>
                <w:color w:val="0B2545"/>
                <w:sz w:val="14"/>
              </w:rPr>
              <w:t>未公开</w:t>
            </w:r>
          </w:p>
        </w:tc>
      </w:tr>
    </w:tbl>
    <w:p>
      <w:pPr>
        <w:spacing w:before="0" w:after="60"/>
      </w:pPr>
    </w:p>
    <w:p>
      <w:pPr>
        <w:pStyle w:val="Heading2"/>
      </w:pPr>
      <w:r>
        <w:t>17.05  EXL-50U</w:t>
      </w:r>
    </w:p>
    <w:tbl>
      <w:tblPr>
        <w:tblStyle w:val="TableGrid"/>
        <w:tblW w:type="dxa" w:w="9360"/>
        <w:jc w:val="left"/>
        <w:tblLayout w:type="fixed"/>
        <w:tblLook w:firstColumn="1" w:firstRow="1" w:lastColumn="0" w:lastRow="0" w:noHBand="0" w:noVBand="1" w:val="04A0"/>
        <w:tblInd w:w="120" w:type="dxa"/>
      </w:tblPr>
      <w:tblGrid>
        <w:gridCol w:w="1100"/>
        <w:gridCol w:w="1100"/>
        <w:gridCol w:w="2400"/>
        <w:gridCol w:w="1900"/>
        <w:gridCol w:w="2860"/>
      </w:tblGrid>
      <w:tr>
        <w:trPr>
          <w:tblHeader w:val="true"/>
        </w:trPr>
        <w:tc>
          <w:tcPr>
            <w:tcW w:type="dxa" w:w="11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类型</w:t>
            </w:r>
          </w:p>
        </w:tc>
        <w:tc>
          <w:tcPr>
            <w:tcW w:type="dxa" w:w="11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国家/地区</w:t>
            </w:r>
          </w:p>
        </w:tc>
        <w:tc>
          <w:tcPr>
            <w:tcW w:type="dxa" w:w="24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运营方</w:t>
            </w:r>
          </w:p>
        </w:tc>
        <w:tc>
          <w:tcPr>
            <w:tcW w:type="dxa" w:w="19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状态</w:t>
            </w:r>
          </w:p>
        </w:tc>
        <w:tc>
          <w:tcPr>
            <w:tcW w:type="dxa" w:w="286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覆盖任务</w:t>
            </w:r>
          </w:p>
        </w:tc>
      </w:tr>
      <w:tr>
        <w:trPr>
          <w:cantSplit/>
        </w:trPr>
        <w:tc>
          <w:tcPr>
            <w:tcW w:type="dxa" w:w="1100"/>
          </w:tcPr>
          <w:p>
            <w:pPr>
              <w:keepLines/>
              <w:spacing w:after="0" w:line="276" w:lineRule="auto"/>
            </w:pPr>
            <w:r>
              <w:rPr>
                <w:rFonts w:ascii="Calibri" w:hAnsi="Calibri" w:eastAsia="Microsoft YaHei"/>
                <w:color w:val="0B2545"/>
                <w:sz w:val="15"/>
              </w:rPr>
              <w:t>带中心螺线管辅助的球形托卡马克 / p-11B 研究装置</w:t>
            </w:r>
          </w:p>
        </w:tc>
        <w:tc>
          <w:tcPr>
            <w:tcW w:type="dxa" w:w="1100"/>
          </w:tcPr>
          <w:p>
            <w:pPr>
              <w:keepLines/>
              <w:spacing w:after="0" w:line="276" w:lineRule="auto"/>
            </w:pPr>
            <w:r>
              <w:rPr>
                <w:rFonts w:ascii="Calibri" w:hAnsi="Calibri" w:eastAsia="Microsoft YaHei"/>
                <w:color w:val="0B2545"/>
                <w:sz w:val="15"/>
              </w:rPr>
              <w:t>中国</w:t>
            </w:r>
          </w:p>
        </w:tc>
        <w:tc>
          <w:tcPr>
            <w:tcW w:type="dxa" w:w="2400"/>
          </w:tcPr>
          <w:p>
            <w:pPr>
              <w:keepLines/>
              <w:spacing w:after="0" w:line="276" w:lineRule="auto"/>
            </w:pPr>
            <w:r>
              <w:rPr>
                <w:rFonts w:ascii="Calibri" w:hAnsi="Calibri" w:eastAsia="Microsoft YaHei"/>
                <w:color w:val="0B2545"/>
                <w:sz w:val="15"/>
              </w:rPr>
              <w:t>新奥能源研究院 / ENN</w:t>
            </w:r>
          </w:p>
        </w:tc>
        <w:tc>
          <w:tcPr>
            <w:tcW w:type="dxa" w:w="1900"/>
          </w:tcPr>
          <w:p>
            <w:pPr>
              <w:keepLines/>
              <w:spacing w:after="0" w:line="276" w:lineRule="auto"/>
            </w:pPr>
            <w:r>
              <w:rPr>
                <w:rFonts w:ascii="Calibri" w:hAnsi="Calibri" w:eastAsia="Microsoft YaHei"/>
                <w:color w:val="0B2545"/>
                <w:sz w:val="15"/>
              </w:rPr>
              <w:t>EXL-50U 自 2024 年运行；它是 EXL-50 的升级装置，但磁体、真空室、位形能力与诊断配置均须按 EXL-50U 基线独立版本化</w:t>
            </w:r>
          </w:p>
        </w:tc>
        <w:tc>
          <w:tcPr>
            <w:tcW w:type="dxa" w:w="2860"/>
          </w:tcPr>
          <w:p>
            <w:pPr>
              <w:keepLines/>
              <w:spacing w:after="0" w:line="276" w:lineRule="auto"/>
            </w:pPr>
            <w:r>
              <w:rPr>
                <w:rFonts w:ascii="Calibri" w:hAnsi="Calibri" w:eastAsia="Microsoft YaHei"/>
                <w:color w:val="0B2545"/>
                <w:sz w:val="15"/>
              </w:rPr>
              <w:t>DG0；DG1；DG2；DG3；DG4；DG5；DG6；DG7；DG10；DG11</w:t>
            </w:r>
          </w:p>
        </w:tc>
      </w:tr>
    </w:tbl>
    <w:p>
      <w:pPr>
        <w:spacing w:before="0" w:after="60"/>
      </w:pPr>
    </w:p>
    <w:p>
      <w:pPr>
        <w:widowControl/>
      </w:pPr>
      <w:r>
        <w:rPr>
          <w:rFonts w:ascii="Calibri" w:hAnsi="Calibri" w:eastAsia="Microsoft YaHei"/>
          <w:b/>
          <w:color w:val="1F4D78"/>
        </w:rPr>
        <w:t>诊断概况：</w:t>
      </w:r>
      <w:r>
        <w:rPr>
          <w:rFonts w:ascii="Calibri" w:hAnsi="Calibri" w:eastAsia="Microsoft YaHei"/>
        </w:rPr>
        <w:t>EXL-50 是无中心螺线管装置；EXL-50U 则安装了中心螺线管，并以 ECRH 非感应启动、中心螺线管辅助爬升。公开 EXL-50 综述列出磁测量、可见/红外、微波与 HCN FIR 干涉、Thomson、Hα/杂质光谱、杂散 EC 波监测、ECE、AXUV、软/硬 X 射线和 Langmuir 探针，这只能作为 EXL-50U 的候选继承基线，不能直接等同于 EXL-50U 已安装、已标定或已接入实时链路的清单。EXL-50U 公开工作还直接证明了中心螺线管辅助放电及 FOCS 涡流测量；每套诊断仍需按装置配置、几何和标定版本确认。</w:t>
      </w:r>
    </w:p>
    <w:p>
      <w:pPr>
        <w:widowControl/>
      </w:pPr>
      <w:r>
        <w:rPr>
          <w:rFonts w:ascii="Calibri" w:hAnsi="Calibri" w:eastAsia="Microsoft YaHei"/>
          <w:b/>
          <w:color w:val="1F4D78"/>
        </w:rPr>
        <w:t>主要系统：</w:t>
      </w:r>
      <w:r>
        <w:rPr>
          <w:rFonts w:ascii="Calibri" w:hAnsi="Calibri" w:eastAsia="Microsoft YaHei"/>
        </w:rPr>
        <w:t>family: baseline-plasma；systems: magnetics；microwave and HCN FIR interferometers；Thomson；ECE；visible/IR cameras；H-alpha/impurity spectroscopy；measuredQuantities: equilibrium/current；density；Te；plasma/wall image；impurity；evidence: EXL-50 E4/D4；EXL-50U 逐系统继承/升级状态未完整公开，不从 EXL-50 自动外推；realTimeUse: magnetics and selected derived states support control；family: energetic-radiation-edge；systems: stray EC-wave monitors；AXUV；SXR/HXR arrays；Langmuir probes；dual-loop fiber-optic current sensor for toroidal eddy current；measuredQuantities: energetic electrons；radiation；edge plasma；plasma and toroidal eddy current；evidence: EXL-50 文献提供部分 E3-E4/D3-D4 基线；EXL-50U FOCS 有 2026 装置放电与数值模型对比证据；realTimeUse: not publicly documented as a unified real-time chain</w:t>
      </w:r>
    </w:p>
    <w:p>
      <w:pPr>
        <w:widowControl/>
      </w:pPr>
      <w:r>
        <w:rPr>
          <w:rFonts w:ascii="Calibri" w:hAnsi="Calibri" w:eastAsia="Microsoft YaHei"/>
          <w:b/>
          <w:color w:val="1F4D78"/>
        </w:rPr>
        <w:t>测量/传感：</w:t>
      </w:r>
      <w:r>
        <w:rPr>
          <w:rFonts w:ascii="Calibri" w:hAnsi="Calibri" w:eastAsia="Microsoft YaHei"/>
        </w:rPr>
        <w:t>magnetic coils；microwave/FIR interferometers；Thomson optics；ECE receivers；visible/IR cameras；spectrometers；AXUV/SXR/HXR detectors；Langmuir probes</w:t>
      </w:r>
    </w:p>
    <w:p>
      <w:pPr>
        <w:widowControl/>
      </w:pPr>
      <w:r>
        <w:rPr>
          <w:rFonts w:ascii="Calibri" w:hAnsi="Calibri" w:eastAsia="Microsoft YaHei"/>
          <w:b/>
          <w:color w:val="1F4D78"/>
        </w:rPr>
        <w:t>实时与 PCS 接口：</w:t>
      </w:r>
      <w:r>
        <w:rPr>
          <w:rFonts w:ascii="Calibri" w:hAnsi="Calibri" w:eastAsia="Microsoft YaHei"/>
        </w:rPr>
        <w:t>device PCS and equilibrium reconstruction；public detail insufficient for a complete ICD；control papers should not be read as full diagnostic qualification</w:t>
      </w:r>
    </w:p>
    <w:p>
      <w:pPr>
        <w:widowControl/>
      </w:pPr>
      <w:r>
        <w:rPr>
          <w:rFonts w:ascii="Calibri" w:hAnsi="Calibri" w:eastAsia="Microsoft YaHei"/>
          <w:b/>
          <w:color w:val="1F4D78"/>
        </w:rPr>
        <w:t>数据平台：</w:t>
      </w:r>
      <w:r>
        <w:rPr>
          <w:rFonts w:ascii="Calibri" w:hAnsi="Calibri" w:eastAsia="Microsoft YaHei"/>
        </w:rPr>
        <w:t>systems: ENN device acquisition/archive (public implementation detail limited)；access: 未发现匿名开放 shot repository；合作获取；evidence: EXL overview and ENN/IAEA papers</w:t>
      </w:r>
    </w:p>
    <w:p>
      <w:pPr>
        <w:widowControl/>
      </w:pPr>
      <w:r>
        <w:rPr>
          <w:rFonts w:ascii="Calibri" w:hAnsi="Calibri" w:eastAsia="Microsoft YaHei"/>
          <w:b/>
          <w:color w:val="1F4D78"/>
        </w:rPr>
        <w:t>代表工作概述：</w:t>
      </w:r>
      <w:r>
        <w:rPr>
          <w:rFonts w:ascii="Calibri" w:hAnsi="Calibri" w:eastAsia="Microsoft YaHei"/>
        </w:rPr>
        <w:t>EXL-50 diagnostics layout and research overview；磁/可见/IR/干涉/Thomson/ECE/X-ray/AXUV/探针组合；高能电子与多流体平衡交叉解释；EXL-50U 中心螺线管辅助放电、位置/平衡/控制与 FOCS 涡流测量的公开论文线索</w:t>
      </w:r>
    </w:p>
    <w:p>
      <w:pPr>
        <w:widowControl/>
      </w:pPr>
      <w:r>
        <w:rPr>
          <w:rFonts w:ascii="Calibri" w:hAnsi="Calibri" w:eastAsia="Microsoft YaHei"/>
          <w:b/>
          <w:color w:val="1F4D78"/>
        </w:rPr>
        <w:t>证据边界：</w:t>
      </w:r>
      <w:r>
        <w:rPr>
          <w:rFonts w:ascii="Calibri" w:hAnsi="Calibri" w:eastAsia="Microsoft YaHei"/>
        </w:rPr>
        <w:t>EXL-50 是无中心螺线管装置，而 EXL-50U 安装中心螺线管；两者的硬件、几何、标定与信号命名不得混用；高能电子导致单流体平衡、温度与电流解释具有特殊性；公开资料不足以确认每套诊断的采样、延迟、标定、质量位和 PCS 接口</w:t>
      </w:r>
    </w:p>
    <w:tbl>
      <w:tblPr>
        <w:tblStyle w:val="TableGrid"/>
        <w:tblW w:type="dxa" w:w="9360"/>
        <w:jc w:val="left"/>
        <w:tblLayout w:type="fixed"/>
        <w:tblLook w:firstColumn="1" w:firstRow="1" w:lastColumn="0" w:lastRow="0" w:noHBand="0" w:noVBand="1" w:val="04A0"/>
        <w:tblInd w:w="120" w:type="dxa"/>
      </w:tblPr>
      <w:tblGrid>
        <w:gridCol w:w="1200"/>
        <w:gridCol w:w="750"/>
        <w:gridCol w:w="5300"/>
        <w:gridCol w:w="950"/>
        <w:gridCol w:w="1160"/>
      </w:tblGrid>
      <w:tr>
        <w:trPr>
          <w:tblHeader w:val="true"/>
        </w:trPr>
        <w:tc>
          <w:tcPr>
            <w:tcW w:type="dxa" w:w="12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工作 ID</w:t>
            </w:r>
          </w:p>
        </w:tc>
        <w:tc>
          <w:tcPr>
            <w:tcW w:type="dxa" w:w="7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任务</w:t>
            </w:r>
          </w:p>
        </w:tc>
        <w:tc>
          <w:tcPr>
            <w:tcW w:type="dxa" w:w="53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代表工作</w:t>
            </w:r>
          </w:p>
        </w:tc>
        <w:tc>
          <w:tcPr>
            <w:tcW w:type="dxa" w:w="9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证据</w:t>
            </w:r>
          </w:p>
        </w:tc>
        <w:tc>
          <w:tcPr>
            <w:tcW w:type="dxa" w:w="116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部署</w:t>
            </w:r>
          </w:p>
        </w:tc>
      </w:tr>
      <w:tr>
        <w:trPr>
          <w:cantSplit/>
        </w:trPr>
        <w:tc>
          <w:tcPr>
            <w:tcW w:type="dxa" w:w="1200"/>
          </w:tcPr>
          <w:p>
            <w:pPr>
              <w:keepLines/>
              <w:spacing w:after="0" w:line="276" w:lineRule="auto"/>
            </w:pPr>
            <w:r>
              <w:rPr>
                <w:rFonts w:ascii="Calibri" w:hAnsi="Calibri" w:eastAsia="Microsoft YaHei"/>
                <w:color w:val="0B2545"/>
                <w:sz w:val="15"/>
              </w:rPr>
              <w:t>—</w:t>
            </w:r>
          </w:p>
        </w:tc>
        <w:tc>
          <w:tcPr>
            <w:tcW w:type="dxa" w:w="750"/>
          </w:tcPr>
          <w:p>
            <w:pPr>
              <w:keepLines/>
              <w:spacing w:after="0" w:line="276" w:lineRule="auto"/>
            </w:pPr>
            <w:r>
              <w:rPr>
                <w:rFonts w:ascii="Calibri" w:hAnsi="Calibri" w:eastAsia="Microsoft YaHei"/>
                <w:color w:val="0B2545"/>
                <w:sz w:val="15"/>
              </w:rPr>
              <w:t>—</w:t>
            </w:r>
          </w:p>
        </w:tc>
        <w:tc>
          <w:tcPr>
            <w:tcW w:type="dxa" w:w="5300"/>
          </w:tcPr>
          <w:p>
            <w:pPr>
              <w:keepLines/>
              <w:spacing w:after="0" w:line="276" w:lineRule="auto"/>
            </w:pPr>
            <w:r>
              <w:rPr>
                <w:rFonts w:ascii="Calibri" w:hAnsi="Calibri" w:eastAsia="Microsoft YaHei"/>
                <w:color w:val="0B2545"/>
                <w:sz w:val="15"/>
              </w:rPr>
              <w:t>暂无可关联的结构化工作</w:t>
            </w:r>
          </w:p>
        </w:tc>
        <w:tc>
          <w:tcPr>
            <w:tcW w:type="dxa" w:w="950"/>
          </w:tcPr>
          <w:p>
            <w:pPr>
              <w:keepLines/>
              <w:spacing w:after="0" w:line="276" w:lineRule="auto"/>
            </w:pPr>
            <w:r>
              <w:rPr>
                <w:rFonts w:ascii="Calibri" w:hAnsi="Calibri" w:eastAsia="Microsoft YaHei"/>
                <w:color w:val="0B2545"/>
                <w:sz w:val="15"/>
              </w:rPr>
              <w:t>—</w:t>
            </w:r>
          </w:p>
        </w:tc>
        <w:tc>
          <w:tcPr>
            <w:tcW w:type="dxa" w:w="1160"/>
          </w:tcPr>
          <w:p>
            <w:pPr>
              <w:keepLines/>
              <w:spacing w:after="0" w:line="276" w:lineRule="auto"/>
            </w:pPr>
            <w:r>
              <w:rPr>
                <w:rFonts w:ascii="Calibri" w:hAnsi="Calibri" w:eastAsia="Microsoft YaHei"/>
                <w:color w:val="0B2545"/>
                <w:sz w:val="15"/>
              </w:rPr>
              <w:t>—</w:t>
            </w:r>
          </w:p>
        </w:tc>
      </w:tr>
    </w:tbl>
    <w:p>
      <w:pPr>
        <w:spacing w:before="0" w:after="60"/>
      </w:pPr>
    </w:p>
    <w:tbl>
      <w:tblPr>
        <w:tblStyle w:val="TableGrid"/>
        <w:tblW w:type="dxa" w:w="9360"/>
        <w:jc w:val="left"/>
        <w:tblLayout w:type="fixed"/>
        <w:tblLook w:firstColumn="1" w:firstRow="1" w:lastColumn="0" w:lastRow="0" w:noHBand="0" w:noVBand="1" w:val="04A0"/>
        <w:tblInd w:w="120" w:type="dxa"/>
      </w:tblPr>
      <w:tblGrid>
        <w:gridCol w:w="900"/>
        <w:gridCol w:w="3200"/>
        <w:gridCol w:w="2760"/>
        <w:gridCol w:w="2500"/>
      </w:tblGrid>
      <w:tr>
        <w:trPr>
          <w:tblHeader w:val="true"/>
        </w:trPr>
        <w:tc>
          <w:tcPr>
            <w:tcW w:type="dxa" w:w="9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年份/类型</w:t>
            </w:r>
          </w:p>
        </w:tc>
        <w:tc>
          <w:tcPr>
            <w:tcW w:type="dxa" w:w="32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论文或软件</w:t>
            </w:r>
          </w:p>
        </w:tc>
        <w:tc>
          <w:tcPr>
            <w:tcW w:type="dxa" w:w="276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来源/关系</w:t>
            </w:r>
          </w:p>
        </w:tc>
        <w:tc>
          <w:tcPr>
            <w:tcW w:type="dxa" w:w="25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链接</w:t>
            </w:r>
          </w:p>
        </w:tc>
      </w:tr>
      <w:tr>
        <w:trPr>
          <w:cantSplit/>
        </w:trPr>
        <w:tc>
          <w:tcPr>
            <w:tcW w:type="dxa" w:w="900"/>
          </w:tcPr>
          <w:p>
            <w:pPr>
              <w:keepLines/>
              <w:spacing w:after="0" w:line="276" w:lineRule="auto"/>
            </w:pPr>
            <w:r>
              <w:rPr>
                <w:rFonts w:ascii="Calibri" w:hAnsi="Calibri" w:eastAsia="Microsoft YaHei"/>
                <w:color w:val="0B2545"/>
                <w:sz w:val="14"/>
              </w:rPr>
              <w:t>2025</w:t>
            </w:r>
          </w:p>
        </w:tc>
        <w:tc>
          <w:tcPr>
            <w:tcW w:type="dxa" w:w="3200"/>
          </w:tcPr>
          <w:p>
            <w:pPr>
              <w:keepLines/>
              <w:spacing w:after="0" w:line="276" w:lineRule="auto"/>
            </w:pPr>
            <w:r>
              <w:rPr>
                <w:rFonts w:ascii="Calibri" w:hAnsi="Calibri" w:eastAsia="Microsoft YaHei"/>
                <w:color w:val="0B2545"/>
                <w:sz w:val="14"/>
              </w:rPr>
              <w:t>Overview of EXL-50 research progress</w:t>
            </w:r>
          </w:p>
        </w:tc>
        <w:tc>
          <w:tcPr>
            <w:tcW w:type="dxa" w:w="2760"/>
          </w:tcPr>
          <w:p>
            <w:pPr>
              <w:keepLines/>
              <w:spacing w:after="0" w:line="276" w:lineRule="auto"/>
            </w:pPr>
            <w:r>
              <w:rPr>
                <w:rFonts w:ascii="Calibri" w:hAnsi="Calibri" w:eastAsia="Microsoft YaHei"/>
                <w:color w:val="0B2545"/>
                <w:sz w:val="14"/>
              </w:rPr>
              <w:t>Nuclear Fusion</w:t>
            </w:r>
          </w:p>
        </w:tc>
        <w:tc>
          <w:tcPr>
            <w:tcW w:type="dxa" w:w="2500"/>
          </w:tcPr>
          <w:p>
            <w:pPr>
              <w:keepLines/>
              <w:spacing w:after="0" w:line="276" w:lineRule="auto"/>
            </w:pPr>
            <w:hyperlink r:id="rId231">
              <w:r>
                <w:rPr>
                  <w:rFonts w:ascii="Calibri" w:hAnsi="Calibri" w:eastAsia="Microsoft YaHei"/>
                  <w:color w:val="008C95"/>
                  <w:u w:val="single"/>
                </w:rPr>
                <w:t>打开原始来源 ↗</w:t>
              </w:r>
            </w:hyperlink>
          </w:p>
        </w:tc>
      </w:tr>
      <w:tr>
        <w:trPr>
          <w:cantSplit/>
        </w:trPr>
        <w:tc>
          <w:tcPr>
            <w:tcW w:type="dxa" w:w="900"/>
          </w:tcPr>
          <w:p>
            <w:pPr>
              <w:keepLines/>
              <w:spacing w:after="0" w:line="276" w:lineRule="auto"/>
            </w:pPr>
            <w:r>
              <w:rPr>
                <w:rFonts w:ascii="Calibri" w:hAnsi="Calibri" w:eastAsia="Microsoft YaHei"/>
                <w:color w:val="0B2545"/>
                <w:sz w:val="14"/>
              </w:rPr>
              <w:t>2025</w:t>
            </w:r>
          </w:p>
        </w:tc>
        <w:tc>
          <w:tcPr>
            <w:tcW w:type="dxa" w:w="3200"/>
          </w:tcPr>
          <w:p>
            <w:pPr>
              <w:keepLines/>
              <w:spacing w:after="0" w:line="276" w:lineRule="auto"/>
            </w:pPr>
            <w:r>
              <w:rPr>
                <w:rFonts w:ascii="Calibri" w:hAnsi="Calibri" w:eastAsia="Microsoft YaHei"/>
                <w:color w:val="0B2545"/>
                <w:sz w:val="14"/>
              </w:rPr>
              <w:t>Strategy and experimental progress of the EXL-50U spherical torus in support of the EHL-2 project</w:t>
            </w:r>
          </w:p>
        </w:tc>
        <w:tc>
          <w:tcPr>
            <w:tcW w:type="dxa" w:w="2760"/>
          </w:tcPr>
          <w:p>
            <w:pPr>
              <w:keepLines/>
              <w:spacing w:after="0" w:line="276" w:lineRule="auto"/>
            </w:pPr>
            <w:r>
              <w:rPr>
                <w:rFonts w:ascii="Calibri" w:hAnsi="Calibri" w:eastAsia="Microsoft YaHei"/>
                <w:color w:val="0B2545"/>
                <w:sz w:val="14"/>
              </w:rPr>
              <w:t>Plasma Science and Technology</w:t>
            </w:r>
          </w:p>
        </w:tc>
        <w:tc>
          <w:tcPr>
            <w:tcW w:type="dxa" w:w="2500"/>
          </w:tcPr>
          <w:p>
            <w:pPr>
              <w:keepLines/>
              <w:spacing w:after="0" w:line="276" w:lineRule="auto"/>
            </w:pPr>
            <w:hyperlink r:id="rId232">
              <w:r>
                <w:rPr>
                  <w:rFonts w:ascii="Calibri" w:hAnsi="Calibri" w:eastAsia="Microsoft YaHei"/>
                  <w:color w:val="008C95"/>
                  <w:u w:val="single"/>
                </w:rPr>
                <w:t>打开原始来源 ↗</w:t>
              </w:r>
            </w:hyperlink>
          </w:p>
        </w:tc>
      </w:tr>
      <w:tr>
        <w:trPr>
          <w:cantSplit/>
        </w:trPr>
        <w:tc>
          <w:tcPr>
            <w:tcW w:type="dxa" w:w="900"/>
          </w:tcPr>
          <w:p>
            <w:pPr>
              <w:keepLines/>
              <w:spacing w:after="0" w:line="276" w:lineRule="auto"/>
            </w:pPr>
            <w:r>
              <w:rPr>
                <w:rFonts w:ascii="Calibri" w:hAnsi="Calibri" w:eastAsia="Microsoft YaHei"/>
                <w:color w:val="0B2545"/>
                <w:sz w:val="14"/>
              </w:rPr>
              <w:t>2026</w:t>
            </w:r>
          </w:p>
        </w:tc>
        <w:tc>
          <w:tcPr>
            <w:tcW w:type="dxa" w:w="3200"/>
          </w:tcPr>
          <w:p>
            <w:pPr>
              <w:keepLines/>
              <w:spacing w:after="0" w:line="276" w:lineRule="auto"/>
            </w:pPr>
            <w:r>
              <w:rPr>
                <w:rFonts w:ascii="Calibri" w:hAnsi="Calibri" w:eastAsia="Microsoft YaHei"/>
                <w:color w:val="0B2545"/>
                <w:sz w:val="14"/>
              </w:rPr>
              <w:t>Direct measurement of toroidal eddy current on the EXL-50U tokamak with a hardware-compensated fiber optic current sensor</w:t>
            </w:r>
          </w:p>
        </w:tc>
        <w:tc>
          <w:tcPr>
            <w:tcW w:type="dxa" w:w="2760"/>
          </w:tcPr>
          <w:p>
            <w:pPr>
              <w:keepLines/>
              <w:spacing w:after="0" w:line="276" w:lineRule="auto"/>
            </w:pPr>
            <w:r>
              <w:rPr>
                <w:rFonts w:ascii="Calibri" w:hAnsi="Calibri" w:eastAsia="Microsoft YaHei"/>
                <w:color w:val="0B2545"/>
                <w:sz w:val="14"/>
              </w:rPr>
              <w:t>Plasma Science and Technology</w:t>
            </w:r>
          </w:p>
        </w:tc>
        <w:tc>
          <w:tcPr>
            <w:tcW w:type="dxa" w:w="2500"/>
          </w:tcPr>
          <w:p>
            <w:pPr>
              <w:keepLines/>
              <w:spacing w:after="0" w:line="276" w:lineRule="auto"/>
            </w:pPr>
            <w:hyperlink r:id="rId233">
              <w:r>
                <w:rPr>
                  <w:rFonts w:ascii="Calibri" w:hAnsi="Calibri" w:eastAsia="Microsoft YaHei"/>
                  <w:color w:val="008C95"/>
                  <w:u w:val="single"/>
                </w:rPr>
                <w:t>打开原始来源 ↗</w:t>
              </w:r>
            </w:hyperlink>
          </w:p>
        </w:tc>
      </w:tr>
      <w:tr>
        <w:trPr>
          <w:cantSplit/>
        </w:trPr>
        <w:tc>
          <w:tcPr>
            <w:tcW w:type="dxa" w:w="900"/>
          </w:tcPr>
          <w:p>
            <w:pPr>
              <w:keepLines/>
              <w:spacing w:after="0" w:line="276" w:lineRule="auto"/>
            </w:pPr>
            <w:r>
              <w:rPr>
                <w:rFonts w:ascii="Calibri" w:hAnsi="Calibri" w:eastAsia="Microsoft YaHei"/>
                <w:color w:val="0B2545"/>
                <w:sz w:val="14"/>
              </w:rPr>
              <w:t>2025</w:t>
            </w:r>
          </w:p>
        </w:tc>
        <w:tc>
          <w:tcPr>
            <w:tcW w:type="dxa" w:w="3200"/>
          </w:tcPr>
          <w:p>
            <w:pPr>
              <w:keepLines/>
              <w:spacing w:after="0" w:line="276" w:lineRule="auto"/>
            </w:pPr>
            <w:r>
              <w:rPr>
                <w:rFonts w:ascii="Calibri" w:hAnsi="Calibri" w:eastAsia="Microsoft YaHei"/>
                <w:color w:val="0B2545"/>
                <w:sz w:val="14"/>
              </w:rPr>
              <w:t>Overview of EXL-50U experiments</w:t>
            </w:r>
          </w:p>
        </w:tc>
        <w:tc>
          <w:tcPr>
            <w:tcW w:type="dxa" w:w="2760"/>
          </w:tcPr>
          <w:p>
            <w:pPr>
              <w:keepLines/>
              <w:spacing w:after="0" w:line="276" w:lineRule="auto"/>
            </w:pPr>
            <w:r>
              <w:rPr>
                <w:rFonts w:ascii="Calibri" w:hAnsi="Calibri" w:eastAsia="Microsoft YaHei"/>
                <w:color w:val="0B2545"/>
                <w:sz w:val="14"/>
              </w:rPr>
              <w:t>原始论文 / 官方来源</w:t>
            </w:r>
          </w:p>
        </w:tc>
        <w:tc>
          <w:tcPr>
            <w:tcW w:type="dxa" w:w="2500"/>
          </w:tcPr>
          <w:p>
            <w:pPr>
              <w:keepLines/>
              <w:spacing w:after="0" w:line="276" w:lineRule="auto"/>
            </w:pPr>
            <w:hyperlink r:id="rId234">
              <w:r>
                <w:rPr>
                  <w:rFonts w:ascii="Calibri" w:hAnsi="Calibri" w:eastAsia="Microsoft YaHei"/>
                  <w:color w:val="008C95"/>
                  <w:u w:val="single"/>
                </w:rPr>
                <w:t>打开原始来源 ↗</w:t>
              </w:r>
            </w:hyperlink>
          </w:p>
        </w:tc>
      </w:tr>
      <w:tr>
        <w:trPr>
          <w:cantSplit/>
        </w:trPr>
        <w:tc>
          <w:tcPr>
            <w:tcW w:type="dxa" w:w="900"/>
          </w:tcPr>
          <w:p>
            <w:pPr>
              <w:keepLines/>
              <w:spacing w:after="0" w:line="276" w:lineRule="auto"/>
            </w:pPr>
            <w:r>
              <w:rPr>
                <w:rFonts w:ascii="Calibri" w:hAnsi="Calibri" w:eastAsia="Microsoft YaHei"/>
                <w:color w:val="0B2545"/>
                <w:sz w:val="14"/>
              </w:rPr>
              <w:t>2021</w:t>
            </w:r>
          </w:p>
        </w:tc>
        <w:tc>
          <w:tcPr>
            <w:tcW w:type="dxa" w:w="3200"/>
          </w:tcPr>
          <w:p>
            <w:pPr>
              <w:keepLines/>
              <w:spacing w:after="0" w:line="276" w:lineRule="auto"/>
            </w:pPr>
            <w:r>
              <w:rPr>
                <w:rFonts w:ascii="Calibri" w:hAnsi="Calibri" w:eastAsia="Microsoft YaHei"/>
                <w:color w:val="0B2545"/>
                <w:sz w:val="14"/>
              </w:rPr>
              <w:t>Solenoid-free current drive via ECRH in EXL-50 spherical torus plasmas</w:t>
            </w:r>
          </w:p>
        </w:tc>
        <w:tc>
          <w:tcPr>
            <w:tcW w:type="dxa" w:w="2760"/>
          </w:tcPr>
          <w:p>
            <w:pPr>
              <w:keepLines/>
              <w:spacing w:after="0" w:line="276" w:lineRule="auto"/>
            </w:pPr>
            <w:r>
              <w:rPr>
                <w:rFonts w:ascii="Calibri" w:hAnsi="Calibri" w:eastAsia="Microsoft YaHei"/>
                <w:color w:val="0B2545"/>
                <w:sz w:val="14"/>
              </w:rPr>
              <w:t>原始论文 / 官方来源</w:t>
            </w:r>
          </w:p>
        </w:tc>
        <w:tc>
          <w:tcPr>
            <w:tcW w:type="dxa" w:w="2500"/>
          </w:tcPr>
          <w:p>
            <w:pPr>
              <w:keepLines/>
              <w:spacing w:after="0" w:line="276" w:lineRule="auto"/>
            </w:pPr>
            <w:hyperlink r:id="rId235">
              <w:r>
                <w:rPr>
                  <w:rFonts w:ascii="Calibri" w:hAnsi="Calibri" w:eastAsia="Microsoft YaHei"/>
                  <w:color w:val="008C95"/>
                  <w:u w:val="single"/>
                </w:rPr>
                <w:t>打开原始来源 ↗</w:t>
              </w:r>
            </w:hyperlink>
          </w:p>
        </w:tc>
      </w:tr>
      <w:tr>
        <w:trPr>
          <w:cantSplit/>
        </w:trPr>
        <w:tc>
          <w:tcPr>
            <w:tcW w:type="dxa" w:w="900"/>
          </w:tcPr>
          <w:p>
            <w:pPr>
              <w:keepLines/>
              <w:spacing w:after="0" w:line="276" w:lineRule="auto"/>
            </w:pPr>
            <w:r>
              <w:rPr>
                <w:rFonts w:ascii="Calibri" w:hAnsi="Calibri" w:eastAsia="Microsoft YaHei"/>
                <w:color w:val="0B2545"/>
                <w:sz w:val="14"/>
              </w:rPr>
              <w:t>软件</w:t>
            </w:r>
          </w:p>
        </w:tc>
        <w:tc>
          <w:tcPr>
            <w:tcW w:type="dxa" w:w="3200"/>
          </w:tcPr>
          <w:p>
            <w:pPr>
              <w:keepLines/>
              <w:spacing w:after="0" w:line="276" w:lineRule="auto"/>
            </w:pPr>
            <w:r>
              <w:rPr>
                <w:rFonts w:ascii="Calibri" w:hAnsi="Calibri" w:eastAsia="Microsoft YaHei"/>
                <w:color w:val="0B2545"/>
                <w:sz w:val="14"/>
              </w:rPr>
              <w:t>EXL-50/50U diagnostic data and production code</w:t>
            </w:r>
          </w:p>
        </w:tc>
        <w:tc>
          <w:tcPr>
            <w:tcW w:type="dxa" w:w="2760"/>
          </w:tcPr>
          <w:p>
            <w:pPr>
              <w:keepLines/>
              <w:spacing w:after="0" w:line="276" w:lineRule="auto"/>
            </w:pPr>
            <w:r>
              <w:rPr>
                <w:rFonts w:ascii="Calibri" w:hAnsi="Calibri" w:eastAsia="Microsoft YaHei"/>
                <w:color w:val="0B2545"/>
                <w:sz w:val="14"/>
              </w:rPr>
              <w:t>not-public / 未发现可核验的全量公共仓库或 shot API</w:t>
            </w:r>
          </w:p>
        </w:tc>
        <w:tc>
          <w:tcPr>
            <w:tcW w:type="dxa" w:w="2500"/>
          </w:tcPr>
          <w:p>
            <w:pPr>
              <w:keepLines/>
              <w:spacing w:after="0" w:line="276" w:lineRule="auto"/>
            </w:pPr>
            <w:r>
              <w:rPr>
                <w:rFonts w:ascii="Calibri" w:hAnsi="Calibri" w:eastAsia="Microsoft YaHei"/>
                <w:color w:val="0B2545"/>
                <w:sz w:val="14"/>
              </w:rPr>
              <w:t>未公开</w:t>
            </w:r>
          </w:p>
        </w:tc>
      </w:tr>
    </w:tbl>
    <w:p>
      <w:pPr>
        <w:spacing w:before="0" w:after="60"/>
      </w:pPr>
    </w:p>
    <w:p>
      <w:pPr>
        <w:pStyle w:val="Heading2"/>
      </w:pPr>
      <w:r>
        <w:t>17.06  HL-2A / HL-2M（HL-3）</w:t>
      </w:r>
    </w:p>
    <w:tbl>
      <w:tblPr>
        <w:tblStyle w:val="TableGrid"/>
        <w:tblW w:type="dxa" w:w="9360"/>
        <w:jc w:val="left"/>
        <w:tblLayout w:type="fixed"/>
        <w:tblLook w:firstColumn="1" w:firstRow="1" w:lastColumn="0" w:lastRow="0" w:noHBand="0" w:noVBand="1" w:val="04A0"/>
        <w:tblInd w:w="120" w:type="dxa"/>
      </w:tblPr>
      <w:tblGrid>
        <w:gridCol w:w="1100"/>
        <w:gridCol w:w="1100"/>
        <w:gridCol w:w="2400"/>
        <w:gridCol w:w="1900"/>
        <w:gridCol w:w="2860"/>
      </w:tblGrid>
      <w:tr>
        <w:trPr>
          <w:tblHeader w:val="true"/>
        </w:trPr>
        <w:tc>
          <w:tcPr>
            <w:tcW w:type="dxa" w:w="11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类型</w:t>
            </w:r>
          </w:p>
        </w:tc>
        <w:tc>
          <w:tcPr>
            <w:tcW w:type="dxa" w:w="11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国家/地区</w:t>
            </w:r>
          </w:p>
        </w:tc>
        <w:tc>
          <w:tcPr>
            <w:tcW w:type="dxa" w:w="24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运营方</w:t>
            </w:r>
          </w:p>
        </w:tc>
        <w:tc>
          <w:tcPr>
            <w:tcW w:type="dxa" w:w="19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状态</w:t>
            </w:r>
          </w:p>
        </w:tc>
        <w:tc>
          <w:tcPr>
            <w:tcW w:type="dxa" w:w="286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覆盖任务</w:t>
            </w:r>
          </w:p>
        </w:tc>
      </w:tr>
      <w:tr>
        <w:trPr>
          <w:cantSplit/>
        </w:trPr>
        <w:tc>
          <w:tcPr>
            <w:tcW w:type="dxa" w:w="1100"/>
          </w:tcPr>
          <w:p>
            <w:pPr>
              <w:keepLines/>
              <w:spacing w:after="0" w:line="276" w:lineRule="auto"/>
            </w:pPr>
            <w:r>
              <w:rPr>
                <w:rFonts w:ascii="Calibri" w:hAnsi="Calibri" w:eastAsia="Microsoft YaHei"/>
                <w:color w:val="0B2545"/>
                <w:sz w:val="15"/>
              </w:rPr>
              <w:t>偏滤器托卡马克 / 新一代中型托卡马克</w:t>
            </w:r>
          </w:p>
        </w:tc>
        <w:tc>
          <w:tcPr>
            <w:tcW w:type="dxa" w:w="1100"/>
          </w:tcPr>
          <w:p>
            <w:pPr>
              <w:keepLines/>
              <w:spacing w:after="0" w:line="276" w:lineRule="auto"/>
            </w:pPr>
            <w:r>
              <w:rPr>
                <w:rFonts w:ascii="Calibri" w:hAnsi="Calibri" w:eastAsia="Microsoft YaHei"/>
                <w:color w:val="0B2545"/>
                <w:sz w:val="15"/>
              </w:rPr>
              <w:t>中国</w:t>
            </w:r>
          </w:p>
        </w:tc>
        <w:tc>
          <w:tcPr>
            <w:tcW w:type="dxa" w:w="2400"/>
          </w:tcPr>
          <w:p>
            <w:pPr>
              <w:keepLines/>
              <w:spacing w:after="0" w:line="276" w:lineRule="auto"/>
            </w:pPr>
            <w:r>
              <w:rPr>
                <w:rFonts w:ascii="Calibri" w:hAnsi="Calibri" w:eastAsia="Microsoft YaHei"/>
                <w:color w:val="0B2545"/>
                <w:sz w:val="15"/>
              </w:rPr>
              <w:t>核工业西南物理研究院</w:t>
            </w:r>
          </w:p>
        </w:tc>
        <w:tc>
          <w:tcPr>
            <w:tcW w:type="dxa" w:w="1900"/>
          </w:tcPr>
          <w:p>
            <w:pPr>
              <w:keepLines/>
              <w:spacing w:after="0" w:line="276" w:lineRule="auto"/>
            </w:pPr>
            <w:r>
              <w:rPr>
                <w:rFonts w:ascii="Calibri" w:hAnsi="Calibri" w:eastAsia="Microsoft YaHei"/>
                <w:color w:val="0B2545"/>
                <w:sz w:val="15"/>
              </w:rPr>
              <w:t>HL-2M/HL-3 运行与诊断分阶段扩展；HL-2A 提供历史方法和数据</w:t>
            </w:r>
          </w:p>
        </w:tc>
        <w:tc>
          <w:tcPr>
            <w:tcW w:type="dxa" w:w="2860"/>
          </w:tcPr>
          <w:p>
            <w:pPr>
              <w:keepLines/>
              <w:spacing w:after="0" w:line="276" w:lineRule="auto"/>
            </w:pPr>
            <w:r>
              <w:rPr>
                <w:rFonts w:ascii="Calibri" w:hAnsi="Calibri" w:eastAsia="Microsoft YaHei"/>
                <w:color w:val="0B2545"/>
                <w:sz w:val="15"/>
              </w:rPr>
              <w:t>DG0；DG1；DG2；DG3；DG4；DG5；DG6；DG7；DG11</w:t>
            </w:r>
          </w:p>
        </w:tc>
      </w:tr>
    </w:tbl>
    <w:p>
      <w:pPr>
        <w:spacing w:before="0" w:after="60"/>
      </w:pPr>
    </w:p>
    <w:p>
      <w:pPr>
        <w:widowControl/>
      </w:pPr>
      <w:r>
        <w:rPr>
          <w:rFonts w:ascii="Calibri" w:hAnsi="Calibri" w:eastAsia="Microsoft YaHei"/>
          <w:b/>
          <w:color w:val="1F4D78"/>
        </w:rPr>
        <w:t>诊断概况：</w:t>
      </w:r>
      <w:r>
        <w:rPr>
          <w:rFonts w:ascii="Calibri" w:hAnsi="Calibri" w:eastAsia="Microsoft YaHei"/>
        </w:rPr>
        <w:t>HL-2M 首等离子体阶段完成约 16 套基础系统，包括磁、宽视场成像、快电离规、高速 VUV、固态 THz 干涉和 CO2 色散干涉；公开计划为约五年扩展至约七十套。随后发展的宽谱光谱、Cherenkov 逃逸电子、TOF 中子、边界探针和高级剖面诊断成熟度各异，不能把概念设计统一标成部署。</w:t>
      </w:r>
    </w:p>
    <w:p>
      <w:pPr>
        <w:widowControl/>
      </w:pPr>
      <w:r>
        <w:rPr>
          <w:rFonts w:ascii="Calibri" w:hAnsi="Calibri" w:eastAsia="Microsoft YaHei"/>
          <w:b/>
          <w:color w:val="1F4D78"/>
        </w:rPr>
        <w:t>主要系统：</w:t>
      </w:r>
      <w:r>
        <w:rPr>
          <w:rFonts w:ascii="Calibri" w:hAnsi="Calibri" w:eastAsia="Microsoft YaHei"/>
        </w:rPr>
        <w:t>family: first-plasma；systems: magnetics；wide-angle visible imaging；fast ionization gauge；high-speed VUV；THz and CO2 interferometers；measuredQuantities: plasma current/position；image/impurity；gas/density；runaway/MHD support；evidence: E3-E4/D3-D4；realTimeUse: position control and operation monitoring；family: advanced-staged；systems: overview spectroscopy；Cherenkov runaway probe；neutron TOF；HIBP；edge/divertor diagnostics；measuredQuantities: impurity/radiation；runaway electrons；neutron spectrum；potential/turbulence；evidence: E1-E4/D1-D4 by system；realTimeUse: TOF design targets real time; not all systems deployed</w:t>
      </w:r>
    </w:p>
    <w:p>
      <w:pPr>
        <w:widowControl/>
      </w:pPr>
      <w:r>
        <w:rPr>
          <w:rFonts w:ascii="Calibri" w:hAnsi="Calibri" w:eastAsia="Microsoft YaHei"/>
          <w:b/>
          <w:color w:val="1F4D78"/>
        </w:rPr>
        <w:t>测量/传感：</w:t>
      </w:r>
      <w:r>
        <w:rPr>
          <w:rFonts w:ascii="Calibri" w:hAnsi="Calibri" w:eastAsia="Microsoft YaHei"/>
        </w:rPr>
        <w:t>magnetic coils；THz/CO2 interferometers；VUV/visible spectrometers；ionization gauges；Cherenkov probe；scintillation/TOF neutron detectors；cameras</w:t>
      </w:r>
    </w:p>
    <w:p>
      <w:pPr>
        <w:widowControl/>
      </w:pPr>
      <w:r>
        <w:rPr>
          <w:rFonts w:ascii="Calibri" w:hAnsi="Calibri" w:eastAsia="Microsoft YaHei"/>
          <w:b/>
          <w:color w:val="1F4D78"/>
        </w:rPr>
        <w:t>实时与 PCS 接口：</w:t>
      </w:r>
      <w:r>
        <w:rPr>
          <w:rFonts w:ascii="Calibri" w:hAnsi="Calibri" w:eastAsia="Microsoft YaHei"/>
        </w:rPr>
        <w:t>HL-2M central timing/control and PCS；EPICS-based central control；diagnostic acquisition synchronized to experiment</w:t>
      </w:r>
    </w:p>
    <w:p>
      <w:pPr>
        <w:widowControl/>
      </w:pPr>
      <w:r>
        <w:rPr>
          <w:rFonts w:ascii="Calibri" w:hAnsi="Calibri" w:eastAsia="Microsoft YaHei"/>
          <w:b/>
          <w:color w:val="1F4D78"/>
        </w:rPr>
        <w:t>数据平台：</w:t>
      </w:r>
      <w:r>
        <w:rPr>
          <w:rFonts w:ascii="Calibri" w:hAnsi="Calibri" w:eastAsia="Microsoft YaHei"/>
        </w:rPr>
        <w:t>systems: HL-2M central DAQ/control archive；access: 主要通过 SWIP collaboration；论文公开；evidence: central-control and diagnostic-development primary papers</w:t>
      </w:r>
    </w:p>
    <w:p>
      <w:pPr>
        <w:widowControl/>
      </w:pPr>
      <w:r>
        <w:rPr>
          <w:rFonts w:ascii="Calibri" w:hAnsi="Calibri" w:eastAsia="Microsoft YaHei"/>
          <w:b/>
          <w:color w:val="1F4D78"/>
        </w:rPr>
        <w:t>代表工作概述：</w:t>
      </w:r>
      <w:r>
        <w:rPr>
          <w:rFonts w:ascii="Calibri" w:hAnsi="Calibri" w:eastAsia="Microsoft YaHei"/>
        </w:rPr>
        <w:t>首等离子体 16 套基础诊断；宽谱段光谱；HL-2M Cherenkov 逃逸电子首批结果；双环中子 TOF 设计/样机；重离子束探针概念/开发</w:t>
      </w:r>
    </w:p>
    <w:p>
      <w:pPr>
        <w:widowControl/>
      </w:pPr>
      <w:r>
        <w:rPr>
          <w:rFonts w:ascii="Calibri" w:hAnsi="Calibri" w:eastAsia="Microsoft YaHei"/>
          <w:b/>
          <w:color w:val="1F4D78"/>
        </w:rPr>
        <w:t>证据边界：</w:t>
      </w:r>
      <w:r>
        <w:rPr>
          <w:rFonts w:ascii="Calibri" w:hAnsi="Calibri" w:eastAsia="Microsoft YaHei"/>
        </w:rPr>
        <w:t>约七十套是发展计划，不是同一时点的已验收清单；中文/会议材料中的系统状态需逐 campaign 复核；HL-2A 方法继承不等于 HL-2M 标定和接口已完成</w:t>
      </w:r>
    </w:p>
    <w:tbl>
      <w:tblPr>
        <w:tblStyle w:val="TableGrid"/>
        <w:tblW w:type="dxa" w:w="9360"/>
        <w:jc w:val="left"/>
        <w:tblLayout w:type="fixed"/>
        <w:tblLook w:firstColumn="1" w:firstRow="1" w:lastColumn="0" w:lastRow="0" w:noHBand="0" w:noVBand="1" w:val="04A0"/>
        <w:tblInd w:w="120" w:type="dxa"/>
      </w:tblPr>
      <w:tblGrid>
        <w:gridCol w:w="1200"/>
        <w:gridCol w:w="750"/>
        <w:gridCol w:w="5300"/>
        <w:gridCol w:w="950"/>
        <w:gridCol w:w="1160"/>
      </w:tblGrid>
      <w:tr>
        <w:trPr>
          <w:tblHeader w:val="true"/>
        </w:trPr>
        <w:tc>
          <w:tcPr>
            <w:tcW w:type="dxa" w:w="12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工作 ID</w:t>
            </w:r>
          </w:p>
        </w:tc>
        <w:tc>
          <w:tcPr>
            <w:tcW w:type="dxa" w:w="7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任务</w:t>
            </w:r>
          </w:p>
        </w:tc>
        <w:tc>
          <w:tcPr>
            <w:tcW w:type="dxa" w:w="53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代表工作</w:t>
            </w:r>
          </w:p>
        </w:tc>
        <w:tc>
          <w:tcPr>
            <w:tcW w:type="dxa" w:w="9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证据</w:t>
            </w:r>
          </w:p>
        </w:tc>
        <w:tc>
          <w:tcPr>
            <w:tcW w:type="dxa" w:w="116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部署</w:t>
            </w:r>
          </w:p>
        </w:tc>
      </w:tr>
      <w:tr>
        <w:trPr>
          <w:cantSplit/>
        </w:trPr>
        <w:tc>
          <w:tcPr>
            <w:tcW w:type="dxa" w:w="1200"/>
          </w:tcPr>
          <w:p>
            <w:pPr>
              <w:keepLines/>
              <w:spacing w:after="0" w:line="276" w:lineRule="auto"/>
            </w:pPr>
            <w:r>
              <w:rPr>
                <w:rFonts w:ascii="Calibri" w:hAnsi="Calibri" w:eastAsia="Microsoft YaHei"/>
                <w:color w:val="0B2545"/>
                <w:sz w:val="15"/>
              </w:rPr>
              <w:t>DG1-005</w:t>
            </w:r>
          </w:p>
        </w:tc>
        <w:tc>
          <w:tcPr>
            <w:tcW w:type="dxa" w:w="750"/>
          </w:tcPr>
          <w:p>
            <w:pPr>
              <w:keepLines/>
              <w:spacing w:after="0" w:line="276" w:lineRule="auto"/>
            </w:pPr>
            <w:r>
              <w:rPr>
                <w:rFonts w:ascii="Calibri" w:hAnsi="Calibri" w:eastAsia="Microsoft YaHei"/>
                <w:color w:val="0B2545"/>
                <w:sz w:val="15"/>
              </w:rPr>
              <w:t>DG1</w:t>
            </w:r>
          </w:p>
        </w:tc>
        <w:tc>
          <w:tcPr>
            <w:tcW w:type="dxa" w:w="5300"/>
          </w:tcPr>
          <w:p>
            <w:pPr>
              <w:keepLines/>
              <w:spacing w:after="0" w:line="276" w:lineRule="auto"/>
            </w:pPr>
            <w:r>
              <w:rPr>
                <w:rFonts w:ascii="Calibri" w:hAnsi="Calibri" w:eastAsia="Microsoft YaHei"/>
                <w:color w:val="0B2545"/>
                <w:sz w:val="15"/>
              </w:rPr>
              <w:t>实时磁平衡重建：rtEFIT与GPU实现</w:t>
            </w:r>
          </w:p>
        </w:tc>
        <w:tc>
          <w:tcPr>
            <w:tcW w:type="dxa" w:w="950"/>
          </w:tcPr>
          <w:p>
            <w:pPr>
              <w:keepLines/>
              <w:spacing w:after="0" w:line="276" w:lineRule="auto"/>
            </w:pPr>
            <w:r>
              <w:rPr>
                <w:rFonts w:ascii="Calibri" w:hAnsi="Calibri" w:eastAsia="Microsoft YaHei"/>
                <w:color w:val="0B2545"/>
                <w:sz w:val="15"/>
              </w:rPr>
              <w:t>E4</w:t>
            </w:r>
          </w:p>
        </w:tc>
        <w:tc>
          <w:tcPr>
            <w:tcW w:type="dxa" w:w="1160"/>
          </w:tcPr>
          <w:p>
            <w:pPr>
              <w:keepLines/>
              <w:spacing w:after="0" w:line="276" w:lineRule="auto"/>
            </w:pPr>
            <w:r>
              <w:rPr>
                <w:rFonts w:ascii="Calibri" w:hAnsi="Calibri" w:eastAsia="Microsoft YaHei"/>
                <w:color w:val="0B2545"/>
                <w:sz w:val="15"/>
              </w:rPr>
              <w:t>D4</w:t>
            </w:r>
          </w:p>
        </w:tc>
      </w:tr>
      <w:tr>
        <w:trPr>
          <w:cantSplit/>
        </w:trPr>
        <w:tc>
          <w:tcPr>
            <w:tcW w:type="dxa" w:w="1200"/>
          </w:tcPr>
          <w:p>
            <w:pPr>
              <w:keepLines/>
              <w:spacing w:after="0" w:line="276" w:lineRule="auto"/>
            </w:pPr>
            <w:r>
              <w:rPr>
                <w:rFonts w:ascii="Calibri" w:hAnsi="Calibri" w:eastAsia="Microsoft YaHei"/>
                <w:color w:val="0B2545"/>
                <w:sz w:val="15"/>
              </w:rPr>
              <w:t>DG3-011</w:t>
            </w:r>
          </w:p>
        </w:tc>
        <w:tc>
          <w:tcPr>
            <w:tcW w:type="dxa" w:w="750"/>
          </w:tcPr>
          <w:p>
            <w:pPr>
              <w:keepLines/>
              <w:spacing w:after="0" w:line="276" w:lineRule="auto"/>
            </w:pPr>
            <w:r>
              <w:rPr>
                <w:rFonts w:ascii="Calibri" w:hAnsi="Calibri" w:eastAsia="Microsoft YaHei"/>
                <w:color w:val="0B2545"/>
                <w:sz w:val="15"/>
              </w:rPr>
              <w:t>DG3</w:t>
            </w:r>
          </w:p>
        </w:tc>
        <w:tc>
          <w:tcPr>
            <w:tcW w:type="dxa" w:w="5300"/>
          </w:tcPr>
          <w:p>
            <w:pPr>
              <w:keepLines/>
              <w:spacing w:after="0" w:line="276" w:lineRule="auto"/>
            </w:pPr>
            <w:r>
              <w:rPr>
                <w:rFonts w:ascii="Calibri" w:hAnsi="Calibri" w:eastAsia="Microsoft YaHei"/>
                <w:color w:val="0B2545"/>
                <w:sz w:val="15"/>
              </w:rPr>
              <w:t>电荷交换复合谱：离子温度与转动</w:t>
            </w:r>
          </w:p>
        </w:tc>
        <w:tc>
          <w:tcPr>
            <w:tcW w:type="dxa" w:w="950"/>
          </w:tcPr>
          <w:p>
            <w:pPr>
              <w:keepLines/>
              <w:spacing w:after="0" w:line="276" w:lineRule="auto"/>
            </w:pPr>
            <w:r>
              <w:rPr>
                <w:rFonts w:ascii="Calibri" w:hAnsi="Calibri" w:eastAsia="Microsoft YaHei"/>
                <w:color w:val="0B2545"/>
                <w:sz w:val="15"/>
              </w:rPr>
              <w:t>E4</w:t>
            </w:r>
          </w:p>
        </w:tc>
        <w:tc>
          <w:tcPr>
            <w:tcW w:type="dxa" w:w="1160"/>
          </w:tcPr>
          <w:p>
            <w:pPr>
              <w:keepLines/>
              <w:spacing w:after="0" w:line="276" w:lineRule="auto"/>
            </w:pPr>
            <w:r>
              <w:rPr>
                <w:rFonts w:ascii="Calibri" w:hAnsi="Calibri" w:eastAsia="Microsoft YaHei"/>
                <w:color w:val="0B2545"/>
                <w:sz w:val="15"/>
              </w:rPr>
              <w:t>D4</w:t>
            </w:r>
          </w:p>
        </w:tc>
      </w:tr>
      <w:tr>
        <w:trPr>
          <w:cantSplit/>
        </w:trPr>
        <w:tc>
          <w:tcPr>
            <w:tcW w:type="dxa" w:w="1200"/>
          </w:tcPr>
          <w:p>
            <w:pPr>
              <w:keepLines/>
              <w:spacing w:after="0" w:line="276" w:lineRule="auto"/>
            </w:pPr>
            <w:r>
              <w:rPr>
                <w:rFonts w:ascii="Calibri" w:hAnsi="Calibri" w:eastAsia="Microsoft YaHei"/>
                <w:color w:val="0B2545"/>
                <w:sz w:val="15"/>
              </w:rPr>
              <w:t>DG4-020</w:t>
            </w:r>
          </w:p>
        </w:tc>
        <w:tc>
          <w:tcPr>
            <w:tcW w:type="dxa" w:w="750"/>
          </w:tcPr>
          <w:p>
            <w:pPr>
              <w:keepLines/>
              <w:spacing w:after="0" w:line="276" w:lineRule="auto"/>
            </w:pPr>
            <w:r>
              <w:rPr>
                <w:rFonts w:ascii="Calibri" w:hAnsi="Calibri" w:eastAsia="Microsoft YaHei"/>
                <w:color w:val="0B2545"/>
                <w:sz w:val="15"/>
              </w:rPr>
              <w:t>DG5</w:t>
            </w:r>
          </w:p>
        </w:tc>
        <w:tc>
          <w:tcPr>
            <w:tcW w:type="dxa" w:w="5300"/>
          </w:tcPr>
          <w:p>
            <w:pPr>
              <w:keepLines/>
              <w:spacing w:after="0" w:line="276" w:lineRule="auto"/>
            </w:pPr>
            <w:r>
              <w:rPr>
                <w:rFonts w:ascii="Calibri" w:hAnsi="Calibri" w:eastAsia="Microsoft YaHei"/>
                <w:color w:val="0B2545"/>
                <w:sz w:val="15"/>
              </w:rPr>
              <w:t>硬X射线：逃逸电子制动辐射监测</w:t>
            </w:r>
          </w:p>
        </w:tc>
        <w:tc>
          <w:tcPr>
            <w:tcW w:type="dxa" w:w="950"/>
          </w:tcPr>
          <w:p>
            <w:pPr>
              <w:keepLines/>
              <w:spacing w:after="0" w:line="276" w:lineRule="auto"/>
            </w:pPr>
            <w:r>
              <w:rPr>
                <w:rFonts w:ascii="Calibri" w:hAnsi="Calibri" w:eastAsia="Microsoft YaHei"/>
                <w:color w:val="0B2545"/>
                <w:sz w:val="15"/>
              </w:rPr>
              <w:t>E3</w:t>
            </w:r>
          </w:p>
        </w:tc>
        <w:tc>
          <w:tcPr>
            <w:tcW w:type="dxa" w:w="1160"/>
          </w:tcPr>
          <w:p>
            <w:pPr>
              <w:keepLines/>
              <w:spacing w:after="0" w:line="276" w:lineRule="auto"/>
            </w:pPr>
            <w:r>
              <w:rPr>
                <w:rFonts w:ascii="Calibri" w:hAnsi="Calibri" w:eastAsia="Microsoft YaHei"/>
                <w:color w:val="0B2545"/>
                <w:sz w:val="15"/>
              </w:rPr>
              <w:t>D3</w:t>
            </w:r>
          </w:p>
        </w:tc>
      </w:tr>
    </w:tbl>
    <w:p>
      <w:pPr>
        <w:spacing w:before="0" w:after="60"/>
      </w:pPr>
    </w:p>
    <w:tbl>
      <w:tblPr>
        <w:tblStyle w:val="TableGrid"/>
        <w:tblW w:type="dxa" w:w="9360"/>
        <w:jc w:val="left"/>
        <w:tblLayout w:type="fixed"/>
        <w:tblLook w:firstColumn="1" w:firstRow="1" w:lastColumn="0" w:lastRow="0" w:noHBand="0" w:noVBand="1" w:val="04A0"/>
        <w:tblInd w:w="120" w:type="dxa"/>
      </w:tblPr>
      <w:tblGrid>
        <w:gridCol w:w="900"/>
        <w:gridCol w:w="3200"/>
        <w:gridCol w:w="2760"/>
        <w:gridCol w:w="2500"/>
      </w:tblGrid>
      <w:tr>
        <w:trPr>
          <w:tblHeader w:val="true"/>
        </w:trPr>
        <w:tc>
          <w:tcPr>
            <w:tcW w:type="dxa" w:w="9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年份/类型</w:t>
            </w:r>
          </w:p>
        </w:tc>
        <w:tc>
          <w:tcPr>
            <w:tcW w:type="dxa" w:w="32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论文或软件</w:t>
            </w:r>
          </w:p>
        </w:tc>
        <w:tc>
          <w:tcPr>
            <w:tcW w:type="dxa" w:w="276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来源/关系</w:t>
            </w:r>
          </w:p>
        </w:tc>
        <w:tc>
          <w:tcPr>
            <w:tcW w:type="dxa" w:w="25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链接</w:t>
            </w:r>
          </w:p>
        </w:tc>
      </w:tr>
      <w:tr>
        <w:trPr>
          <w:cantSplit/>
        </w:trPr>
        <w:tc>
          <w:tcPr>
            <w:tcW w:type="dxa" w:w="900"/>
          </w:tcPr>
          <w:p>
            <w:pPr>
              <w:keepLines/>
              <w:spacing w:after="0" w:line="276" w:lineRule="auto"/>
            </w:pPr>
            <w:r>
              <w:rPr>
                <w:rFonts w:ascii="Calibri" w:hAnsi="Calibri" w:eastAsia="Microsoft YaHei"/>
                <w:color w:val="0B2545"/>
                <w:sz w:val="14"/>
              </w:rPr>
              <w:t>2021</w:t>
            </w:r>
          </w:p>
        </w:tc>
        <w:tc>
          <w:tcPr>
            <w:tcW w:type="dxa" w:w="3200"/>
          </w:tcPr>
          <w:p>
            <w:pPr>
              <w:keepLines/>
              <w:spacing w:after="0" w:line="276" w:lineRule="auto"/>
            </w:pPr>
            <w:r>
              <w:rPr>
                <w:rFonts w:ascii="Calibri" w:hAnsi="Calibri" w:eastAsia="Microsoft YaHei"/>
                <w:color w:val="0B2545"/>
                <w:sz w:val="14"/>
              </w:rPr>
              <w:t>Development of diagnostic systems for first plasma on HL-2M tokamak</w:t>
            </w:r>
          </w:p>
        </w:tc>
        <w:tc>
          <w:tcPr>
            <w:tcW w:type="dxa" w:w="2760"/>
          </w:tcPr>
          <w:p>
            <w:pPr>
              <w:keepLines/>
              <w:spacing w:after="0" w:line="276" w:lineRule="auto"/>
            </w:pPr>
            <w:r>
              <w:rPr>
                <w:rFonts w:ascii="Calibri" w:hAnsi="Calibri" w:eastAsia="Microsoft YaHei"/>
                <w:color w:val="0B2545"/>
                <w:sz w:val="14"/>
              </w:rPr>
              <w:t>原始论文 / 官方来源</w:t>
            </w:r>
          </w:p>
        </w:tc>
        <w:tc>
          <w:tcPr>
            <w:tcW w:type="dxa" w:w="2500"/>
          </w:tcPr>
          <w:p>
            <w:pPr>
              <w:keepLines/>
              <w:spacing w:after="0" w:line="276" w:lineRule="auto"/>
            </w:pPr>
            <w:hyperlink r:id="rId236">
              <w:r>
                <w:rPr>
                  <w:rFonts w:ascii="Calibri" w:hAnsi="Calibri" w:eastAsia="Microsoft YaHei"/>
                  <w:color w:val="008C95"/>
                  <w:u w:val="single"/>
                </w:rPr>
                <w:t>打开原始来源 ↗</w:t>
              </w:r>
            </w:hyperlink>
          </w:p>
        </w:tc>
      </w:tr>
      <w:tr>
        <w:trPr>
          <w:cantSplit/>
        </w:trPr>
        <w:tc>
          <w:tcPr>
            <w:tcW w:type="dxa" w:w="900"/>
          </w:tcPr>
          <w:p>
            <w:pPr>
              <w:keepLines/>
              <w:spacing w:after="0" w:line="276" w:lineRule="auto"/>
            </w:pPr>
            <w:r>
              <w:rPr>
                <w:rFonts w:ascii="Calibri" w:hAnsi="Calibri" w:eastAsia="Microsoft YaHei"/>
                <w:color w:val="0B2545"/>
                <w:sz w:val="14"/>
              </w:rPr>
              <w:t>2019</w:t>
            </w:r>
          </w:p>
        </w:tc>
        <w:tc>
          <w:tcPr>
            <w:tcW w:type="dxa" w:w="3200"/>
          </w:tcPr>
          <w:p>
            <w:pPr>
              <w:keepLines/>
              <w:spacing w:after="0" w:line="276" w:lineRule="auto"/>
            </w:pPr>
            <w:r>
              <w:rPr>
                <w:rFonts w:ascii="Calibri" w:hAnsi="Calibri" w:eastAsia="Microsoft YaHei"/>
                <w:color w:val="0B2545"/>
                <w:sz w:val="14"/>
              </w:rPr>
              <w:t>Development of the real-time double-ring fusion neutron time-of-flight spectrometer system at HL-2M</w:t>
            </w:r>
          </w:p>
        </w:tc>
        <w:tc>
          <w:tcPr>
            <w:tcW w:type="dxa" w:w="2760"/>
          </w:tcPr>
          <w:p>
            <w:pPr>
              <w:keepLines/>
              <w:spacing w:after="0" w:line="276" w:lineRule="auto"/>
            </w:pPr>
            <w:r>
              <w:rPr>
                <w:rFonts w:ascii="Calibri" w:hAnsi="Calibri" w:eastAsia="Microsoft YaHei"/>
                <w:color w:val="0B2545"/>
                <w:sz w:val="14"/>
              </w:rPr>
              <w:t>Nuclear Science and Techniques</w:t>
            </w:r>
          </w:p>
        </w:tc>
        <w:tc>
          <w:tcPr>
            <w:tcW w:type="dxa" w:w="2500"/>
          </w:tcPr>
          <w:p>
            <w:pPr>
              <w:keepLines/>
              <w:spacing w:after="0" w:line="276" w:lineRule="auto"/>
            </w:pPr>
            <w:hyperlink r:id="rId237">
              <w:r>
                <w:rPr>
                  <w:rFonts w:ascii="Calibri" w:hAnsi="Calibri" w:eastAsia="Microsoft YaHei"/>
                  <w:color w:val="008C95"/>
                  <w:u w:val="single"/>
                </w:rPr>
                <w:t>打开原始来源 ↗</w:t>
              </w:r>
            </w:hyperlink>
          </w:p>
        </w:tc>
      </w:tr>
      <w:tr>
        <w:trPr>
          <w:cantSplit/>
        </w:trPr>
        <w:tc>
          <w:tcPr>
            <w:tcW w:type="dxa" w:w="900"/>
          </w:tcPr>
          <w:p>
            <w:pPr>
              <w:keepLines/>
              <w:spacing w:after="0" w:line="276" w:lineRule="auto"/>
            </w:pPr>
            <w:r>
              <w:rPr>
                <w:rFonts w:ascii="Calibri" w:hAnsi="Calibri" w:eastAsia="Microsoft YaHei"/>
                <w:color w:val="0B2545"/>
                <w:sz w:val="14"/>
              </w:rPr>
              <w:t>2024</w:t>
            </w:r>
          </w:p>
        </w:tc>
        <w:tc>
          <w:tcPr>
            <w:tcW w:type="dxa" w:w="3200"/>
          </w:tcPr>
          <w:p>
            <w:pPr>
              <w:keepLines/>
              <w:spacing w:after="0" w:line="276" w:lineRule="auto"/>
            </w:pPr>
            <w:r>
              <w:rPr>
                <w:rFonts w:ascii="Calibri" w:hAnsi="Calibri" w:eastAsia="Microsoft YaHei"/>
                <w:color w:val="0B2545"/>
                <w:sz w:val="14"/>
              </w:rPr>
              <w:t>Development of a Cherenkov probe with high time resolution for runaway electron measurements in the HL-2M tokamak</w:t>
            </w:r>
          </w:p>
        </w:tc>
        <w:tc>
          <w:tcPr>
            <w:tcW w:type="dxa" w:w="2760"/>
          </w:tcPr>
          <w:p>
            <w:pPr>
              <w:keepLines/>
              <w:spacing w:after="0" w:line="276" w:lineRule="auto"/>
            </w:pPr>
            <w:r>
              <w:rPr>
                <w:rFonts w:ascii="Calibri" w:hAnsi="Calibri" w:eastAsia="Microsoft YaHei"/>
                <w:color w:val="0B2545"/>
                <w:sz w:val="14"/>
              </w:rPr>
              <w:t>Fusion Engineering and Design</w:t>
            </w:r>
          </w:p>
        </w:tc>
        <w:tc>
          <w:tcPr>
            <w:tcW w:type="dxa" w:w="2500"/>
          </w:tcPr>
          <w:p>
            <w:pPr>
              <w:keepLines/>
              <w:spacing w:after="0" w:line="276" w:lineRule="auto"/>
            </w:pPr>
            <w:hyperlink r:id="rId238">
              <w:r>
                <w:rPr>
                  <w:rFonts w:ascii="Calibri" w:hAnsi="Calibri" w:eastAsia="Microsoft YaHei"/>
                  <w:color w:val="008C95"/>
                  <w:u w:val="single"/>
                </w:rPr>
                <w:t>打开原始来源 ↗</w:t>
              </w:r>
            </w:hyperlink>
          </w:p>
        </w:tc>
      </w:tr>
      <w:tr>
        <w:trPr>
          <w:cantSplit/>
        </w:trPr>
        <w:tc>
          <w:tcPr>
            <w:tcW w:type="dxa" w:w="900"/>
          </w:tcPr>
          <w:p>
            <w:pPr>
              <w:keepLines/>
              <w:spacing w:after="0" w:line="276" w:lineRule="auto"/>
            </w:pPr>
            <w:r>
              <w:rPr>
                <w:rFonts w:ascii="Calibri" w:hAnsi="Calibri" w:eastAsia="Microsoft YaHei"/>
                <w:color w:val="0B2545"/>
                <w:sz w:val="14"/>
              </w:rPr>
              <w:t>软件</w:t>
            </w:r>
          </w:p>
        </w:tc>
        <w:tc>
          <w:tcPr>
            <w:tcW w:type="dxa" w:w="3200"/>
          </w:tcPr>
          <w:p>
            <w:pPr>
              <w:keepLines/>
              <w:spacing w:after="0" w:line="276" w:lineRule="auto"/>
            </w:pPr>
            <w:r>
              <w:rPr>
                <w:rFonts w:ascii="Calibri" w:hAnsi="Calibri" w:eastAsia="Microsoft YaHei"/>
                <w:color w:val="0B2545"/>
                <w:sz w:val="14"/>
              </w:rPr>
              <w:t>HL-2A/HL-2M diagnostic code/data</w:t>
            </w:r>
          </w:p>
        </w:tc>
        <w:tc>
          <w:tcPr>
            <w:tcW w:type="dxa" w:w="2760"/>
          </w:tcPr>
          <w:p>
            <w:pPr>
              <w:keepLines/>
              <w:spacing w:after="0" w:line="276" w:lineRule="auto"/>
            </w:pPr>
            <w:r>
              <w:rPr>
                <w:rFonts w:ascii="Calibri" w:hAnsi="Calibri" w:eastAsia="Microsoft YaHei"/>
                <w:color w:val="0B2545"/>
                <w:sz w:val="14"/>
              </w:rPr>
              <w:t>not-public / 未找到完整公共数据或生产代码仓库</w:t>
            </w:r>
          </w:p>
        </w:tc>
        <w:tc>
          <w:tcPr>
            <w:tcW w:type="dxa" w:w="2500"/>
          </w:tcPr>
          <w:p>
            <w:pPr>
              <w:keepLines/>
              <w:spacing w:after="0" w:line="276" w:lineRule="auto"/>
            </w:pPr>
            <w:r>
              <w:rPr>
                <w:rFonts w:ascii="Calibri" w:hAnsi="Calibri" w:eastAsia="Microsoft YaHei"/>
                <w:color w:val="0B2545"/>
                <w:sz w:val="14"/>
              </w:rPr>
              <w:t>未公开</w:t>
            </w:r>
          </w:p>
        </w:tc>
      </w:tr>
      <w:tr>
        <w:trPr>
          <w:cantSplit/>
        </w:trPr>
        <w:tc>
          <w:tcPr>
            <w:tcW w:type="dxa" w:w="900"/>
          </w:tcPr>
          <w:p>
            <w:pPr>
              <w:keepLines/>
              <w:spacing w:after="0" w:line="276" w:lineRule="auto"/>
            </w:pPr>
            <w:r>
              <w:rPr>
                <w:rFonts w:ascii="Calibri" w:hAnsi="Calibri" w:eastAsia="Microsoft YaHei"/>
                <w:color w:val="0B2545"/>
                <w:sz w:val="14"/>
              </w:rPr>
              <w:t>软件</w:t>
            </w:r>
          </w:p>
        </w:tc>
        <w:tc>
          <w:tcPr>
            <w:tcW w:type="dxa" w:w="3200"/>
          </w:tcPr>
          <w:p>
            <w:pPr>
              <w:keepLines/>
              <w:spacing w:after="0" w:line="276" w:lineRule="auto"/>
            </w:pPr>
            <w:r>
              <w:rPr>
                <w:rFonts w:ascii="Calibri" w:hAnsi="Calibri" w:eastAsia="Microsoft YaHei"/>
                <w:color w:val="0B2545"/>
                <w:sz w:val="14"/>
              </w:rPr>
              <w:t>HL-2M diagnostic papers</w:t>
            </w:r>
          </w:p>
        </w:tc>
        <w:tc>
          <w:tcPr>
            <w:tcW w:type="dxa" w:w="2760"/>
          </w:tcPr>
          <w:p>
            <w:pPr>
              <w:keepLines/>
              <w:spacing w:after="0" w:line="276" w:lineRule="auto"/>
            </w:pPr>
            <w:r>
              <w:rPr>
                <w:rFonts w:ascii="Calibri" w:hAnsi="Calibri" w:eastAsia="Microsoft YaHei"/>
                <w:color w:val="0B2545"/>
                <w:sz w:val="14"/>
              </w:rPr>
              <w:t>not-public / 论文/演示材料只作为参考证据；未发现可执行诊断生产代码仓库</w:t>
            </w:r>
          </w:p>
        </w:tc>
        <w:tc>
          <w:tcPr>
            <w:tcW w:type="dxa" w:w="2500"/>
          </w:tcPr>
          <w:p>
            <w:pPr>
              <w:keepLines/>
              <w:spacing w:after="0" w:line="276" w:lineRule="auto"/>
            </w:pPr>
            <w:r>
              <w:rPr>
                <w:rFonts w:ascii="Calibri" w:hAnsi="Calibri" w:eastAsia="Microsoft YaHei"/>
                <w:color w:val="0B2545"/>
                <w:sz w:val="14"/>
              </w:rPr>
              <w:t>未公开</w:t>
            </w:r>
          </w:p>
        </w:tc>
      </w:tr>
    </w:tbl>
    <w:p>
      <w:pPr>
        <w:spacing w:before="0" w:after="60"/>
      </w:pPr>
    </w:p>
    <w:p>
      <w:pPr>
        <w:pStyle w:val="Heading2"/>
      </w:pPr>
      <w:r>
        <w:t>17.07  ITER</w:t>
      </w:r>
    </w:p>
    <w:tbl>
      <w:tblPr>
        <w:tblStyle w:val="TableGrid"/>
        <w:tblW w:type="dxa" w:w="9360"/>
        <w:jc w:val="left"/>
        <w:tblLayout w:type="fixed"/>
        <w:tblLook w:firstColumn="1" w:firstRow="1" w:lastColumn="0" w:lastRow="0" w:noHBand="0" w:noVBand="1" w:val="04A0"/>
        <w:tblInd w:w="120" w:type="dxa"/>
      </w:tblPr>
      <w:tblGrid>
        <w:gridCol w:w="1100"/>
        <w:gridCol w:w="1100"/>
        <w:gridCol w:w="2400"/>
        <w:gridCol w:w="1900"/>
        <w:gridCol w:w="2860"/>
      </w:tblGrid>
      <w:tr>
        <w:trPr>
          <w:tblHeader w:val="true"/>
        </w:trPr>
        <w:tc>
          <w:tcPr>
            <w:tcW w:type="dxa" w:w="11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类型</w:t>
            </w:r>
          </w:p>
        </w:tc>
        <w:tc>
          <w:tcPr>
            <w:tcW w:type="dxa" w:w="11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国家/地区</w:t>
            </w:r>
          </w:p>
        </w:tc>
        <w:tc>
          <w:tcPr>
            <w:tcW w:type="dxa" w:w="24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运营方</w:t>
            </w:r>
          </w:p>
        </w:tc>
        <w:tc>
          <w:tcPr>
            <w:tcW w:type="dxa" w:w="19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状态</w:t>
            </w:r>
          </w:p>
        </w:tc>
        <w:tc>
          <w:tcPr>
            <w:tcW w:type="dxa" w:w="286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覆盖任务</w:t>
            </w:r>
          </w:p>
        </w:tc>
      </w:tr>
      <w:tr>
        <w:trPr>
          <w:cantSplit/>
        </w:trPr>
        <w:tc>
          <w:tcPr>
            <w:tcW w:type="dxa" w:w="1100"/>
          </w:tcPr>
          <w:p>
            <w:pPr>
              <w:keepLines/>
              <w:spacing w:after="0" w:line="276" w:lineRule="auto"/>
            </w:pPr>
            <w:r>
              <w:rPr>
                <w:rFonts w:ascii="Calibri" w:hAnsi="Calibri" w:eastAsia="Microsoft YaHei"/>
                <w:color w:val="0B2545"/>
                <w:sz w:val="15"/>
              </w:rPr>
              <w:t>大型燃烧等离子体托卡马克（在建）</w:t>
            </w:r>
          </w:p>
        </w:tc>
        <w:tc>
          <w:tcPr>
            <w:tcW w:type="dxa" w:w="1100"/>
          </w:tcPr>
          <w:p>
            <w:pPr>
              <w:keepLines/>
              <w:spacing w:after="0" w:line="276" w:lineRule="auto"/>
            </w:pPr>
            <w:r>
              <w:rPr>
                <w:rFonts w:ascii="Calibri" w:hAnsi="Calibri" w:eastAsia="Microsoft YaHei"/>
                <w:color w:val="0B2545"/>
                <w:sz w:val="15"/>
              </w:rPr>
              <w:t>国际 / 法国</w:t>
            </w:r>
          </w:p>
        </w:tc>
        <w:tc>
          <w:tcPr>
            <w:tcW w:type="dxa" w:w="2400"/>
          </w:tcPr>
          <w:p>
            <w:pPr>
              <w:keepLines/>
              <w:spacing w:after="0" w:line="276" w:lineRule="auto"/>
            </w:pPr>
            <w:r>
              <w:rPr>
                <w:rFonts w:ascii="Calibri" w:hAnsi="Calibri" w:eastAsia="Microsoft YaHei"/>
                <w:color w:val="0B2545"/>
                <w:sz w:val="15"/>
              </w:rPr>
              <w:t>ITER Organization</w:t>
            </w:r>
          </w:p>
        </w:tc>
        <w:tc>
          <w:tcPr>
            <w:tcW w:type="dxa" w:w="1900"/>
          </w:tcPr>
          <w:p>
            <w:pPr>
              <w:keepLines/>
              <w:spacing w:after="0" w:line="276" w:lineRule="auto"/>
            </w:pPr>
            <w:r>
              <w:rPr>
                <w:rFonts w:ascii="Calibri" w:hAnsi="Calibri" w:eastAsia="Microsoft YaHei"/>
                <w:color w:val="0B2545"/>
                <w:sz w:val="15"/>
              </w:rPr>
              <w:t>建设、装配和分系统集成；尚无 ITER 等离子体实验数据</w:t>
            </w:r>
          </w:p>
        </w:tc>
        <w:tc>
          <w:tcPr>
            <w:tcW w:type="dxa" w:w="2860"/>
          </w:tcPr>
          <w:p>
            <w:pPr>
              <w:keepLines/>
              <w:spacing w:after="0" w:line="276" w:lineRule="auto"/>
            </w:pPr>
            <w:r>
              <w:rPr>
                <w:rFonts w:ascii="Calibri" w:hAnsi="Calibri" w:eastAsia="Microsoft YaHei"/>
                <w:color w:val="0B2545"/>
                <w:sz w:val="15"/>
              </w:rPr>
              <w:t>DG0；DG1；DG2；DG3；DG4；DG5；DG7；DG9；DG11</w:t>
            </w:r>
          </w:p>
        </w:tc>
      </w:tr>
    </w:tbl>
    <w:p>
      <w:pPr>
        <w:spacing w:before="0" w:after="60"/>
      </w:pPr>
    </w:p>
    <w:p>
      <w:pPr>
        <w:widowControl/>
      </w:pPr>
      <w:r>
        <w:rPr>
          <w:rFonts w:ascii="Calibri" w:hAnsi="Calibri" w:eastAsia="Microsoft YaHei"/>
          <w:b/>
          <w:color w:val="1F4D78"/>
        </w:rPr>
        <w:t>诊断概况：</w:t>
      </w:r>
      <w:r>
        <w:rPr>
          <w:rFonts w:ascii="Calibri" w:hAnsi="Calibri" w:eastAsia="Microsoft YaHei"/>
        </w:rPr>
        <w:t>ITER 规划约四十套大型诊断，覆盖磁、光学、微波、辐射、中子/伽马、粒子与边界测量。其核心挑战不是再复制研究装置诊断，而是在中子、伽马、热、真空、氚包容、远程维护和有限端口条件下向保护、PCS 和物理研究持续提供带质量标志的测量。</w:t>
      </w:r>
    </w:p>
    <w:p>
      <w:pPr>
        <w:widowControl/>
      </w:pPr>
      <w:r>
        <w:rPr>
          <w:rFonts w:ascii="Calibri" w:hAnsi="Calibri" w:eastAsia="Microsoft YaHei"/>
          <w:b/>
          <w:color w:val="1F4D78"/>
        </w:rPr>
        <w:t>主要系统：</w:t>
      </w:r>
      <w:r>
        <w:rPr>
          <w:rFonts w:ascii="Calibri" w:hAnsi="Calibri" w:eastAsia="Microsoft YaHei"/>
        </w:rPr>
        <w:t>family: magnetic；systems: vessel-wall inductive sensors；divertor magnetic coils；Rogowski coils；diamagnetic loops；Hall/FOCS/LTCC sensors；measuredQuantities: plasma current；position/shape；halo current；error fields；evidence: E2/D3：设计、制造和资格试验；尚无 ITER plasma validation；realTimeUse: 计划向 PCS 和机器保护提供信号；family: neutron-gamma-particle；systems: radial/vertical neutron cameras；micro-fission chambers；activation system；gamma-ray spectrometers；lost-alpha/fast-ion diagnostics；measuredQuantities: fusion power；emissivity profile；fluence；fuel ratio/fast-ion state；evidence: E1-E2/D2-D3：设计、原型与标定开发；realTimeUse: 部分测量被规划用于控制或保护；family: optical-microwave-spectroscopy；systems: Thomson scattering；ECE；interferometry/polarimetry；CXRS；bolometry；visible/IR viewing；residual gas analyzer；measuredQuantities: ne/Te；ion state；radiation；PFC temperature；fuel/ash/impurity gas；evidence: E1-E2；子系统成熟度不一；realTimeUse: 需求级接口；不能写成已在 ITER 运行</w:t>
      </w:r>
    </w:p>
    <w:p>
      <w:pPr>
        <w:widowControl/>
      </w:pPr>
      <w:r>
        <w:rPr>
          <w:rFonts w:ascii="Calibri" w:hAnsi="Calibri" w:eastAsia="Microsoft YaHei"/>
          <w:b/>
          <w:color w:val="1F4D78"/>
        </w:rPr>
        <w:t>测量/传感：</w:t>
      </w:r>
      <w:r>
        <w:rPr>
          <w:rFonts w:ascii="Calibri" w:hAnsi="Calibri" w:eastAsia="Microsoft YaHei"/>
        </w:rPr>
        <w:t>mineral-insulated magnetic coils；Rogowski/diamagnetic loops；fission chambers；diamond/scintillation detectors；spectrometers；laser/microwave receivers；IR/visible cameras；mass spectrometers</w:t>
      </w:r>
    </w:p>
    <w:p>
      <w:pPr>
        <w:widowControl/>
      </w:pPr>
      <w:r>
        <w:rPr>
          <w:rFonts w:ascii="Calibri" w:hAnsi="Calibri" w:eastAsia="Microsoft YaHei"/>
          <w:b/>
          <w:color w:val="1F4D78"/>
        </w:rPr>
        <w:t>实时与 PCS 接口：</w:t>
      </w:r>
      <w:r>
        <w:rPr>
          <w:rFonts w:ascii="Calibri" w:hAnsi="Calibri" w:eastAsia="Microsoft YaHei"/>
        </w:rPr>
        <w:t>PCS 将消费相当一部分诊断参数；CODAC/plant I&amp;C 提供采集、时间同步和归档；中央联锁、机器保护和人员/核安全职责必须与诊断/PCS 分离</w:t>
      </w:r>
    </w:p>
    <w:p>
      <w:pPr>
        <w:widowControl/>
      </w:pPr>
      <w:r>
        <w:rPr>
          <w:rFonts w:ascii="Calibri" w:hAnsi="Calibri" w:eastAsia="Microsoft YaHei"/>
          <w:b/>
          <w:color w:val="1F4D78"/>
        </w:rPr>
        <w:t>数据平台：</w:t>
      </w:r>
      <w:r>
        <w:rPr>
          <w:rFonts w:ascii="Calibri" w:hAnsi="Calibri" w:eastAsia="Microsoft YaHei"/>
        </w:rPr>
        <w:t>systems: CODAC Core System；EPICS；IMAS；access: CODAC 发行与完整配置受项目/贡献者权限约束；IMAS-Python 公开不等于 ITER 诊断数据公开；evidence: 官方 CODAC/IMAS 文档与仓库</w:t>
      </w:r>
    </w:p>
    <w:p>
      <w:pPr>
        <w:widowControl/>
      </w:pPr>
      <w:r>
        <w:rPr>
          <w:rFonts w:ascii="Calibri" w:hAnsi="Calibri" w:eastAsia="Microsoft YaHei"/>
          <w:b/>
          <w:color w:val="1F4D78"/>
        </w:rPr>
        <w:t>代表工作概述：</w:t>
      </w:r>
      <w:r>
        <w:rPr>
          <w:rFonts w:ascii="Calibri" w:hAnsi="Calibri" w:eastAsia="Microsoft YaHei"/>
        </w:rPr>
        <w:t>磁诊断约 2000 个、19 类传感器的设计与资格试验；中子相机、通量监视、活化系统和伽马谱的燃烧等离子体测量链；DRGA 对燃料比、氦灰和杂质的样机开发；诊断端口、第一镜、辐照与远程维护工程集成</w:t>
      </w:r>
    </w:p>
    <w:p>
      <w:pPr>
        <w:widowControl/>
      </w:pPr>
      <w:r>
        <w:rPr>
          <w:rFonts w:ascii="Calibri" w:hAnsi="Calibri" w:eastAsia="Microsoft YaHei"/>
          <w:b/>
          <w:color w:val="1F4D78"/>
        </w:rPr>
        <w:t>证据边界：</w:t>
      </w:r>
      <w:r>
        <w:rPr>
          <w:rFonts w:ascii="Calibri" w:hAnsi="Calibri" w:eastAsia="Microsoft YaHei"/>
        </w:rPr>
        <w:t>所有 ITER plasma 性能、可用率和长期辐照漂移均尚无本机证据；端口、第一镜污染、辐射诱导效应、远程标定与替换是主要风险；外部装置验证不能替代 ITER 环境资格与端到端验收</w:t>
      </w:r>
    </w:p>
    <w:tbl>
      <w:tblPr>
        <w:tblStyle w:val="TableGrid"/>
        <w:tblW w:type="dxa" w:w="9360"/>
        <w:jc w:val="left"/>
        <w:tblLayout w:type="fixed"/>
        <w:tblLook w:firstColumn="1" w:firstRow="1" w:lastColumn="0" w:lastRow="0" w:noHBand="0" w:noVBand="1" w:val="04A0"/>
        <w:tblInd w:w="120" w:type="dxa"/>
      </w:tblPr>
      <w:tblGrid>
        <w:gridCol w:w="1200"/>
        <w:gridCol w:w="750"/>
        <w:gridCol w:w="5300"/>
        <w:gridCol w:w="950"/>
        <w:gridCol w:w="1160"/>
      </w:tblGrid>
      <w:tr>
        <w:trPr>
          <w:tblHeader w:val="true"/>
        </w:trPr>
        <w:tc>
          <w:tcPr>
            <w:tcW w:type="dxa" w:w="12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工作 ID</w:t>
            </w:r>
          </w:p>
        </w:tc>
        <w:tc>
          <w:tcPr>
            <w:tcW w:type="dxa" w:w="7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任务</w:t>
            </w:r>
          </w:p>
        </w:tc>
        <w:tc>
          <w:tcPr>
            <w:tcW w:type="dxa" w:w="53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代表工作</w:t>
            </w:r>
          </w:p>
        </w:tc>
        <w:tc>
          <w:tcPr>
            <w:tcW w:type="dxa" w:w="9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证据</w:t>
            </w:r>
          </w:p>
        </w:tc>
        <w:tc>
          <w:tcPr>
            <w:tcW w:type="dxa" w:w="116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部署</w:t>
            </w:r>
          </w:p>
        </w:tc>
      </w:tr>
      <w:tr>
        <w:trPr>
          <w:cantSplit/>
        </w:trPr>
        <w:tc>
          <w:tcPr>
            <w:tcW w:type="dxa" w:w="1200"/>
          </w:tcPr>
          <w:p>
            <w:pPr>
              <w:keepLines/>
              <w:spacing w:after="0" w:line="276" w:lineRule="auto"/>
            </w:pPr>
            <w:r>
              <w:rPr>
                <w:rFonts w:ascii="Calibri" w:hAnsi="Calibri" w:eastAsia="Microsoft YaHei"/>
                <w:color w:val="0B2545"/>
                <w:sz w:val="15"/>
              </w:rPr>
              <w:t>PDT-001</w:t>
            </w:r>
          </w:p>
        </w:tc>
        <w:tc>
          <w:tcPr>
            <w:tcW w:type="dxa" w:w="750"/>
          </w:tcPr>
          <w:p>
            <w:pPr>
              <w:keepLines/>
              <w:spacing w:after="0" w:line="276" w:lineRule="auto"/>
            </w:pPr>
            <w:r>
              <w:rPr>
                <w:rFonts w:ascii="Calibri" w:hAnsi="Calibri" w:eastAsia="Microsoft YaHei"/>
                <w:color w:val="0B2545"/>
                <w:sz w:val="15"/>
              </w:rPr>
              <w:t>DG8</w:t>
            </w:r>
          </w:p>
        </w:tc>
        <w:tc>
          <w:tcPr>
            <w:tcW w:type="dxa" w:w="5300"/>
          </w:tcPr>
          <w:p>
            <w:pPr>
              <w:keepLines/>
              <w:spacing w:after="0" w:line="276" w:lineRule="auto"/>
            </w:pPr>
            <w:r>
              <w:rPr>
                <w:rFonts w:ascii="Calibri" w:hAnsi="Calibri" w:eastAsia="Microsoft YaHei"/>
                <w:color w:val="0B2545"/>
                <w:sz w:val="15"/>
              </w:rPr>
              <w:t>ITER 超导磁体多通道失超探测与抗噪监视</w:t>
            </w:r>
          </w:p>
        </w:tc>
        <w:tc>
          <w:tcPr>
            <w:tcW w:type="dxa" w:w="950"/>
          </w:tcPr>
          <w:p>
            <w:pPr>
              <w:keepLines/>
              <w:spacing w:after="0" w:line="276" w:lineRule="auto"/>
            </w:pPr>
            <w:r>
              <w:rPr>
                <w:rFonts w:ascii="Calibri" w:hAnsi="Calibri" w:eastAsia="Microsoft YaHei"/>
                <w:color w:val="0B2545"/>
                <w:sz w:val="15"/>
              </w:rPr>
              <w:t>E2</w:t>
            </w:r>
          </w:p>
        </w:tc>
        <w:tc>
          <w:tcPr>
            <w:tcW w:type="dxa" w:w="1160"/>
          </w:tcPr>
          <w:p>
            <w:pPr>
              <w:keepLines/>
              <w:spacing w:after="0" w:line="276" w:lineRule="auto"/>
            </w:pPr>
            <w:r>
              <w:rPr>
                <w:rFonts w:ascii="Calibri" w:hAnsi="Calibri" w:eastAsia="Microsoft YaHei"/>
                <w:color w:val="0B2545"/>
                <w:sz w:val="15"/>
              </w:rPr>
              <w:t>D3</w:t>
            </w:r>
          </w:p>
        </w:tc>
      </w:tr>
      <w:tr>
        <w:trPr>
          <w:cantSplit/>
        </w:trPr>
        <w:tc>
          <w:tcPr>
            <w:tcW w:type="dxa" w:w="1200"/>
          </w:tcPr>
          <w:p>
            <w:pPr>
              <w:keepLines/>
              <w:spacing w:after="0" w:line="276" w:lineRule="auto"/>
            </w:pPr>
            <w:r>
              <w:rPr>
                <w:rFonts w:ascii="Calibri" w:hAnsi="Calibri" w:eastAsia="Microsoft YaHei"/>
                <w:color w:val="0B2545"/>
                <w:sz w:val="15"/>
              </w:rPr>
              <w:t>PDT-010</w:t>
            </w:r>
          </w:p>
        </w:tc>
        <w:tc>
          <w:tcPr>
            <w:tcW w:type="dxa" w:w="750"/>
          </w:tcPr>
          <w:p>
            <w:pPr>
              <w:keepLines/>
              <w:spacing w:after="0" w:line="276" w:lineRule="auto"/>
            </w:pPr>
            <w:r>
              <w:rPr>
                <w:rFonts w:ascii="Calibri" w:hAnsi="Calibri" w:eastAsia="Microsoft YaHei"/>
                <w:color w:val="0B2545"/>
                <w:sz w:val="15"/>
              </w:rPr>
              <w:t>DG8</w:t>
            </w:r>
          </w:p>
        </w:tc>
        <w:tc>
          <w:tcPr>
            <w:tcW w:type="dxa" w:w="5300"/>
          </w:tcPr>
          <w:p>
            <w:pPr>
              <w:keepLines/>
              <w:spacing w:after="0" w:line="276" w:lineRule="auto"/>
            </w:pPr>
            <w:r>
              <w:rPr>
                <w:rFonts w:ascii="Calibri" w:hAnsi="Calibri" w:eastAsia="Microsoft YaHei"/>
                <w:color w:val="0B2545"/>
                <w:sz w:val="15"/>
              </w:rPr>
              <w:t>ITER 诊断残余气体分析器的燃料、氦灰与杂质监测</w:t>
            </w:r>
          </w:p>
        </w:tc>
        <w:tc>
          <w:tcPr>
            <w:tcW w:type="dxa" w:w="950"/>
          </w:tcPr>
          <w:p>
            <w:pPr>
              <w:keepLines/>
              <w:spacing w:after="0" w:line="276" w:lineRule="auto"/>
            </w:pPr>
            <w:r>
              <w:rPr>
                <w:rFonts w:ascii="Calibri" w:hAnsi="Calibri" w:eastAsia="Microsoft YaHei"/>
                <w:color w:val="0B2545"/>
                <w:sz w:val="15"/>
              </w:rPr>
              <w:t>E2</w:t>
            </w:r>
          </w:p>
        </w:tc>
        <w:tc>
          <w:tcPr>
            <w:tcW w:type="dxa" w:w="1160"/>
          </w:tcPr>
          <w:p>
            <w:pPr>
              <w:keepLines/>
              <w:spacing w:after="0" w:line="276" w:lineRule="auto"/>
            </w:pPr>
            <w:r>
              <w:rPr>
                <w:rFonts w:ascii="Calibri" w:hAnsi="Calibri" w:eastAsia="Microsoft YaHei"/>
                <w:color w:val="0B2545"/>
                <w:sz w:val="15"/>
              </w:rPr>
              <w:t>D2</w:t>
            </w:r>
          </w:p>
        </w:tc>
      </w:tr>
      <w:tr>
        <w:trPr>
          <w:cantSplit/>
        </w:trPr>
        <w:tc>
          <w:tcPr>
            <w:tcW w:type="dxa" w:w="1200"/>
          </w:tcPr>
          <w:p>
            <w:pPr>
              <w:keepLines/>
              <w:spacing w:after="0" w:line="276" w:lineRule="auto"/>
            </w:pPr>
            <w:r>
              <w:rPr>
                <w:rFonts w:ascii="Calibri" w:hAnsi="Calibri" w:eastAsia="Microsoft YaHei"/>
                <w:color w:val="0B2545"/>
                <w:sz w:val="15"/>
              </w:rPr>
              <w:t>PDT-015</w:t>
            </w:r>
          </w:p>
        </w:tc>
        <w:tc>
          <w:tcPr>
            <w:tcW w:type="dxa" w:w="750"/>
          </w:tcPr>
          <w:p>
            <w:pPr>
              <w:keepLines/>
              <w:spacing w:after="0" w:line="276" w:lineRule="auto"/>
            </w:pPr>
            <w:r>
              <w:rPr>
                <w:rFonts w:ascii="Calibri" w:hAnsi="Calibri" w:eastAsia="Microsoft YaHei"/>
                <w:color w:val="0B2545"/>
                <w:sz w:val="15"/>
              </w:rPr>
              <w:t>DG8</w:t>
            </w:r>
          </w:p>
        </w:tc>
        <w:tc>
          <w:tcPr>
            <w:tcW w:type="dxa" w:w="5300"/>
          </w:tcPr>
          <w:p>
            <w:pPr>
              <w:keepLines/>
              <w:spacing w:after="0" w:line="276" w:lineRule="auto"/>
            </w:pPr>
            <w:r>
              <w:rPr>
                <w:rFonts w:ascii="Calibri" w:hAnsi="Calibri" w:eastAsia="Microsoft YaHei"/>
                <w:color w:val="0B2545"/>
                <w:sz w:val="15"/>
              </w:rPr>
              <w:t>ITER 在役远程视觉、计量与诊断维护</w:t>
            </w:r>
          </w:p>
        </w:tc>
        <w:tc>
          <w:tcPr>
            <w:tcW w:type="dxa" w:w="950"/>
          </w:tcPr>
          <w:p>
            <w:pPr>
              <w:keepLines/>
              <w:spacing w:after="0" w:line="276" w:lineRule="auto"/>
            </w:pPr>
            <w:r>
              <w:rPr>
                <w:rFonts w:ascii="Calibri" w:hAnsi="Calibri" w:eastAsia="Microsoft YaHei"/>
                <w:color w:val="0B2545"/>
                <w:sz w:val="15"/>
              </w:rPr>
              <w:t>E2</w:t>
            </w:r>
          </w:p>
        </w:tc>
        <w:tc>
          <w:tcPr>
            <w:tcW w:type="dxa" w:w="1160"/>
          </w:tcPr>
          <w:p>
            <w:pPr>
              <w:keepLines/>
              <w:spacing w:after="0" w:line="276" w:lineRule="auto"/>
            </w:pPr>
            <w:r>
              <w:rPr>
                <w:rFonts w:ascii="Calibri" w:hAnsi="Calibri" w:eastAsia="Microsoft YaHei"/>
                <w:color w:val="0B2545"/>
                <w:sz w:val="15"/>
              </w:rPr>
              <w:t>D2</w:t>
            </w:r>
          </w:p>
        </w:tc>
      </w:tr>
      <w:tr>
        <w:trPr>
          <w:cantSplit/>
        </w:trPr>
        <w:tc>
          <w:tcPr>
            <w:tcW w:type="dxa" w:w="1200"/>
          </w:tcPr>
          <w:p>
            <w:pPr>
              <w:keepLines/>
              <w:spacing w:after="0" w:line="276" w:lineRule="auto"/>
            </w:pPr>
            <w:r>
              <w:rPr>
                <w:rFonts w:ascii="Calibri" w:hAnsi="Calibri" w:eastAsia="Microsoft YaHei"/>
                <w:color w:val="0B2545"/>
                <w:sz w:val="15"/>
              </w:rPr>
              <w:t>PDT-016</w:t>
            </w:r>
          </w:p>
        </w:tc>
        <w:tc>
          <w:tcPr>
            <w:tcW w:type="dxa" w:w="750"/>
          </w:tcPr>
          <w:p>
            <w:pPr>
              <w:keepLines/>
              <w:spacing w:after="0" w:line="276" w:lineRule="auto"/>
            </w:pPr>
            <w:r>
              <w:rPr>
                <w:rFonts w:ascii="Calibri" w:hAnsi="Calibri" w:eastAsia="Microsoft YaHei"/>
                <w:color w:val="0B2545"/>
                <w:sz w:val="15"/>
              </w:rPr>
              <w:t>DG8</w:t>
            </w:r>
          </w:p>
        </w:tc>
        <w:tc>
          <w:tcPr>
            <w:tcW w:type="dxa" w:w="5300"/>
          </w:tcPr>
          <w:p>
            <w:pPr>
              <w:keepLines/>
              <w:spacing w:after="0" w:line="276" w:lineRule="auto"/>
            </w:pPr>
            <w:r>
              <w:rPr>
                <w:rFonts w:ascii="Calibri" w:hAnsi="Calibri" w:eastAsia="Microsoft YaHei"/>
                <w:color w:val="0B2545"/>
                <w:sz w:val="15"/>
              </w:rPr>
              <w:t>ITER 冷却水系统的热工、水化学、氚与环境排放监测</w:t>
            </w:r>
          </w:p>
        </w:tc>
        <w:tc>
          <w:tcPr>
            <w:tcW w:type="dxa" w:w="950"/>
          </w:tcPr>
          <w:p>
            <w:pPr>
              <w:keepLines/>
              <w:spacing w:after="0" w:line="276" w:lineRule="auto"/>
            </w:pPr>
            <w:r>
              <w:rPr>
                <w:rFonts w:ascii="Calibri" w:hAnsi="Calibri" w:eastAsia="Microsoft YaHei"/>
                <w:color w:val="0B2545"/>
                <w:sz w:val="15"/>
              </w:rPr>
              <w:t>E1</w:t>
            </w:r>
          </w:p>
        </w:tc>
        <w:tc>
          <w:tcPr>
            <w:tcW w:type="dxa" w:w="1160"/>
          </w:tcPr>
          <w:p>
            <w:pPr>
              <w:keepLines/>
              <w:spacing w:after="0" w:line="276" w:lineRule="auto"/>
            </w:pPr>
            <w:r>
              <w:rPr>
                <w:rFonts w:ascii="Calibri" w:hAnsi="Calibri" w:eastAsia="Microsoft YaHei"/>
                <w:color w:val="0B2545"/>
                <w:sz w:val="15"/>
              </w:rPr>
              <w:t>D2</w:t>
            </w:r>
          </w:p>
        </w:tc>
      </w:tr>
      <w:tr>
        <w:trPr>
          <w:cantSplit/>
        </w:trPr>
        <w:tc>
          <w:tcPr>
            <w:tcW w:type="dxa" w:w="1200"/>
          </w:tcPr>
          <w:p>
            <w:pPr>
              <w:keepLines/>
              <w:spacing w:after="0" w:line="276" w:lineRule="auto"/>
            </w:pPr>
            <w:r>
              <w:rPr>
                <w:rFonts w:ascii="Calibri" w:hAnsi="Calibri" w:eastAsia="Microsoft YaHei"/>
                <w:color w:val="0B2545"/>
                <w:sz w:val="15"/>
              </w:rPr>
              <w:t>DSI-007</w:t>
            </w:r>
          </w:p>
        </w:tc>
        <w:tc>
          <w:tcPr>
            <w:tcW w:type="dxa" w:w="750"/>
          </w:tcPr>
          <w:p>
            <w:pPr>
              <w:keepLines/>
              <w:spacing w:after="0" w:line="276" w:lineRule="auto"/>
            </w:pPr>
            <w:r>
              <w:rPr>
                <w:rFonts w:ascii="Calibri" w:hAnsi="Calibri" w:eastAsia="Microsoft YaHei"/>
                <w:color w:val="0B2545"/>
                <w:sz w:val="15"/>
              </w:rPr>
              <w:t>DG0</w:t>
            </w:r>
          </w:p>
        </w:tc>
        <w:tc>
          <w:tcPr>
            <w:tcW w:type="dxa" w:w="5300"/>
          </w:tcPr>
          <w:p>
            <w:pPr>
              <w:keepLines/>
              <w:spacing w:after="0" w:line="276" w:lineRule="auto"/>
            </w:pPr>
            <w:r>
              <w:rPr>
                <w:rFonts w:ascii="Calibri" w:hAnsi="Calibri" w:eastAsia="Microsoft YaHei"/>
                <w:color w:val="0B2545"/>
                <w:sz w:val="15"/>
              </w:rPr>
              <w:t>MARTe2–MDSplus 实时采集、配置与归档一体化</w:t>
            </w:r>
          </w:p>
        </w:tc>
        <w:tc>
          <w:tcPr>
            <w:tcW w:type="dxa" w:w="950"/>
          </w:tcPr>
          <w:p>
            <w:pPr>
              <w:keepLines/>
              <w:spacing w:after="0" w:line="276" w:lineRule="auto"/>
            </w:pPr>
            <w:r>
              <w:rPr>
                <w:rFonts w:ascii="Calibri" w:hAnsi="Calibri" w:eastAsia="Microsoft YaHei"/>
                <w:color w:val="0B2545"/>
                <w:sz w:val="15"/>
              </w:rPr>
              <w:t>E4</w:t>
            </w:r>
          </w:p>
        </w:tc>
        <w:tc>
          <w:tcPr>
            <w:tcW w:type="dxa" w:w="1160"/>
          </w:tcPr>
          <w:p>
            <w:pPr>
              <w:keepLines/>
              <w:spacing w:after="0" w:line="276" w:lineRule="auto"/>
            </w:pPr>
            <w:r>
              <w:rPr>
                <w:rFonts w:ascii="Calibri" w:hAnsi="Calibri" w:eastAsia="Microsoft YaHei"/>
                <w:color w:val="0B2545"/>
                <w:sz w:val="15"/>
              </w:rPr>
              <w:t>D4</w:t>
            </w:r>
          </w:p>
        </w:tc>
      </w:tr>
      <w:tr>
        <w:trPr>
          <w:cantSplit/>
        </w:trPr>
        <w:tc>
          <w:tcPr>
            <w:tcW w:type="dxa" w:w="1200"/>
          </w:tcPr>
          <w:p>
            <w:pPr>
              <w:keepLines/>
              <w:spacing w:after="0" w:line="276" w:lineRule="auto"/>
            </w:pPr>
            <w:r>
              <w:rPr>
                <w:rFonts w:ascii="Calibri" w:hAnsi="Calibri" w:eastAsia="Microsoft YaHei"/>
                <w:color w:val="0B2545"/>
                <w:sz w:val="15"/>
              </w:rPr>
              <w:t>DG1-003</w:t>
            </w:r>
          </w:p>
        </w:tc>
        <w:tc>
          <w:tcPr>
            <w:tcW w:type="dxa" w:w="750"/>
          </w:tcPr>
          <w:p>
            <w:pPr>
              <w:keepLines/>
              <w:spacing w:after="0" w:line="276" w:lineRule="auto"/>
            </w:pPr>
            <w:r>
              <w:rPr>
                <w:rFonts w:ascii="Calibri" w:hAnsi="Calibri" w:eastAsia="Microsoft YaHei"/>
                <w:color w:val="0B2545"/>
                <w:sz w:val="15"/>
              </w:rPr>
              <w:t>DG1</w:t>
            </w:r>
          </w:p>
        </w:tc>
        <w:tc>
          <w:tcPr>
            <w:tcW w:type="dxa" w:w="5300"/>
          </w:tcPr>
          <w:p>
            <w:pPr>
              <w:keepLines/>
              <w:spacing w:after="0" w:line="276" w:lineRule="auto"/>
            </w:pPr>
            <w:r>
              <w:rPr>
                <w:rFonts w:ascii="Calibri" w:hAnsi="Calibri" w:eastAsia="Microsoft YaHei"/>
                <w:color w:val="0B2545"/>
                <w:sz w:val="15"/>
              </w:rPr>
              <w:t>光纤电流传感：EAST等离子体与PF母排电流</w:t>
            </w:r>
          </w:p>
        </w:tc>
        <w:tc>
          <w:tcPr>
            <w:tcW w:type="dxa" w:w="950"/>
          </w:tcPr>
          <w:p>
            <w:pPr>
              <w:keepLines/>
              <w:spacing w:after="0" w:line="276" w:lineRule="auto"/>
            </w:pPr>
            <w:r>
              <w:rPr>
                <w:rFonts w:ascii="Calibri" w:hAnsi="Calibri" w:eastAsia="Microsoft YaHei"/>
                <w:color w:val="0B2545"/>
                <w:sz w:val="15"/>
              </w:rPr>
              <w:t>E4</w:t>
            </w:r>
          </w:p>
        </w:tc>
        <w:tc>
          <w:tcPr>
            <w:tcW w:type="dxa" w:w="1160"/>
          </w:tcPr>
          <w:p>
            <w:pPr>
              <w:keepLines/>
              <w:spacing w:after="0" w:line="276" w:lineRule="auto"/>
            </w:pPr>
            <w:r>
              <w:rPr>
                <w:rFonts w:ascii="Calibri" w:hAnsi="Calibri" w:eastAsia="Microsoft YaHei"/>
                <w:color w:val="0B2545"/>
                <w:sz w:val="15"/>
              </w:rPr>
              <w:t>D4</w:t>
            </w:r>
          </w:p>
        </w:tc>
      </w:tr>
      <w:tr>
        <w:trPr>
          <w:cantSplit/>
        </w:trPr>
        <w:tc>
          <w:tcPr>
            <w:tcW w:type="dxa" w:w="1200"/>
          </w:tcPr>
          <w:p>
            <w:pPr>
              <w:keepLines/>
              <w:spacing w:after="0" w:line="276" w:lineRule="auto"/>
            </w:pPr>
            <w:r>
              <w:rPr>
                <w:rFonts w:ascii="Calibri" w:hAnsi="Calibri" w:eastAsia="Microsoft YaHei"/>
                <w:color w:val="0B2545"/>
                <w:sz w:val="15"/>
              </w:rPr>
              <w:t>DG4-019</w:t>
            </w:r>
          </w:p>
        </w:tc>
        <w:tc>
          <w:tcPr>
            <w:tcW w:type="dxa" w:w="750"/>
          </w:tcPr>
          <w:p>
            <w:pPr>
              <w:keepLines/>
              <w:spacing w:after="0" w:line="276" w:lineRule="auto"/>
            </w:pPr>
            <w:r>
              <w:rPr>
                <w:rFonts w:ascii="Calibri" w:hAnsi="Calibri" w:eastAsia="Microsoft YaHei"/>
                <w:color w:val="0B2545"/>
                <w:sz w:val="15"/>
              </w:rPr>
              <w:t>DG4</w:t>
            </w:r>
          </w:p>
        </w:tc>
        <w:tc>
          <w:tcPr>
            <w:tcW w:type="dxa" w:w="5300"/>
          </w:tcPr>
          <w:p>
            <w:pPr>
              <w:keepLines/>
              <w:spacing w:after="0" w:line="276" w:lineRule="auto"/>
            </w:pPr>
            <w:r>
              <w:rPr>
                <w:rFonts w:ascii="Calibri" w:hAnsi="Calibri" w:eastAsia="Microsoft YaHei"/>
                <w:color w:val="0B2545"/>
                <w:sz w:val="15"/>
              </w:rPr>
              <w:t>可见光杂质/燃料谱：Zeff、流入与回收</w:t>
            </w:r>
          </w:p>
        </w:tc>
        <w:tc>
          <w:tcPr>
            <w:tcW w:type="dxa" w:w="950"/>
          </w:tcPr>
          <w:p>
            <w:pPr>
              <w:keepLines/>
              <w:spacing w:after="0" w:line="276" w:lineRule="auto"/>
            </w:pPr>
            <w:r>
              <w:rPr>
                <w:rFonts w:ascii="Calibri" w:hAnsi="Calibri" w:eastAsia="Microsoft YaHei"/>
                <w:color w:val="0B2545"/>
                <w:sz w:val="15"/>
              </w:rPr>
              <w:t>E4</w:t>
            </w:r>
          </w:p>
        </w:tc>
        <w:tc>
          <w:tcPr>
            <w:tcW w:type="dxa" w:w="1160"/>
          </w:tcPr>
          <w:p>
            <w:pPr>
              <w:keepLines/>
              <w:spacing w:after="0" w:line="276" w:lineRule="auto"/>
            </w:pPr>
            <w:r>
              <w:rPr>
                <w:rFonts w:ascii="Calibri" w:hAnsi="Calibri" w:eastAsia="Microsoft YaHei"/>
                <w:color w:val="0B2545"/>
                <w:sz w:val="15"/>
              </w:rPr>
              <w:t>D4</w:t>
            </w:r>
          </w:p>
        </w:tc>
      </w:tr>
      <w:tr>
        <w:trPr>
          <w:cantSplit/>
        </w:trPr>
        <w:tc>
          <w:tcPr>
            <w:tcW w:type="dxa" w:w="1200"/>
          </w:tcPr>
          <w:p>
            <w:pPr>
              <w:keepLines/>
              <w:spacing w:after="0" w:line="276" w:lineRule="auto"/>
            </w:pPr>
            <w:r>
              <w:rPr>
                <w:rFonts w:ascii="Calibri" w:hAnsi="Calibri" w:eastAsia="Microsoft YaHei"/>
                <w:color w:val="0B2545"/>
                <w:sz w:val="15"/>
              </w:rPr>
              <w:t>DG5-023</w:t>
            </w:r>
          </w:p>
        </w:tc>
        <w:tc>
          <w:tcPr>
            <w:tcW w:type="dxa" w:w="750"/>
          </w:tcPr>
          <w:p>
            <w:pPr>
              <w:keepLines/>
              <w:spacing w:after="0" w:line="276" w:lineRule="auto"/>
            </w:pPr>
            <w:r>
              <w:rPr>
                <w:rFonts w:ascii="Calibri" w:hAnsi="Calibri" w:eastAsia="Microsoft YaHei"/>
                <w:color w:val="0B2545"/>
                <w:sz w:val="15"/>
              </w:rPr>
              <w:t>DG5</w:t>
            </w:r>
          </w:p>
        </w:tc>
        <w:tc>
          <w:tcPr>
            <w:tcW w:type="dxa" w:w="5300"/>
          </w:tcPr>
          <w:p>
            <w:pPr>
              <w:keepLines/>
              <w:spacing w:after="0" w:line="276" w:lineRule="auto"/>
            </w:pPr>
            <w:r>
              <w:rPr>
                <w:rFonts w:ascii="Calibri" w:hAnsi="Calibri" w:eastAsia="Microsoft YaHei"/>
                <w:color w:val="0B2545"/>
                <w:sz w:val="15"/>
              </w:rPr>
              <w:t>高分辨中子能谱：燃料离子与快离子</w:t>
            </w:r>
          </w:p>
        </w:tc>
        <w:tc>
          <w:tcPr>
            <w:tcW w:type="dxa" w:w="950"/>
          </w:tcPr>
          <w:p>
            <w:pPr>
              <w:keepLines/>
              <w:spacing w:after="0" w:line="276" w:lineRule="auto"/>
            </w:pPr>
            <w:r>
              <w:rPr>
                <w:rFonts w:ascii="Calibri" w:hAnsi="Calibri" w:eastAsia="Microsoft YaHei"/>
                <w:color w:val="0B2545"/>
                <w:sz w:val="15"/>
              </w:rPr>
              <w:t>E4</w:t>
            </w:r>
          </w:p>
        </w:tc>
        <w:tc>
          <w:tcPr>
            <w:tcW w:type="dxa" w:w="1160"/>
          </w:tcPr>
          <w:p>
            <w:pPr>
              <w:keepLines/>
              <w:spacing w:after="0" w:line="276" w:lineRule="auto"/>
            </w:pPr>
            <w:r>
              <w:rPr>
                <w:rFonts w:ascii="Calibri" w:hAnsi="Calibri" w:eastAsia="Microsoft YaHei"/>
                <w:color w:val="0B2545"/>
                <w:sz w:val="15"/>
              </w:rPr>
              <w:t>D4</w:t>
            </w:r>
          </w:p>
        </w:tc>
      </w:tr>
      <w:tr>
        <w:trPr>
          <w:cantSplit/>
        </w:trPr>
        <w:tc>
          <w:tcPr>
            <w:tcW w:type="dxa" w:w="1200"/>
          </w:tcPr>
          <w:p>
            <w:pPr>
              <w:keepLines/>
              <w:spacing w:after="0" w:line="276" w:lineRule="auto"/>
            </w:pPr>
            <w:r>
              <w:rPr>
                <w:rFonts w:ascii="Calibri" w:hAnsi="Calibri" w:eastAsia="Microsoft YaHei"/>
                <w:color w:val="0B2545"/>
                <w:sz w:val="15"/>
              </w:rPr>
              <w:t>DG2-006</w:t>
            </w:r>
          </w:p>
        </w:tc>
        <w:tc>
          <w:tcPr>
            <w:tcW w:type="dxa" w:w="750"/>
          </w:tcPr>
          <w:p>
            <w:pPr>
              <w:keepLines/>
              <w:spacing w:after="0" w:line="276" w:lineRule="auto"/>
            </w:pPr>
            <w:r>
              <w:rPr>
                <w:rFonts w:ascii="Calibri" w:hAnsi="Calibri" w:eastAsia="Microsoft YaHei"/>
                <w:color w:val="0B2545"/>
                <w:sz w:val="15"/>
              </w:rPr>
              <w:t>DG2</w:t>
            </w:r>
          </w:p>
        </w:tc>
        <w:tc>
          <w:tcPr>
            <w:tcW w:type="dxa" w:w="5300"/>
          </w:tcPr>
          <w:p>
            <w:pPr>
              <w:keepLines/>
              <w:spacing w:after="0" w:line="276" w:lineRule="auto"/>
            </w:pPr>
            <w:r>
              <w:rPr>
                <w:rFonts w:ascii="Calibri" w:hAnsi="Calibri" w:eastAsia="Microsoft YaHei"/>
                <w:color w:val="0B2545"/>
                <w:sz w:val="15"/>
              </w:rPr>
              <w:t>多点汤姆逊散射：核心与边缘电子剖面</w:t>
            </w:r>
          </w:p>
        </w:tc>
        <w:tc>
          <w:tcPr>
            <w:tcW w:type="dxa" w:w="950"/>
          </w:tcPr>
          <w:p>
            <w:pPr>
              <w:keepLines/>
              <w:spacing w:after="0" w:line="276" w:lineRule="auto"/>
            </w:pPr>
            <w:r>
              <w:rPr>
                <w:rFonts w:ascii="Calibri" w:hAnsi="Calibri" w:eastAsia="Microsoft YaHei"/>
                <w:color w:val="0B2545"/>
                <w:sz w:val="15"/>
              </w:rPr>
              <w:t>E3</w:t>
            </w:r>
          </w:p>
        </w:tc>
        <w:tc>
          <w:tcPr>
            <w:tcW w:type="dxa" w:w="1160"/>
          </w:tcPr>
          <w:p>
            <w:pPr>
              <w:keepLines/>
              <w:spacing w:after="0" w:line="276" w:lineRule="auto"/>
            </w:pPr>
            <w:r>
              <w:rPr>
                <w:rFonts w:ascii="Calibri" w:hAnsi="Calibri" w:eastAsia="Microsoft YaHei"/>
                <w:color w:val="0B2545"/>
                <w:sz w:val="15"/>
              </w:rPr>
              <w:t>D3</w:t>
            </w:r>
          </w:p>
        </w:tc>
      </w:tr>
      <w:tr>
        <w:trPr>
          <w:cantSplit/>
        </w:trPr>
        <w:tc>
          <w:tcPr>
            <w:tcW w:type="dxa" w:w="1200"/>
          </w:tcPr>
          <w:p>
            <w:pPr>
              <w:keepLines/>
              <w:spacing w:after="0" w:line="276" w:lineRule="auto"/>
            </w:pPr>
            <w:r>
              <w:rPr>
                <w:rFonts w:ascii="Calibri" w:hAnsi="Calibri" w:eastAsia="Microsoft YaHei"/>
                <w:color w:val="0B2545"/>
                <w:sz w:val="15"/>
              </w:rPr>
              <w:t>DG3-013</w:t>
            </w:r>
          </w:p>
        </w:tc>
        <w:tc>
          <w:tcPr>
            <w:tcW w:type="dxa" w:w="750"/>
          </w:tcPr>
          <w:p>
            <w:pPr>
              <w:keepLines/>
              <w:spacing w:after="0" w:line="276" w:lineRule="auto"/>
            </w:pPr>
            <w:r>
              <w:rPr>
                <w:rFonts w:ascii="Calibri" w:hAnsi="Calibri" w:eastAsia="Microsoft YaHei"/>
                <w:color w:val="0B2545"/>
                <w:sz w:val="15"/>
              </w:rPr>
              <w:t>DG3</w:t>
            </w:r>
          </w:p>
        </w:tc>
        <w:tc>
          <w:tcPr>
            <w:tcW w:type="dxa" w:w="5300"/>
          </w:tcPr>
          <w:p>
            <w:pPr>
              <w:keepLines/>
              <w:spacing w:after="0" w:line="276" w:lineRule="auto"/>
            </w:pPr>
            <w:r>
              <w:rPr>
                <w:rFonts w:ascii="Calibri" w:hAnsi="Calibri" w:eastAsia="Microsoft YaHei"/>
                <w:color w:val="0B2545"/>
                <w:sz w:val="15"/>
              </w:rPr>
              <w:t>中性粒子分析器：逃逸中性谱与离子分布</w:t>
            </w:r>
          </w:p>
        </w:tc>
        <w:tc>
          <w:tcPr>
            <w:tcW w:type="dxa" w:w="950"/>
          </w:tcPr>
          <w:p>
            <w:pPr>
              <w:keepLines/>
              <w:spacing w:after="0" w:line="276" w:lineRule="auto"/>
            </w:pPr>
            <w:r>
              <w:rPr>
                <w:rFonts w:ascii="Calibri" w:hAnsi="Calibri" w:eastAsia="Microsoft YaHei"/>
                <w:color w:val="0B2545"/>
                <w:sz w:val="15"/>
              </w:rPr>
              <w:t>E3</w:t>
            </w:r>
          </w:p>
        </w:tc>
        <w:tc>
          <w:tcPr>
            <w:tcW w:type="dxa" w:w="1160"/>
          </w:tcPr>
          <w:p>
            <w:pPr>
              <w:keepLines/>
              <w:spacing w:after="0" w:line="276" w:lineRule="auto"/>
            </w:pPr>
            <w:r>
              <w:rPr>
                <w:rFonts w:ascii="Calibri" w:hAnsi="Calibri" w:eastAsia="Microsoft YaHei"/>
                <w:color w:val="0B2545"/>
                <w:sz w:val="15"/>
              </w:rPr>
              <w:t>D3</w:t>
            </w:r>
          </w:p>
        </w:tc>
      </w:tr>
      <w:tr>
        <w:trPr>
          <w:cantSplit/>
        </w:trPr>
        <w:tc>
          <w:tcPr>
            <w:tcW w:type="dxa" w:w="1200"/>
          </w:tcPr>
          <w:p>
            <w:pPr>
              <w:keepLines/>
              <w:spacing w:after="0" w:line="276" w:lineRule="auto"/>
            </w:pPr>
            <w:r>
              <w:rPr>
                <w:rFonts w:ascii="Calibri" w:hAnsi="Calibri" w:eastAsia="Microsoft YaHei"/>
                <w:color w:val="0B2545"/>
                <w:sz w:val="15"/>
              </w:rPr>
              <w:t>DG7-038</w:t>
            </w:r>
          </w:p>
        </w:tc>
        <w:tc>
          <w:tcPr>
            <w:tcW w:type="dxa" w:w="750"/>
          </w:tcPr>
          <w:p>
            <w:pPr>
              <w:keepLines/>
              <w:spacing w:after="0" w:line="276" w:lineRule="auto"/>
            </w:pPr>
            <w:r>
              <w:rPr>
                <w:rFonts w:ascii="Calibri" w:hAnsi="Calibri" w:eastAsia="Microsoft YaHei"/>
                <w:color w:val="0B2545"/>
                <w:sz w:val="15"/>
              </w:rPr>
              <w:t>DG7</w:t>
            </w:r>
          </w:p>
        </w:tc>
        <w:tc>
          <w:tcPr>
            <w:tcW w:type="dxa" w:w="5300"/>
          </w:tcPr>
          <w:p>
            <w:pPr>
              <w:keepLines/>
              <w:spacing w:after="0" w:line="276" w:lineRule="auto"/>
            </w:pPr>
            <w:r>
              <w:rPr>
                <w:rFonts w:ascii="Calibri" w:hAnsi="Calibri" w:eastAsia="Microsoft YaHei"/>
                <w:color w:val="0B2545"/>
                <w:sz w:val="15"/>
              </w:rPr>
              <w:t>偏滤器汤姆逊散射：脱靶区电子参数</w:t>
            </w:r>
          </w:p>
        </w:tc>
        <w:tc>
          <w:tcPr>
            <w:tcW w:type="dxa" w:w="950"/>
          </w:tcPr>
          <w:p>
            <w:pPr>
              <w:keepLines/>
              <w:spacing w:after="0" w:line="276" w:lineRule="auto"/>
            </w:pPr>
            <w:r>
              <w:rPr>
                <w:rFonts w:ascii="Calibri" w:hAnsi="Calibri" w:eastAsia="Microsoft YaHei"/>
                <w:color w:val="0B2545"/>
                <w:sz w:val="15"/>
              </w:rPr>
              <w:t>E3</w:t>
            </w:r>
          </w:p>
        </w:tc>
        <w:tc>
          <w:tcPr>
            <w:tcW w:type="dxa" w:w="1160"/>
          </w:tcPr>
          <w:p>
            <w:pPr>
              <w:keepLines/>
              <w:spacing w:after="0" w:line="276" w:lineRule="auto"/>
            </w:pPr>
            <w:r>
              <w:rPr>
                <w:rFonts w:ascii="Calibri" w:hAnsi="Calibri" w:eastAsia="Microsoft YaHei"/>
                <w:color w:val="0B2545"/>
                <w:sz w:val="15"/>
              </w:rPr>
              <w:t>D3</w:t>
            </w:r>
          </w:p>
        </w:tc>
      </w:tr>
      <w:tr>
        <w:trPr>
          <w:cantSplit/>
        </w:trPr>
        <w:tc>
          <w:tcPr>
            <w:tcW w:type="dxa" w:w="1200"/>
          </w:tcPr>
          <w:p>
            <w:pPr>
              <w:keepLines/>
              <w:spacing w:after="0" w:line="276" w:lineRule="auto"/>
            </w:pPr>
            <w:r>
              <w:rPr>
                <w:rFonts w:ascii="Calibri" w:hAnsi="Calibri" w:eastAsia="Microsoft YaHei"/>
                <w:color w:val="0B2545"/>
                <w:sz w:val="15"/>
              </w:rPr>
              <w:t>DSI-016</w:t>
            </w:r>
          </w:p>
        </w:tc>
        <w:tc>
          <w:tcPr>
            <w:tcW w:type="dxa" w:w="750"/>
          </w:tcPr>
          <w:p>
            <w:pPr>
              <w:keepLines/>
              <w:spacing w:after="0" w:line="276" w:lineRule="auto"/>
            </w:pPr>
            <w:r>
              <w:rPr>
                <w:rFonts w:ascii="Calibri" w:hAnsi="Calibri" w:eastAsia="Microsoft YaHei"/>
                <w:color w:val="0B2545"/>
                <w:sz w:val="15"/>
              </w:rPr>
              <w:t>DG9</w:t>
            </w:r>
          </w:p>
        </w:tc>
        <w:tc>
          <w:tcPr>
            <w:tcW w:type="dxa" w:w="5300"/>
          </w:tcPr>
          <w:p>
            <w:pPr>
              <w:keepLines/>
              <w:spacing w:after="0" w:line="276" w:lineRule="auto"/>
            </w:pPr>
            <w:r>
              <w:rPr>
                <w:rFonts w:ascii="Calibri" w:hAnsi="Calibri" w:eastAsia="Microsoft YaHei"/>
                <w:color w:val="0B2545"/>
                <w:sz w:val="15"/>
              </w:rPr>
              <w:t>ECRad 电子回旋辐射输运与 ECE 合成诊断</w:t>
            </w:r>
          </w:p>
        </w:tc>
        <w:tc>
          <w:tcPr>
            <w:tcW w:type="dxa" w:w="950"/>
          </w:tcPr>
          <w:p>
            <w:pPr>
              <w:keepLines/>
              <w:spacing w:after="0" w:line="276" w:lineRule="auto"/>
            </w:pPr>
            <w:r>
              <w:rPr>
                <w:rFonts w:ascii="Calibri" w:hAnsi="Calibri" w:eastAsia="Microsoft YaHei"/>
                <w:color w:val="0B2545"/>
                <w:sz w:val="15"/>
              </w:rPr>
              <w:t>E3</w:t>
            </w:r>
          </w:p>
        </w:tc>
        <w:tc>
          <w:tcPr>
            <w:tcW w:type="dxa" w:w="1160"/>
          </w:tcPr>
          <w:p>
            <w:pPr>
              <w:keepLines/>
              <w:spacing w:after="0" w:line="276" w:lineRule="auto"/>
            </w:pPr>
            <w:r>
              <w:rPr>
                <w:rFonts w:ascii="Calibri" w:hAnsi="Calibri" w:eastAsia="Microsoft YaHei"/>
                <w:color w:val="0B2545"/>
                <w:sz w:val="15"/>
              </w:rPr>
              <w:t>D3</w:t>
            </w:r>
          </w:p>
        </w:tc>
      </w:tr>
    </w:tbl>
    <w:p>
      <w:pPr>
        <w:spacing w:before="0" w:after="60"/>
      </w:pPr>
    </w:p>
    <w:tbl>
      <w:tblPr>
        <w:tblStyle w:val="TableGrid"/>
        <w:tblW w:type="dxa" w:w="9360"/>
        <w:jc w:val="left"/>
        <w:tblLayout w:type="fixed"/>
        <w:tblLook w:firstColumn="1" w:firstRow="1" w:lastColumn="0" w:lastRow="0" w:noHBand="0" w:noVBand="1" w:val="04A0"/>
        <w:tblInd w:w="120" w:type="dxa"/>
      </w:tblPr>
      <w:tblGrid>
        <w:gridCol w:w="900"/>
        <w:gridCol w:w="3200"/>
        <w:gridCol w:w="2760"/>
        <w:gridCol w:w="2500"/>
      </w:tblGrid>
      <w:tr>
        <w:trPr>
          <w:tblHeader w:val="true"/>
        </w:trPr>
        <w:tc>
          <w:tcPr>
            <w:tcW w:type="dxa" w:w="9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年份/类型</w:t>
            </w:r>
          </w:p>
        </w:tc>
        <w:tc>
          <w:tcPr>
            <w:tcW w:type="dxa" w:w="32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论文或软件</w:t>
            </w:r>
          </w:p>
        </w:tc>
        <w:tc>
          <w:tcPr>
            <w:tcW w:type="dxa" w:w="276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来源/关系</w:t>
            </w:r>
          </w:p>
        </w:tc>
        <w:tc>
          <w:tcPr>
            <w:tcW w:type="dxa" w:w="25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链接</w:t>
            </w:r>
          </w:p>
        </w:tc>
      </w:tr>
      <w:tr>
        <w:trPr>
          <w:cantSplit/>
        </w:trPr>
        <w:tc>
          <w:tcPr>
            <w:tcW w:type="dxa" w:w="900"/>
          </w:tcPr>
          <w:p>
            <w:pPr>
              <w:keepLines/>
              <w:spacing w:after="0" w:line="276" w:lineRule="auto"/>
            </w:pPr>
            <w:r>
              <w:rPr>
                <w:rFonts w:ascii="Calibri" w:hAnsi="Calibri" w:eastAsia="Microsoft YaHei"/>
                <w:color w:val="0B2545"/>
                <w:sz w:val="14"/>
              </w:rPr>
              <w:t>2007</w:t>
            </w:r>
          </w:p>
        </w:tc>
        <w:tc>
          <w:tcPr>
            <w:tcW w:type="dxa" w:w="3200"/>
          </w:tcPr>
          <w:p>
            <w:pPr>
              <w:keepLines/>
              <w:spacing w:after="0" w:line="276" w:lineRule="auto"/>
            </w:pPr>
            <w:r>
              <w:rPr>
                <w:rFonts w:ascii="Calibri" w:hAnsi="Calibri" w:eastAsia="Microsoft YaHei"/>
                <w:color w:val="0B2545"/>
                <w:sz w:val="14"/>
              </w:rPr>
              <w:t>Chapter 7: Diagnostics</w:t>
            </w:r>
          </w:p>
        </w:tc>
        <w:tc>
          <w:tcPr>
            <w:tcW w:type="dxa" w:w="2760"/>
          </w:tcPr>
          <w:p>
            <w:pPr>
              <w:keepLines/>
              <w:spacing w:after="0" w:line="276" w:lineRule="auto"/>
            </w:pPr>
            <w:r>
              <w:rPr>
                <w:rFonts w:ascii="Calibri" w:hAnsi="Calibri" w:eastAsia="Microsoft YaHei"/>
                <w:color w:val="0B2545"/>
                <w:sz w:val="14"/>
              </w:rPr>
              <w:t>Nuclear Fusion</w:t>
            </w:r>
          </w:p>
        </w:tc>
        <w:tc>
          <w:tcPr>
            <w:tcW w:type="dxa" w:w="2500"/>
          </w:tcPr>
          <w:p>
            <w:pPr>
              <w:keepLines/>
              <w:spacing w:after="0" w:line="276" w:lineRule="auto"/>
            </w:pPr>
            <w:hyperlink r:id="rId239">
              <w:r>
                <w:rPr>
                  <w:rFonts w:ascii="Calibri" w:hAnsi="Calibri" w:eastAsia="Microsoft YaHei"/>
                  <w:color w:val="008C95"/>
                  <w:u w:val="single"/>
                </w:rPr>
                <w:t>打开原始来源 ↗</w:t>
              </w:r>
            </w:hyperlink>
          </w:p>
        </w:tc>
      </w:tr>
      <w:tr>
        <w:trPr>
          <w:cantSplit/>
        </w:trPr>
        <w:tc>
          <w:tcPr>
            <w:tcW w:type="dxa" w:w="900"/>
          </w:tcPr>
          <w:p>
            <w:pPr>
              <w:keepLines/>
              <w:spacing w:after="0" w:line="276" w:lineRule="auto"/>
            </w:pPr>
            <w:r>
              <w:rPr>
                <w:rFonts w:ascii="Calibri" w:hAnsi="Calibri" w:eastAsia="Microsoft YaHei"/>
                <w:color w:val="0B2545"/>
                <w:sz w:val="14"/>
              </w:rPr>
              <w:t>2026</w:t>
            </w:r>
          </w:p>
        </w:tc>
        <w:tc>
          <w:tcPr>
            <w:tcW w:type="dxa" w:w="3200"/>
          </w:tcPr>
          <w:p>
            <w:pPr>
              <w:keepLines/>
              <w:spacing w:after="0" w:line="276" w:lineRule="auto"/>
            </w:pPr>
            <w:r>
              <w:rPr>
                <w:rFonts w:ascii="Calibri" w:hAnsi="Calibri" w:eastAsia="Microsoft YaHei"/>
                <w:color w:val="0B2545"/>
                <w:sz w:val="14"/>
              </w:rPr>
              <w:t>ITER Engineering Basis Handbook, Vol. 1 Ch. 4: The role and distinctive features of ITER</w:t>
            </w:r>
          </w:p>
        </w:tc>
        <w:tc>
          <w:tcPr>
            <w:tcW w:type="dxa" w:w="2760"/>
          </w:tcPr>
          <w:p>
            <w:pPr>
              <w:keepLines/>
              <w:spacing w:after="0" w:line="276" w:lineRule="auto"/>
            </w:pPr>
            <w:r>
              <w:rPr>
                <w:rFonts w:ascii="Calibri" w:hAnsi="Calibri" w:eastAsia="Microsoft YaHei"/>
                <w:color w:val="0B2545"/>
                <w:sz w:val="14"/>
              </w:rPr>
              <w:t>原始论文 / 官方来源</w:t>
            </w:r>
          </w:p>
        </w:tc>
        <w:tc>
          <w:tcPr>
            <w:tcW w:type="dxa" w:w="2500"/>
          </w:tcPr>
          <w:p>
            <w:pPr>
              <w:keepLines/>
              <w:spacing w:after="0" w:line="276" w:lineRule="auto"/>
            </w:pPr>
            <w:hyperlink r:id="rId240">
              <w:r>
                <w:rPr>
                  <w:rFonts w:ascii="Calibri" w:hAnsi="Calibri" w:eastAsia="Microsoft YaHei"/>
                  <w:color w:val="008C95"/>
                  <w:u w:val="single"/>
                </w:rPr>
                <w:t>打开原始来源 ↗</w:t>
              </w:r>
            </w:hyperlink>
          </w:p>
        </w:tc>
      </w:tr>
      <w:tr>
        <w:trPr>
          <w:cantSplit/>
        </w:trPr>
        <w:tc>
          <w:tcPr>
            <w:tcW w:type="dxa" w:w="900"/>
          </w:tcPr>
          <w:p>
            <w:pPr>
              <w:keepLines/>
              <w:spacing w:after="0" w:line="276" w:lineRule="auto"/>
            </w:pPr>
            <w:r>
              <w:rPr>
                <w:rFonts w:ascii="Calibri" w:hAnsi="Calibri" w:eastAsia="Microsoft YaHei"/>
                <w:color w:val="0B2545"/>
                <w:sz w:val="14"/>
              </w:rPr>
              <w:t>2014</w:t>
            </w:r>
          </w:p>
        </w:tc>
        <w:tc>
          <w:tcPr>
            <w:tcW w:type="dxa" w:w="3200"/>
          </w:tcPr>
          <w:p>
            <w:pPr>
              <w:keepLines/>
              <w:spacing w:after="0" w:line="276" w:lineRule="auto"/>
            </w:pPr>
            <w:r>
              <w:rPr>
                <w:rFonts w:ascii="Calibri" w:hAnsi="Calibri" w:eastAsia="Microsoft YaHei"/>
                <w:color w:val="0B2545"/>
                <w:sz w:val="14"/>
              </w:rPr>
              <w:t>Description of the prototype diagnostic residual gas analyzer for ITER</w:t>
            </w:r>
          </w:p>
        </w:tc>
        <w:tc>
          <w:tcPr>
            <w:tcW w:type="dxa" w:w="2760"/>
          </w:tcPr>
          <w:p>
            <w:pPr>
              <w:keepLines/>
              <w:spacing w:after="0" w:line="276" w:lineRule="auto"/>
            </w:pPr>
            <w:r>
              <w:rPr>
                <w:rFonts w:ascii="Calibri" w:hAnsi="Calibri" w:eastAsia="Microsoft YaHei"/>
                <w:color w:val="0B2545"/>
                <w:sz w:val="14"/>
              </w:rPr>
              <w:t>Review of Scientific Instruments</w:t>
            </w:r>
          </w:p>
        </w:tc>
        <w:tc>
          <w:tcPr>
            <w:tcW w:type="dxa" w:w="2500"/>
          </w:tcPr>
          <w:p>
            <w:pPr>
              <w:keepLines/>
              <w:spacing w:after="0" w:line="276" w:lineRule="auto"/>
            </w:pPr>
            <w:hyperlink r:id="rId142">
              <w:r>
                <w:rPr>
                  <w:rFonts w:ascii="Calibri" w:hAnsi="Calibri" w:eastAsia="Microsoft YaHei"/>
                  <w:color w:val="008C95"/>
                  <w:u w:val="single"/>
                </w:rPr>
                <w:t>打开原始来源 ↗</w:t>
              </w:r>
            </w:hyperlink>
          </w:p>
        </w:tc>
      </w:tr>
      <w:tr>
        <w:trPr>
          <w:cantSplit/>
        </w:trPr>
        <w:tc>
          <w:tcPr>
            <w:tcW w:type="dxa" w:w="900"/>
          </w:tcPr>
          <w:p>
            <w:pPr>
              <w:keepLines/>
              <w:spacing w:after="0" w:line="276" w:lineRule="auto"/>
            </w:pPr>
            <w:r>
              <w:rPr>
                <w:rFonts w:ascii="Calibri" w:hAnsi="Calibri" w:eastAsia="Microsoft YaHei"/>
                <w:color w:val="0B2545"/>
                <w:sz w:val="14"/>
              </w:rPr>
              <w:t>软件</w:t>
            </w:r>
          </w:p>
        </w:tc>
        <w:tc>
          <w:tcPr>
            <w:tcW w:type="dxa" w:w="3200"/>
          </w:tcPr>
          <w:p>
            <w:pPr>
              <w:keepLines/>
              <w:spacing w:after="0" w:line="276" w:lineRule="auto"/>
            </w:pPr>
            <w:r>
              <w:rPr>
                <w:rFonts w:ascii="Calibri" w:hAnsi="Calibri" w:eastAsia="Microsoft YaHei"/>
                <w:color w:val="0B2545"/>
                <w:sz w:val="14"/>
              </w:rPr>
              <w:t>IMAS-Python</w:t>
            </w:r>
          </w:p>
        </w:tc>
        <w:tc>
          <w:tcPr>
            <w:tcW w:type="dxa" w:w="2760"/>
          </w:tcPr>
          <w:p>
            <w:pPr>
              <w:keepLines/>
              <w:spacing w:after="0" w:line="276" w:lineRule="auto"/>
            </w:pPr>
            <w:r>
              <w:rPr>
                <w:rFonts w:ascii="Calibri" w:hAnsi="Calibri" w:eastAsia="Microsoft YaHei"/>
                <w:color w:val="0B2545"/>
                <w:sz w:val="14"/>
              </w:rPr>
              <w:t>official-enabling / 使能语义与数据交换，不是诊断采集或反演代码</w:t>
            </w:r>
          </w:p>
        </w:tc>
        <w:tc>
          <w:tcPr>
            <w:tcW w:type="dxa" w:w="2500"/>
          </w:tcPr>
          <w:p>
            <w:pPr>
              <w:keepLines/>
              <w:spacing w:after="0" w:line="276" w:lineRule="auto"/>
            </w:pPr>
            <w:hyperlink r:id="rId18">
              <w:r>
                <w:rPr>
                  <w:rFonts w:ascii="Calibri" w:hAnsi="Calibri" w:eastAsia="Microsoft YaHei"/>
                  <w:color w:val="008C95"/>
                  <w:u w:val="single"/>
                </w:rPr>
                <w:t>打开原始来源 ↗</w:t>
              </w:r>
            </w:hyperlink>
          </w:p>
        </w:tc>
      </w:tr>
      <w:tr>
        <w:trPr>
          <w:cantSplit/>
        </w:trPr>
        <w:tc>
          <w:tcPr>
            <w:tcW w:type="dxa" w:w="900"/>
          </w:tcPr>
          <w:p>
            <w:pPr>
              <w:keepLines/>
              <w:spacing w:after="0" w:line="276" w:lineRule="auto"/>
            </w:pPr>
            <w:r>
              <w:rPr>
                <w:rFonts w:ascii="Calibri" w:hAnsi="Calibri" w:eastAsia="Microsoft YaHei"/>
                <w:color w:val="0B2545"/>
                <w:sz w:val="14"/>
              </w:rPr>
              <w:t>软件</w:t>
            </w:r>
          </w:p>
        </w:tc>
        <w:tc>
          <w:tcPr>
            <w:tcW w:type="dxa" w:w="3200"/>
          </w:tcPr>
          <w:p>
            <w:pPr>
              <w:keepLines/>
              <w:spacing w:after="0" w:line="276" w:lineRule="auto"/>
            </w:pPr>
            <w:r>
              <w:rPr>
                <w:rFonts w:ascii="Calibri" w:hAnsi="Calibri" w:eastAsia="Microsoft YaHei"/>
                <w:color w:val="0B2545"/>
                <w:sz w:val="14"/>
              </w:rPr>
              <w:t>ITER CODAC Core System</w:t>
            </w:r>
          </w:p>
        </w:tc>
        <w:tc>
          <w:tcPr>
            <w:tcW w:type="dxa" w:w="2760"/>
          </w:tcPr>
          <w:p>
            <w:pPr>
              <w:keepLines/>
              <w:spacing w:after="0" w:line="276" w:lineRule="auto"/>
            </w:pPr>
            <w:r>
              <w:rPr>
                <w:rFonts w:ascii="Calibri" w:hAnsi="Calibri" w:eastAsia="Microsoft YaHei"/>
                <w:color w:val="0B2545"/>
                <w:sz w:val="14"/>
              </w:rPr>
              <w:t>controlled-access / 官方控制/数据基础设施；需注册和项目规则</w:t>
            </w:r>
          </w:p>
        </w:tc>
        <w:tc>
          <w:tcPr>
            <w:tcW w:type="dxa" w:w="2500"/>
          </w:tcPr>
          <w:p>
            <w:pPr>
              <w:keepLines/>
              <w:spacing w:after="0" w:line="276" w:lineRule="auto"/>
            </w:pPr>
            <w:hyperlink r:id="rId241">
              <w:r>
                <w:rPr>
                  <w:rFonts w:ascii="Calibri" w:hAnsi="Calibri" w:eastAsia="Microsoft YaHei"/>
                  <w:color w:val="008C95"/>
                  <w:u w:val="single"/>
                </w:rPr>
                <w:t>打开原始来源 ↗</w:t>
              </w:r>
            </w:hyperlink>
          </w:p>
        </w:tc>
      </w:tr>
    </w:tbl>
    <w:p>
      <w:pPr>
        <w:spacing w:before="0" w:after="60"/>
      </w:pPr>
    </w:p>
    <w:p>
      <w:pPr>
        <w:pStyle w:val="Heading2"/>
      </w:pPr>
      <w:r>
        <w:t>17.08  J-TEXT</w:t>
      </w:r>
    </w:p>
    <w:tbl>
      <w:tblPr>
        <w:tblStyle w:val="TableGrid"/>
        <w:tblW w:type="dxa" w:w="9360"/>
        <w:jc w:val="left"/>
        <w:tblLayout w:type="fixed"/>
        <w:tblLook w:firstColumn="1" w:firstRow="1" w:lastColumn="0" w:lastRow="0" w:noHBand="0" w:noVBand="1" w:val="04A0"/>
        <w:tblInd w:w="120" w:type="dxa"/>
      </w:tblPr>
      <w:tblGrid>
        <w:gridCol w:w="1100"/>
        <w:gridCol w:w="1100"/>
        <w:gridCol w:w="2400"/>
        <w:gridCol w:w="1900"/>
        <w:gridCol w:w="2860"/>
      </w:tblGrid>
      <w:tr>
        <w:trPr>
          <w:tblHeader w:val="true"/>
        </w:trPr>
        <w:tc>
          <w:tcPr>
            <w:tcW w:type="dxa" w:w="11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类型</w:t>
            </w:r>
          </w:p>
        </w:tc>
        <w:tc>
          <w:tcPr>
            <w:tcW w:type="dxa" w:w="11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国家/地区</w:t>
            </w:r>
          </w:p>
        </w:tc>
        <w:tc>
          <w:tcPr>
            <w:tcW w:type="dxa" w:w="24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运营方</w:t>
            </w:r>
          </w:p>
        </w:tc>
        <w:tc>
          <w:tcPr>
            <w:tcW w:type="dxa" w:w="19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状态</w:t>
            </w:r>
          </w:p>
        </w:tc>
        <w:tc>
          <w:tcPr>
            <w:tcW w:type="dxa" w:w="286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覆盖任务</w:t>
            </w:r>
          </w:p>
        </w:tc>
      </w:tr>
      <w:tr>
        <w:trPr>
          <w:cantSplit/>
        </w:trPr>
        <w:tc>
          <w:tcPr>
            <w:tcW w:type="dxa" w:w="1100"/>
          </w:tcPr>
          <w:p>
            <w:pPr>
              <w:keepLines/>
              <w:spacing w:after="0" w:line="276" w:lineRule="auto"/>
            </w:pPr>
            <w:r>
              <w:rPr>
                <w:rFonts w:ascii="Calibri" w:hAnsi="Calibri" w:eastAsia="Microsoft YaHei"/>
                <w:color w:val="0B2545"/>
                <w:sz w:val="15"/>
              </w:rPr>
              <w:t>中型托卡马克</w:t>
            </w:r>
          </w:p>
        </w:tc>
        <w:tc>
          <w:tcPr>
            <w:tcW w:type="dxa" w:w="1100"/>
          </w:tcPr>
          <w:p>
            <w:pPr>
              <w:keepLines/>
              <w:spacing w:after="0" w:line="276" w:lineRule="auto"/>
            </w:pPr>
            <w:r>
              <w:rPr>
                <w:rFonts w:ascii="Calibri" w:hAnsi="Calibri" w:eastAsia="Microsoft YaHei"/>
                <w:color w:val="0B2545"/>
                <w:sz w:val="15"/>
              </w:rPr>
              <w:t>中国</w:t>
            </w:r>
          </w:p>
        </w:tc>
        <w:tc>
          <w:tcPr>
            <w:tcW w:type="dxa" w:w="2400"/>
          </w:tcPr>
          <w:p>
            <w:pPr>
              <w:keepLines/>
              <w:spacing w:after="0" w:line="276" w:lineRule="auto"/>
            </w:pPr>
            <w:r>
              <w:rPr>
                <w:rFonts w:ascii="Calibri" w:hAnsi="Calibri" w:eastAsia="Microsoft YaHei"/>
                <w:color w:val="0B2545"/>
                <w:sz w:val="15"/>
              </w:rPr>
              <w:t>华中科技大学</w:t>
            </w:r>
          </w:p>
        </w:tc>
        <w:tc>
          <w:tcPr>
            <w:tcW w:type="dxa" w:w="1900"/>
          </w:tcPr>
          <w:p>
            <w:pPr>
              <w:keepLines/>
              <w:spacing w:after="0" w:line="276" w:lineRule="auto"/>
            </w:pPr>
            <w:r>
              <w:rPr>
                <w:rFonts w:ascii="Calibri" w:hAnsi="Calibri" w:eastAsia="Microsoft YaHei"/>
                <w:color w:val="0B2545"/>
                <w:sz w:val="15"/>
              </w:rPr>
              <w:t>运行中的研究装置</w:t>
            </w:r>
          </w:p>
        </w:tc>
        <w:tc>
          <w:tcPr>
            <w:tcW w:type="dxa" w:w="2860"/>
          </w:tcPr>
          <w:p>
            <w:pPr>
              <w:keepLines/>
              <w:spacing w:after="0" w:line="276" w:lineRule="auto"/>
            </w:pPr>
            <w:r>
              <w:rPr>
                <w:rFonts w:ascii="Calibri" w:hAnsi="Calibri" w:eastAsia="Microsoft YaHei"/>
                <w:color w:val="0B2545"/>
                <w:sz w:val="15"/>
              </w:rPr>
              <w:t>DG0；DG1；DG2；DG4；DG5；DG6；DG7；DG11</w:t>
            </w:r>
          </w:p>
        </w:tc>
      </w:tr>
    </w:tbl>
    <w:p>
      <w:pPr>
        <w:spacing w:before="0" w:after="60"/>
      </w:pPr>
    </w:p>
    <w:p>
      <w:pPr>
        <w:widowControl/>
      </w:pPr>
      <w:r>
        <w:rPr>
          <w:rFonts w:ascii="Calibri" w:hAnsi="Calibri" w:eastAsia="Microsoft YaHei"/>
          <w:b/>
          <w:color w:val="1F4D78"/>
        </w:rPr>
        <w:t>诊断概况：</w:t>
      </w:r>
      <w:r>
        <w:rPr>
          <w:rFonts w:ascii="Calibri" w:hAnsi="Calibri" w:eastAsia="Microsoft YaHei"/>
        </w:rPr>
        <w:t>J-TEXT 长期服务于 MHD、破裂、逃逸电子和边界研究，拥有磁阵列、软/硬 X 射线、干涉/偏振、ECE/ECEI、Thomson、可见/高速成像、光谱和边界探针。其 Web 全栈 DAQ 把 HDF5、MDSplus、EPICS 与 REST API 统一起来，适合作为较小规模的诊断数据接口实验场。</w:t>
      </w:r>
    </w:p>
    <w:p>
      <w:pPr>
        <w:widowControl/>
      </w:pPr>
      <w:r>
        <w:rPr>
          <w:rFonts w:ascii="Calibri" w:hAnsi="Calibri" w:eastAsia="Microsoft YaHei"/>
          <w:b/>
          <w:color w:val="1F4D78"/>
        </w:rPr>
        <w:t>主要系统：</w:t>
      </w:r>
      <w:r>
        <w:rPr>
          <w:rFonts w:ascii="Calibri" w:hAnsi="Calibri" w:eastAsia="Microsoft YaHei"/>
        </w:rPr>
        <w:t>family: mhd-runaway；systems: dense magnetics；SXR/HXR；ECE/ECEI；fast visible cameras；measuredQuantities: MHD modes；thermal/runaway electrons；disruption dynamics；evidence: E3-E4/D3-D4；realTimeUse: 破裂/控制研究；family: daq-edge；systems: Web DAQ/REST；HDF5/MDSplus；EPICS；Langmuir probes；spectroscopy；measuredQuantities: raw/engineering data；edge Te/ne/flux；radiation；evidence: E4/D4 infrastructure；realTimeUse: central timing and unified access</w:t>
      </w:r>
    </w:p>
    <w:p>
      <w:pPr>
        <w:widowControl/>
      </w:pPr>
      <w:r>
        <w:rPr>
          <w:rFonts w:ascii="Calibri" w:hAnsi="Calibri" w:eastAsia="Microsoft YaHei"/>
          <w:b/>
          <w:color w:val="1F4D78"/>
        </w:rPr>
        <w:t>测量/传感：</w:t>
      </w:r>
      <w:r>
        <w:rPr>
          <w:rFonts w:ascii="Calibri" w:hAnsi="Calibri" w:eastAsia="Microsoft YaHei"/>
        </w:rPr>
        <w:t>magnetic arrays；SXR/HXR detectors；ECE/ECEI receivers；interferometry/polarimetry；visible cameras；Langmuir probes</w:t>
      </w:r>
    </w:p>
    <w:p>
      <w:pPr>
        <w:widowControl/>
      </w:pPr>
      <w:r>
        <w:rPr>
          <w:rFonts w:ascii="Calibri" w:hAnsi="Calibri" w:eastAsia="Microsoft YaHei"/>
          <w:b/>
          <w:color w:val="1F4D78"/>
        </w:rPr>
        <w:t>实时与 PCS 接口：</w:t>
      </w:r>
      <w:r>
        <w:rPr>
          <w:rFonts w:ascii="Calibri" w:hAnsi="Calibri" w:eastAsia="Microsoft YaHei"/>
        </w:rPr>
        <w:t>J-TEXT CODAC/EPICS；central timing；REST API for control/status/data；MDSplus/HDF5 archive</w:t>
      </w:r>
    </w:p>
    <w:p>
      <w:pPr>
        <w:widowControl/>
      </w:pPr>
      <w:r>
        <w:rPr>
          <w:rFonts w:ascii="Calibri" w:hAnsi="Calibri" w:eastAsia="Microsoft YaHei"/>
          <w:b/>
          <w:color w:val="1F4D78"/>
        </w:rPr>
        <w:t>数据平台：</w:t>
      </w:r>
      <w:r>
        <w:rPr>
          <w:rFonts w:ascii="Calibri" w:hAnsi="Calibri" w:eastAsia="Microsoft YaHei"/>
        </w:rPr>
        <w:t>systems: J-TEXTDB/Web DAQ；HDF5；MDSplus；EPICS；access: 架构论文公开；装置数据服务访问规则需团队确认；evidence: peer-reviewed operational infrastructure papers</w:t>
      </w:r>
    </w:p>
    <w:p>
      <w:pPr>
        <w:widowControl/>
      </w:pPr>
      <w:r>
        <w:rPr>
          <w:rFonts w:ascii="Calibri" w:hAnsi="Calibri" w:eastAsia="Microsoft YaHei"/>
          <w:b/>
          <w:color w:val="1F4D78"/>
        </w:rPr>
        <w:t>代表工作概述：</w:t>
      </w:r>
      <w:r>
        <w:rPr>
          <w:rFonts w:ascii="Calibri" w:hAnsi="Calibri" w:eastAsia="Microsoft YaHei"/>
        </w:rPr>
        <w:t>15+ 类诊断、700+ DAQ 通道的统一时序；ECEI Web-based DAQ；HDF5/MDSplus/EPICS 的 RESTful unified access；高场侧偏滤器 Langmuir probe 升级；磁振动污染分析</w:t>
      </w:r>
    </w:p>
    <w:p>
      <w:pPr>
        <w:widowControl/>
      </w:pPr>
      <w:r>
        <w:rPr>
          <w:rFonts w:ascii="Calibri" w:hAnsi="Calibri" w:eastAsia="Microsoft YaHei"/>
          <w:b/>
          <w:color w:val="1F4D78"/>
        </w:rPr>
        <w:t>证据边界：</w:t>
      </w:r>
      <w:r>
        <w:rPr>
          <w:rFonts w:ascii="Calibri" w:hAnsi="Calibri" w:eastAsia="Microsoft YaHei"/>
        </w:rPr>
        <w:t>论文描述的 deployed stack 仍需版本、认证、API 和权限审计；诊断几何/标定与 REST 元数据契约未完整公开；单机短脉冲数据模式到长脉冲/电厂需重新设计</w:t>
      </w:r>
    </w:p>
    <w:tbl>
      <w:tblPr>
        <w:tblStyle w:val="TableGrid"/>
        <w:tblW w:type="dxa" w:w="9360"/>
        <w:jc w:val="left"/>
        <w:tblLayout w:type="fixed"/>
        <w:tblLook w:firstColumn="1" w:firstRow="1" w:lastColumn="0" w:lastRow="0" w:noHBand="0" w:noVBand="1" w:val="04A0"/>
        <w:tblInd w:w="120" w:type="dxa"/>
      </w:tblPr>
      <w:tblGrid>
        <w:gridCol w:w="1200"/>
        <w:gridCol w:w="750"/>
        <w:gridCol w:w="5300"/>
        <w:gridCol w:w="950"/>
        <w:gridCol w:w="1160"/>
      </w:tblGrid>
      <w:tr>
        <w:trPr>
          <w:tblHeader w:val="true"/>
        </w:trPr>
        <w:tc>
          <w:tcPr>
            <w:tcW w:type="dxa" w:w="12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工作 ID</w:t>
            </w:r>
          </w:p>
        </w:tc>
        <w:tc>
          <w:tcPr>
            <w:tcW w:type="dxa" w:w="7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任务</w:t>
            </w:r>
          </w:p>
        </w:tc>
        <w:tc>
          <w:tcPr>
            <w:tcW w:type="dxa" w:w="53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代表工作</w:t>
            </w:r>
          </w:p>
        </w:tc>
        <w:tc>
          <w:tcPr>
            <w:tcW w:type="dxa" w:w="9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证据</w:t>
            </w:r>
          </w:p>
        </w:tc>
        <w:tc>
          <w:tcPr>
            <w:tcW w:type="dxa" w:w="116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部署</w:t>
            </w:r>
          </w:p>
        </w:tc>
      </w:tr>
      <w:tr>
        <w:trPr>
          <w:cantSplit/>
        </w:trPr>
        <w:tc>
          <w:tcPr>
            <w:tcW w:type="dxa" w:w="1200"/>
          </w:tcPr>
          <w:p>
            <w:pPr>
              <w:keepLines/>
              <w:spacing w:after="0" w:line="276" w:lineRule="auto"/>
            </w:pPr>
            <w:r>
              <w:rPr>
                <w:rFonts w:ascii="Calibri" w:hAnsi="Calibri" w:eastAsia="Microsoft YaHei"/>
                <w:color w:val="0B2545"/>
                <w:sz w:val="15"/>
              </w:rPr>
              <w:t>DG6-029</w:t>
            </w:r>
          </w:p>
        </w:tc>
        <w:tc>
          <w:tcPr>
            <w:tcW w:type="dxa" w:w="750"/>
          </w:tcPr>
          <w:p>
            <w:pPr>
              <w:keepLines/>
              <w:spacing w:after="0" w:line="276" w:lineRule="auto"/>
            </w:pPr>
            <w:r>
              <w:rPr>
                <w:rFonts w:ascii="Calibri" w:hAnsi="Calibri" w:eastAsia="Microsoft YaHei"/>
                <w:color w:val="0B2545"/>
                <w:sz w:val="15"/>
              </w:rPr>
              <w:t>DG6</w:t>
            </w:r>
          </w:p>
        </w:tc>
        <w:tc>
          <w:tcPr>
            <w:tcW w:type="dxa" w:w="5300"/>
          </w:tcPr>
          <w:p>
            <w:pPr>
              <w:keepLines/>
              <w:spacing w:after="0" w:line="276" w:lineRule="auto"/>
            </w:pPr>
            <w:r>
              <w:rPr>
                <w:rFonts w:ascii="Calibri" w:hAnsi="Calibri" w:eastAsia="Microsoft YaHei"/>
                <w:color w:val="0B2545"/>
                <w:sz w:val="15"/>
              </w:rPr>
              <w:t>Mirnov线圈阵列：MHD模态与锁模</w:t>
            </w:r>
          </w:p>
        </w:tc>
        <w:tc>
          <w:tcPr>
            <w:tcW w:type="dxa" w:w="950"/>
          </w:tcPr>
          <w:p>
            <w:pPr>
              <w:keepLines/>
              <w:spacing w:after="0" w:line="276" w:lineRule="auto"/>
            </w:pPr>
            <w:r>
              <w:rPr>
                <w:rFonts w:ascii="Calibri" w:hAnsi="Calibri" w:eastAsia="Microsoft YaHei"/>
                <w:color w:val="0B2545"/>
                <w:sz w:val="15"/>
              </w:rPr>
              <w:t>E4</w:t>
            </w:r>
          </w:p>
        </w:tc>
        <w:tc>
          <w:tcPr>
            <w:tcW w:type="dxa" w:w="1160"/>
          </w:tcPr>
          <w:p>
            <w:pPr>
              <w:keepLines/>
              <w:spacing w:after="0" w:line="276" w:lineRule="auto"/>
            </w:pPr>
            <w:r>
              <w:rPr>
                <w:rFonts w:ascii="Calibri" w:hAnsi="Calibri" w:eastAsia="Microsoft YaHei"/>
                <w:color w:val="0B2545"/>
                <w:sz w:val="15"/>
              </w:rPr>
              <w:t>D4</w:t>
            </w:r>
          </w:p>
        </w:tc>
      </w:tr>
      <w:tr>
        <w:trPr>
          <w:cantSplit/>
        </w:trPr>
        <w:tc>
          <w:tcPr>
            <w:tcW w:type="dxa" w:w="1200"/>
          </w:tcPr>
          <w:p>
            <w:pPr>
              <w:keepLines/>
              <w:spacing w:after="0" w:line="276" w:lineRule="auto"/>
            </w:pPr>
            <w:r>
              <w:rPr>
                <w:rFonts w:ascii="Calibri" w:hAnsi="Calibri" w:eastAsia="Microsoft YaHei"/>
                <w:color w:val="0B2545"/>
                <w:sz w:val="15"/>
              </w:rPr>
              <w:t>DG4-020</w:t>
            </w:r>
          </w:p>
        </w:tc>
        <w:tc>
          <w:tcPr>
            <w:tcW w:type="dxa" w:w="750"/>
          </w:tcPr>
          <w:p>
            <w:pPr>
              <w:keepLines/>
              <w:spacing w:after="0" w:line="276" w:lineRule="auto"/>
            </w:pPr>
            <w:r>
              <w:rPr>
                <w:rFonts w:ascii="Calibri" w:hAnsi="Calibri" w:eastAsia="Microsoft YaHei"/>
                <w:color w:val="0B2545"/>
                <w:sz w:val="15"/>
              </w:rPr>
              <w:t>DG5</w:t>
            </w:r>
          </w:p>
        </w:tc>
        <w:tc>
          <w:tcPr>
            <w:tcW w:type="dxa" w:w="5300"/>
          </w:tcPr>
          <w:p>
            <w:pPr>
              <w:keepLines/>
              <w:spacing w:after="0" w:line="276" w:lineRule="auto"/>
            </w:pPr>
            <w:r>
              <w:rPr>
                <w:rFonts w:ascii="Calibri" w:hAnsi="Calibri" w:eastAsia="Microsoft YaHei"/>
                <w:color w:val="0B2545"/>
                <w:sz w:val="15"/>
              </w:rPr>
              <w:t>硬X射线：逃逸电子制动辐射监测</w:t>
            </w:r>
          </w:p>
        </w:tc>
        <w:tc>
          <w:tcPr>
            <w:tcW w:type="dxa" w:w="950"/>
          </w:tcPr>
          <w:p>
            <w:pPr>
              <w:keepLines/>
              <w:spacing w:after="0" w:line="276" w:lineRule="auto"/>
            </w:pPr>
            <w:r>
              <w:rPr>
                <w:rFonts w:ascii="Calibri" w:hAnsi="Calibri" w:eastAsia="Microsoft YaHei"/>
                <w:color w:val="0B2545"/>
                <w:sz w:val="15"/>
              </w:rPr>
              <w:t>E3</w:t>
            </w:r>
          </w:p>
        </w:tc>
        <w:tc>
          <w:tcPr>
            <w:tcW w:type="dxa" w:w="1160"/>
          </w:tcPr>
          <w:p>
            <w:pPr>
              <w:keepLines/>
              <w:spacing w:after="0" w:line="276" w:lineRule="auto"/>
            </w:pPr>
            <w:r>
              <w:rPr>
                <w:rFonts w:ascii="Calibri" w:hAnsi="Calibri" w:eastAsia="Microsoft YaHei"/>
                <w:color w:val="0B2545"/>
                <w:sz w:val="15"/>
              </w:rPr>
              <w:t>D3</w:t>
            </w:r>
          </w:p>
        </w:tc>
      </w:tr>
    </w:tbl>
    <w:p>
      <w:pPr>
        <w:spacing w:before="0" w:after="60"/>
      </w:pPr>
    </w:p>
    <w:tbl>
      <w:tblPr>
        <w:tblStyle w:val="TableGrid"/>
        <w:tblW w:type="dxa" w:w="9360"/>
        <w:jc w:val="left"/>
        <w:tblLayout w:type="fixed"/>
        <w:tblLook w:firstColumn="1" w:firstRow="1" w:lastColumn="0" w:lastRow="0" w:noHBand="0" w:noVBand="1" w:val="04A0"/>
        <w:tblInd w:w="120" w:type="dxa"/>
      </w:tblPr>
      <w:tblGrid>
        <w:gridCol w:w="900"/>
        <w:gridCol w:w="3200"/>
        <w:gridCol w:w="2760"/>
        <w:gridCol w:w="2500"/>
      </w:tblGrid>
      <w:tr>
        <w:trPr>
          <w:tblHeader w:val="true"/>
        </w:trPr>
        <w:tc>
          <w:tcPr>
            <w:tcW w:type="dxa" w:w="9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年份/类型</w:t>
            </w:r>
          </w:p>
        </w:tc>
        <w:tc>
          <w:tcPr>
            <w:tcW w:type="dxa" w:w="32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论文或软件</w:t>
            </w:r>
          </w:p>
        </w:tc>
        <w:tc>
          <w:tcPr>
            <w:tcW w:type="dxa" w:w="276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来源/关系</w:t>
            </w:r>
          </w:p>
        </w:tc>
        <w:tc>
          <w:tcPr>
            <w:tcW w:type="dxa" w:w="25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链接</w:t>
            </w:r>
          </w:p>
        </w:tc>
      </w:tr>
      <w:tr>
        <w:trPr>
          <w:cantSplit/>
        </w:trPr>
        <w:tc>
          <w:tcPr>
            <w:tcW w:type="dxa" w:w="900"/>
          </w:tcPr>
          <w:p>
            <w:pPr>
              <w:keepLines/>
              <w:spacing w:after="0" w:line="276" w:lineRule="auto"/>
            </w:pPr>
            <w:r>
              <w:rPr>
                <w:rFonts w:ascii="Calibri" w:hAnsi="Calibri" w:eastAsia="Microsoft YaHei"/>
                <w:color w:val="0B2545"/>
                <w:sz w:val="14"/>
              </w:rPr>
              <w:t>2020</w:t>
            </w:r>
          </w:p>
        </w:tc>
        <w:tc>
          <w:tcPr>
            <w:tcW w:type="dxa" w:w="3200"/>
          </w:tcPr>
          <w:p>
            <w:pPr>
              <w:keepLines/>
              <w:spacing w:after="0" w:line="276" w:lineRule="auto"/>
            </w:pPr>
            <w:r>
              <w:rPr>
                <w:rFonts w:ascii="Calibri" w:hAnsi="Calibri" w:eastAsia="Microsoft YaHei"/>
                <w:color w:val="0B2545"/>
                <w:sz w:val="14"/>
              </w:rPr>
              <w:t>A full stack data acquisition, archive and access solution for J-TEXT based on web technologies</w:t>
            </w:r>
          </w:p>
        </w:tc>
        <w:tc>
          <w:tcPr>
            <w:tcW w:type="dxa" w:w="2760"/>
          </w:tcPr>
          <w:p>
            <w:pPr>
              <w:keepLines/>
              <w:spacing w:after="0" w:line="276" w:lineRule="auto"/>
            </w:pPr>
            <w:r>
              <w:rPr>
                <w:rFonts w:ascii="Calibri" w:hAnsi="Calibri" w:eastAsia="Microsoft YaHei"/>
                <w:color w:val="0B2545"/>
                <w:sz w:val="14"/>
              </w:rPr>
              <w:t>Fusion Engineering and Design</w:t>
            </w:r>
          </w:p>
        </w:tc>
        <w:tc>
          <w:tcPr>
            <w:tcW w:type="dxa" w:w="2500"/>
          </w:tcPr>
          <w:p>
            <w:pPr>
              <w:keepLines/>
              <w:spacing w:after="0" w:line="276" w:lineRule="auto"/>
            </w:pPr>
            <w:hyperlink r:id="rId242">
              <w:r>
                <w:rPr>
                  <w:rFonts w:ascii="Calibri" w:hAnsi="Calibri" w:eastAsia="Microsoft YaHei"/>
                  <w:color w:val="008C95"/>
                  <w:u w:val="single"/>
                </w:rPr>
                <w:t>打开原始来源 ↗</w:t>
              </w:r>
            </w:hyperlink>
          </w:p>
        </w:tc>
      </w:tr>
      <w:tr>
        <w:trPr>
          <w:cantSplit/>
        </w:trPr>
        <w:tc>
          <w:tcPr>
            <w:tcW w:type="dxa" w:w="900"/>
          </w:tcPr>
          <w:p>
            <w:pPr>
              <w:keepLines/>
              <w:spacing w:after="0" w:line="276" w:lineRule="auto"/>
            </w:pPr>
            <w:r>
              <w:rPr>
                <w:rFonts w:ascii="Calibri" w:hAnsi="Calibri" w:eastAsia="Microsoft YaHei"/>
                <w:color w:val="0B2545"/>
                <w:sz w:val="14"/>
              </w:rPr>
              <w:t>2014</w:t>
            </w:r>
          </w:p>
        </w:tc>
        <w:tc>
          <w:tcPr>
            <w:tcW w:type="dxa" w:w="3200"/>
          </w:tcPr>
          <w:p>
            <w:pPr>
              <w:keepLines/>
              <w:spacing w:after="0" w:line="276" w:lineRule="auto"/>
            </w:pPr>
            <w:r>
              <w:rPr>
                <w:rFonts w:ascii="Calibri" w:hAnsi="Calibri" w:eastAsia="Microsoft YaHei"/>
                <w:color w:val="0B2545"/>
                <w:sz w:val="14"/>
              </w:rPr>
              <w:t>The timing system on the J-TEXT tokamak</w:t>
            </w:r>
          </w:p>
        </w:tc>
        <w:tc>
          <w:tcPr>
            <w:tcW w:type="dxa" w:w="2760"/>
          </w:tcPr>
          <w:p>
            <w:pPr>
              <w:keepLines/>
              <w:spacing w:after="0" w:line="276" w:lineRule="auto"/>
            </w:pPr>
            <w:r>
              <w:rPr>
                <w:rFonts w:ascii="Calibri" w:hAnsi="Calibri" w:eastAsia="Microsoft YaHei"/>
                <w:color w:val="0B2545"/>
                <w:sz w:val="14"/>
              </w:rPr>
              <w:t>Fusion Engineering and Design</w:t>
            </w:r>
          </w:p>
        </w:tc>
        <w:tc>
          <w:tcPr>
            <w:tcW w:type="dxa" w:w="2500"/>
          </w:tcPr>
          <w:p>
            <w:pPr>
              <w:keepLines/>
              <w:spacing w:after="0" w:line="276" w:lineRule="auto"/>
            </w:pPr>
            <w:hyperlink r:id="rId243">
              <w:r>
                <w:rPr>
                  <w:rFonts w:ascii="Calibri" w:hAnsi="Calibri" w:eastAsia="Microsoft YaHei"/>
                  <w:color w:val="008C95"/>
                  <w:u w:val="single"/>
                </w:rPr>
                <w:t>打开原始来源 ↗</w:t>
              </w:r>
            </w:hyperlink>
          </w:p>
        </w:tc>
      </w:tr>
      <w:tr>
        <w:trPr>
          <w:cantSplit/>
        </w:trPr>
        <w:tc>
          <w:tcPr>
            <w:tcW w:type="dxa" w:w="900"/>
          </w:tcPr>
          <w:p>
            <w:pPr>
              <w:keepLines/>
              <w:spacing w:after="0" w:line="276" w:lineRule="auto"/>
            </w:pPr>
            <w:r>
              <w:rPr>
                <w:rFonts w:ascii="Calibri" w:hAnsi="Calibri" w:eastAsia="Microsoft YaHei"/>
                <w:color w:val="0B2545"/>
                <w:sz w:val="14"/>
              </w:rPr>
              <w:t>2010</w:t>
            </w:r>
          </w:p>
        </w:tc>
        <w:tc>
          <w:tcPr>
            <w:tcW w:type="dxa" w:w="3200"/>
          </w:tcPr>
          <w:p>
            <w:pPr>
              <w:keepLines/>
              <w:spacing w:after="0" w:line="276" w:lineRule="auto"/>
            </w:pPr>
            <w:r>
              <w:rPr>
                <w:rFonts w:ascii="Calibri" w:hAnsi="Calibri" w:eastAsia="Microsoft YaHei"/>
                <w:color w:val="0B2545"/>
                <w:sz w:val="14"/>
              </w:rPr>
              <w:t>The Reconstruction and Research Progress of the TEXT-U Tokamak in China</w:t>
            </w:r>
          </w:p>
        </w:tc>
        <w:tc>
          <w:tcPr>
            <w:tcW w:type="dxa" w:w="2760"/>
          </w:tcPr>
          <w:p>
            <w:pPr>
              <w:keepLines/>
              <w:spacing w:after="0" w:line="276" w:lineRule="auto"/>
            </w:pPr>
            <w:r>
              <w:rPr>
                <w:rFonts w:ascii="Calibri" w:hAnsi="Calibri" w:eastAsia="Microsoft YaHei"/>
                <w:color w:val="0B2545"/>
                <w:sz w:val="14"/>
              </w:rPr>
              <w:t>原始论文 / 官方来源</w:t>
            </w:r>
          </w:p>
        </w:tc>
        <w:tc>
          <w:tcPr>
            <w:tcW w:type="dxa" w:w="2500"/>
          </w:tcPr>
          <w:p>
            <w:pPr>
              <w:keepLines/>
              <w:spacing w:after="0" w:line="276" w:lineRule="auto"/>
            </w:pPr>
            <w:hyperlink r:id="rId244">
              <w:r>
                <w:rPr>
                  <w:rFonts w:ascii="Calibri" w:hAnsi="Calibri" w:eastAsia="Microsoft YaHei"/>
                  <w:color w:val="008C95"/>
                  <w:u w:val="single"/>
                </w:rPr>
                <w:t>打开原始来源 ↗</w:t>
              </w:r>
            </w:hyperlink>
          </w:p>
        </w:tc>
      </w:tr>
      <w:tr>
        <w:trPr>
          <w:cantSplit/>
        </w:trPr>
        <w:tc>
          <w:tcPr>
            <w:tcW w:type="dxa" w:w="900"/>
          </w:tcPr>
          <w:p>
            <w:pPr>
              <w:keepLines/>
              <w:spacing w:after="0" w:line="276" w:lineRule="auto"/>
            </w:pPr>
            <w:r>
              <w:rPr>
                <w:rFonts w:ascii="Calibri" w:hAnsi="Calibri" w:eastAsia="Microsoft YaHei"/>
                <w:color w:val="0B2545"/>
                <w:sz w:val="14"/>
              </w:rPr>
              <w:t>软件</w:t>
            </w:r>
          </w:p>
        </w:tc>
        <w:tc>
          <w:tcPr>
            <w:tcW w:type="dxa" w:w="3200"/>
          </w:tcPr>
          <w:p>
            <w:pPr>
              <w:keepLines/>
              <w:spacing w:after="0" w:line="276" w:lineRule="auto"/>
            </w:pPr>
            <w:r>
              <w:rPr>
                <w:rFonts w:ascii="Calibri" w:hAnsi="Calibri" w:eastAsia="Microsoft YaHei"/>
                <w:color w:val="0B2545"/>
                <w:sz w:val="14"/>
              </w:rPr>
              <w:t>J-TEXT Web DAQ</w:t>
            </w:r>
          </w:p>
        </w:tc>
        <w:tc>
          <w:tcPr>
            <w:tcW w:type="dxa" w:w="2760"/>
          </w:tcPr>
          <w:p>
            <w:pPr>
              <w:keepLines/>
              <w:spacing w:after="0" w:line="276" w:lineRule="auto"/>
            </w:pPr>
            <w:r>
              <w:rPr>
                <w:rFonts w:ascii="Calibri" w:hAnsi="Calibri" w:eastAsia="Microsoft YaHei"/>
                <w:color w:val="0B2545"/>
                <w:sz w:val="14"/>
              </w:rPr>
              <w:t>not-public / 接口和基准公开；未确认持续维护的公共生产仓库</w:t>
            </w:r>
          </w:p>
        </w:tc>
        <w:tc>
          <w:tcPr>
            <w:tcW w:type="dxa" w:w="2500"/>
          </w:tcPr>
          <w:p>
            <w:pPr>
              <w:keepLines/>
              <w:spacing w:after="0" w:line="276" w:lineRule="auto"/>
            </w:pPr>
            <w:r>
              <w:rPr>
                <w:rFonts w:ascii="Calibri" w:hAnsi="Calibri" w:eastAsia="Microsoft YaHei"/>
                <w:color w:val="0B2545"/>
                <w:sz w:val="14"/>
              </w:rPr>
              <w:t>未公开</w:t>
            </w:r>
          </w:p>
        </w:tc>
      </w:tr>
      <w:tr>
        <w:trPr>
          <w:cantSplit/>
        </w:trPr>
        <w:tc>
          <w:tcPr>
            <w:tcW w:type="dxa" w:w="900"/>
          </w:tcPr>
          <w:p>
            <w:pPr>
              <w:keepLines/>
              <w:spacing w:after="0" w:line="276" w:lineRule="auto"/>
            </w:pPr>
            <w:r>
              <w:rPr>
                <w:rFonts w:ascii="Calibri" w:hAnsi="Calibri" w:eastAsia="Microsoft YaHei"/>
                <w:color w:val="0B2545"/>
                <w:sz w:val="14"/>
              </w:rPr>
              <w:t>软件</w:t>
            </w:r>
          </w:p>
        </w:tc>
        <w:tc>
          <w:tcPr>
            <w:tcW w:type="dxa" w:w="3200"/>
          </w:tcPr>
          <w:p>
            <w:pPr>
              <w:keepLines/>
              <w:spacing w:after="0" w:line="276" w:lineRule="auto"/>
            </w:pPr>
            <w:r>
              <w:rPr>
                <w:rFonts w:ascii="Calibri" w:hAnsi="Calibri" w:eastAsia="Microsoft YaHei"/>
                <w:color w:val="0B2545"/>
                <w:sz w:val="14"/>
              </w:rPr>
              <w:t>MDSplus/EPICS/HDF5</w:t>
            </w:r>
          </w:p>
        </w:tc>
        <w:tc>
          <w:tcPr>
            <w:tcW w:type="dxa" w:w="2760"/>
          </w:tcPr>
          <w:p>
            <w:pPr>
              <w:keepLines/>
              <w:spacing w:after="0" w:line="276" w:lineRule="auto"/>
            </w:pPr>
            <w:r>
              <w:rPr>
                <w:rFonts w:ascii="Calibri" w:hAnsi="Calibri" w:eastAsia="Microsoft YaHei"/>
                <w:color w:val="0B2545"/>
                <w:sz w:val="14"/>
              </w:rPr>
              <w:t>official-enabling / 公共依赖，不等于 J-TEXT configuration</w:t>
            </w:r>
          </w:p>
        </w:tc>
        <w:tc>
          <w:tcPr>
            <w:tcW w:type="dxa" w:w="2500"/>
          </w:tcPr>
          <w:p>
            <w:pPr>
              <w:keepLines/>
              <w:spacing w:after="0" w:line="276" w:lineRule="auto"/>
            </w:pPr>
            <w:hyperlink r:id="rId21">
              <w:r>
                <w:rPr>
                  <w:rFonts w:ascii="Calibri" w:hAnsi="Calibri" w:eastAsia="Microsoft YaHei"/>
                  <w:color w:val="008C95"/>
                  <w:u w:val="single"/>
                </w:rPr>
                <w:t>打开原始来源 ↗</w:t>
              </w:r>
            </w:hyperlink>
          </w:p>
        </w:tc>
      </w:tr>
    </w:tbl>
    <w:p>
      <w:pPr>
        <w:spacing w:before="0" w:after="60"/>
      </w:pPr>
    </w:p>
    <w:p>
      <w:pPr>
        <w:pStyle w:val="Heading2"/>
      </w:pPr>
      <w:r>
        <w:t>17.09  JET</w:t>
      </w:r>
    </w:p>
    <w:tbl>
      <w:tblPr>
        <w:tblStyle w:val="TableGrid"/>
        <w:tblW w:type="dxa" w:w="9360"/>
        <w:jc w:val="left"/>
        <w:tblLayout w:type="fixed"/>
        <w:tblLook w:firstColumn="1" w:firstRow="1" w:lastColumn="0" w:lastRow="0" w:noHBand="0" w:noVBand="1" w:val="04A0"/>
        <w:tblInd w:w="120" w:type="dxa"/>
      </w:tblPr>
      <w:tblGrid>
        <w:gridCol w:w="1100"/>
        <w:gridCol w:w="1100"/>
        <w:gridCol w:w="2400"/>
        <w:gridCol w:w="1900"/>
        <w:gridCol w:w="2860"/>
      </w:tblGrid>
      <w:tr>
        <w:trPr>
          <w:tblHeader w:val="true"/>
        </w:trPr>
        <w:tc>
          <w:tcPr>
            <w:tcW w:type="dxa" w:w="11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类型</w:t>
            </w:r>
          </w:p>
        </w:tc>
        <w:tc>
          <w:tcPr>
            <w:tcW w:type="dxa" w:w="11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国家/地区</w:t>
            </w:r>
          </w:p>
        </w:tc>
        <w:tc>
          <w:tcPr>
            <w:tcW w:type="dxa" w:w="24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运营方</w:t>
            </w:r>
          </w:p>
        </w:tc>
        <w:tc>
          <w:tcPr>
            <w:tcW w:type="dxa" w:w="19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状态</w:t>
            </w:r>
          </w:p>
        </w:tc>
        <w:tc>
          <w:tcPr>
            <w:tcW w:type="dxa" w:w="286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覆盖任务</w:t>
            </w:r>
          </w:p>
        </w:tc>
      </w:tr>
      <w:tr>
        <w:trPr>
          <w:cantSplit/>
        </w:trPr>
        <w:tc>
          <w:tcPr>
            <w:tcW w:type="dxa" w:w="1100"/>
          </w:tcPr>
          <w:p>
            <w:pPr>
              <w:keepLines/>
              <w:spacing w:after="0" w:line="276" w:lineRule="auto"/>
            </w:pPr>
            <w:r>
              <w:rPr>
                <w:rFonts w:ascii="Calibri" w:hAnsi="Calibri" w:eastAsia="Microsoft YaHei"/>
                <w:color w:val="0B2545"/>
                <w:sz w:val="15"/>
              </w:rPr>
              <w:t>大型 D-T 托卡马克（已结束实验运行）</w:t>
            </w:r>
          </w:p>
        </w:tc>
        <w:tc>
          <w:tcPr>
            <w:tcW w:type="dxa" w:w="1100"/>
          </w:tcPr>
          <w:p>
            <w:pPr>
              <w:keepLines/>
              <w:spacing w:after="0" w:line="276" w:lineRule="auto"/>
            </w:pPr>
            <w:r>
              <w:rPr>
                <w:rFonts w:ascii="Calibri" w:hAnsi="Calibri" w:eastAsia="Microsoft YaHei"/>
                <w:color w:val="0B2545"/>
                <w:sz w:val="15"/>
              </w:rPr>
              <w:t>欧洲 / 英国</w:t>
            </w:r>
          </w:p>
        </w:tc>
        <w:tc>
          <w:tcPr>
            <w:tcW w:type="dxa" w:w="2400"/>
          </w:tcPr>
          <w:p>
            <w:pPr>
              <w:keepLines/>
              <w:spacing w:after="0" w:line="276" w:lineRule="auto"/>
            </w:pPr>
            <w:r>
              <w:rPr>
                <w:rFonts w:ascii="Calibri" w:hAnsi="Calibri" w:eastAsia="Microsoft YaHei"/>
                <w:color w:val="0B2545"/>
                <w:sz w:val="15"/>
              </w:rPr>
              <w:t>UKAEA for EUROfusion（历史运行）</w:t>
            </w:r>
          </w:p>
        </w:tc>
        <w:tc>
          <w:tcPr>
            <w:tcW w:type="dxa" w:w="1900"/>
          </w:tcPr>
          <w:p>
            <w:pPr>
              <w:keepLines/>
              <w:spacing w:after="0" w:line="276" w:lineRule="auto"/>
            </w:pPr>
            <w:r>
              <w:rPr>
                <w:rFonts w:ascii="Calibri" w:hAnsi="Calibri" w:eastAsia="Microsoft YaHei"/>
                <w:color w:val="0B2545"/>
                <w:sz w:val="15"/>
              </w:rPr>
              <w:t>2023 年结束实验；进入退役准备与数据再利用阶段</w:t>
            </w:r>
          </w:p>
        </w:tc>
        <w:tc>
          <w:tcPr>
            <w:tcW w:type="dxa" w:w="2860"/>
          </w:tcPr>
          <w:p>
            <w:pPr>
              <w:keepLines/>
              <w:spacing w:after="0" w:line="276" w:lineRule="auto"/>
            </w:pPr>
            <w:r>
              <w:rPr>
                <w:rFonts w:ascii="Calibri" w:hAnsi="Calibri" w:eastAsia="Microsoft YaHei"/>
                <w:color w:val="0B2545"/>
                <w:sz w:val="15"/>
              </w:rPr>
              <w:t>DG1；DG2；DG3；DG4；DG5；DG6；DG7；DG10</w:t>
            </w:r>
          </w:p>
        </w:tc>
      </w:tr>
    </w:tbl>
    <w:p>
      <w:pPr>
        <w:spacing w:before="0" w:after="60"/>
      </w:pPr>
    </w:p>
    <w:p>
      <w:pPr>
        <w:widowControl/>
      </w:pPr>
      <w:r>
        <w:rPr>
          <w:rFonts w:ascii="Calibri" w:hAnsi="Calibri" w:eastAsia="Microsoft YaHei"/>
          <w:b/>
          <w:color w:val="1F4D78"/>
        </w:rPr>
        <w:t>诊断概况：</w:t>
      </w:r>
      <w:r>
        <w:rPr>
          <w:rFonts w:ascii="Calibri" w:hAnsi="Calibri" w:eastAsia="Microsoft YaHei"/>
        </w:rPr>
        <w:t>JET 的价值在于经过 D-T、ITER-like wall 和高功率场景考验的多诊断链：磁平衡、LIDAR/高分辨 Thomson、ECE、反射计、CXRS、可见/UV/X 射线、bolometer、质量谱以及中子相机/谱仪。当前应把它作为有氚运行、跨诊断校核和数据治理的历史基准，而非在线设施。</w:t>
      </w:r>
    </w:p>
    <w:p>
      <w:pPr>
        <w:widowControl/>
      </w:pPr>
      <w:r>
        <w:rPr>
          <w:rFonts w:ascii="Calibri" w:hAnsi="Calibri" w:eastAsia="Microsoft YaHei"/>
          <w:b/>
          <w:color w:val="1F4D78"/>
        </w:rPr>
        <w:t>主要系统：</w:t>
      </w:r>
      <w:r>
        <w:rPr>
          <w:rFonts w:ascii="Calibri" w:hAnsi="Calibri" w:eastAsia="Microsoft YaHei"/>
        </w:rPr>
        <w:t>family: profiles-spectroscopy；systems: LIDAR Thomson；high-resolution Thomson；ECE；reflectometry；CXRS；high-resolution spectroscopy；measuredQuantities: ne/Te；Ti/rotation；isotope ratio；impurities；evidence: E4/D4：长期装置与 D-T 实验；realTimeUse: 部分信号进入实时状态/保护；family: fusion-products；systems: neutron yield monitors；neutron camera；neutron spectrometers；gamma-ray diagnostics；activation；measuredQuantities: fusion rate；emissivity；fuel/fast-ion information；evidence: E4/D4：D-T campaigns；realTimeUse: 监视与保护/物理分析；family: radiation-edge；systems: bolometers；SXR；visible/VUV spectroscopy；IR/visible wall viewing；measuredQuantities: radiated power；MHD；wall/PFC state；evidence: E4/D4；realTimeUse: WALLS/RTPS 等历史链路</w:t>
      </w:r>
    </w:p>
    <w:p>
      <w:pPr>
        <w:widowControl/>
      </w:pPr>
      <w:r>
        <w:rPr>
          <w:rFonts w:ascii="Calibri" w:hAnsi="Calibri" w:eastAsia="Microsoft YaHei"/>
          <w:b/>
          <w:color w:val="1F4D78"/>
        </w:rPr>
        <w:t>测量/传感：</w:t>
      </w:r>
      <w:r>
        <w:rPr>
          <w:rFonts w:ascii="Calibri" w:hAnsi="Calibri" w:eastAsia="Microsoft YaHei"/>
        </w:rPr>
        <w:t>Thomson APD/PMT and spectrometers；ECE radiometers；bolometer arrays；scintillator/fission/activation detectors；spectroscopy cameras；magnetic coils</w:t>
      </w:r>
    </w:p>
    <w:p>
      <w:pPr>
        <w:widowControl/>
      </w:pPr>
      <w:r>
        <w:rPr>
          <w:rFonts w:ascii="Calibri" w:hAnsi="Calibri" w:eastAsia="Microsoft YaHei"/>
          <w:b/>
          <w:color w:val="1F4D78"/>
        </w:rPr>
        <w:t>实时与 PCS 接口：</w:t>
      </w:r>
      <w:r>
        <w:rPr>
          <w:rFonts w:ascii="Calibri" w:hAnsi="Calibri" w:eastAsia="Microsoft YaHei"/>
        </w:rPr>
        <w:t>JET real-time data network；PPCC/RTCC/RTPS/WALLS 历史接口；装置已停机，实时能力是历史证据</w:t>
      </w:r>
    </w:p>
    <w:p>
      <w:pPr>
        <w:widowControl/>
      </w:pPr>
      <w:r>
        <w:rPr>
          <w:rFonts w:ascii="Calibri" w:hAnsi="Calibri" w:eastAsia="Microsoft YaHei"/>
          <w:b/>
          <w:color w:val="1F4D78"/>
        </w:rPr>
        <w:t>数据平台：</w:t>
      </w:r>
      <w:r>
        <w:rPr>
          <w:rFonts w:ascii="Calibri" w:hAnsi="Calibri" w:eastAsia="Microsoft YaHei"/>
        </w:rPr>
        <w:t>systems: JET PPF；MDSplus gateways；TRANSP netCDF/MDSplus trees；access: EUROfusion/项目权限为主；部分论文数据和接口文档公开；evidence: JET TRANSP 官方文档和 MDSplus gateway 文档</w:t>
      </w:r>
    </w:p>
    <w:p>
      <w:pPr>
        <w:widowControl/>
      </w:pPr>
      <w:r>
        <w:rPr>
          <w:rFonts w:ascii="Calibri" w:hAnsi="Calibri" w:eastAsia="Microsoft YaHei"/>
          <w:b/>
          <w:color w:val="1F4D78"/>
        </w:rPr>
        <w:t>代表工作概述：</w:t>
      </w:r>
      <w:r>
        <w:rPr>
          <w:rFonts w:ascii="Calibri" w:hAnsi="Calibri" w:eastAsia="Microsoft YaHei"/>
        </w:rPr>
        <w:t>LIDAR Thomson 与 HR-TS/ECE/reflectometer 交叉一致性；D-T 中子相机、谱仪、活化与总产额监视；CXRS、bolometry、bremsstrahlung 与质量谱联合解释；实时数据网络和保护诊断</w:t>
      </w:r>
    </w:p>
    <w:p>
      <w:pPr>
        <w:widowControl/>
      </w:pPr>
      <w:r>
        <w:rPr>
          <w:rFonts w:ascii="Calibri" w:hAnsi="Calibri" w:eastAsia="Microsoft YaHei"/>
          <w:b/>
          <w:color w:val="1F4D78"/>
        </w:rPr>
        <w:t>证据边界：</w:t>
      </w:r>
      <w:r>
        <w:rPr>
          <w:rFonts w:ascii="Calibri" w:hAnsi="Calibri" w:eastAsia="Microsoft YaHei"/>
        </w:rPr>
        <w:t>停机后的可复现依赖档案、软件和专家知识保全；诊断算法、标定和生产分支多数未公开；历史 D-T 成功不等于未来电厂辐照寿命或安全资格</w:t>
      </w:r>
    </w:p>
    <w:tbl>
      <w:tblPr>
        <w:tblStyle w:val="TableGrid"/>
        <w:tblW w:type="dxa" w:w="9360"/>
        <w:jc w:val="left"/>
        <w:tblLayout w:type="fixed"/>
        <w:tblLook w:firstColumn="1" w:firstRow="1" w:lastColumn="0" w:lastRow="0" w:noHBand="0" w:noVBand="1" w:val="04A0"/>
        <w:tblInd w:w="120" w:type="dxa"/>
      </w:tblPr>
      <w:tblGrid>
        <w:gridCol w:w="1200"/>
        <w:gridCol w:w="750"/>
        <w:gridCol w:w="5300"/>
        <w:gridCol w:w="950"/>
        <w:gridCol w:w="1160"/>
      </w:tblGrid>
      <w:tr>
        <w:trPr>
          <w:tblHeader w:val="true"/>
        </w:trPr>
        <w:tc>
          <w:tcPr>
            <w:tcW w:type="dxa" w:w="12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工作 ID</w:t>
            </w:r>
          </w:p>
        </w:tc>
        <w:tc>
          <w:tcPr>
            <w:tcW w:type="dxa" w:w="7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任务</w:t>
            </w:r>
          </w:p>
        </w:tc>
        <w:tc>
          <w:tcPr>
            <w:tcW w:type="dxa" w:w="53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代表工作</w:t>
            </w:r>
          </w:p>
        </w:tc>
        <w:tc>
          <w:tcPr>
            <w:tcW w:type="dxa" w:w="9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证据</w:t>
            </w:r>
          </w:p>
        </w:tc>
        <w:tc>
          <w:tcPr>
            <w:tcW w:type="dxa" w:w="116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部署</w:t>
            </w:r>
          </w:p>
        </w:tc>
      </w:tr>
      <w:tr>
        <w:trPr>
          <w:cantSplit/>
        </w:trPr>
        <w:tc>
          <w:tcPr>
            <w:tcW w:type="dxa" w:w="1200"/>
          </w:tcPr>
          <w:p>
            <w:pPr>
              <w:keepLines/>
              <w:spacing w:after="0" w:line="276" w:lineRule="auto"/>
            </w:pPr>
            <w:r>
              <w:rPr>
                <w:rFonts w:ascii="Calibri" w:hAnsi="Calibri" w:eastAsia="Microsoft YaHei"/>
                <w:color w:val="0B2545"/>
                <w:sz w:val="15"/>
              </w:rPr>
              <w:t>PDT-012</w:t>
            </w:r>
          </w:p>
        </w:tc>
        <w:tc>
          <w:tcPr>
            <w:tcW w:type="dxa" w:w="750"/>
          </w:tcPr>
          <w:p>
            <w:pPr>
              <w:keepLines/>
              <w:spacing w:after="0" w:line="276" w:lineRule="auto"/>
            </w:pPr>
            <w:r>
              <w:rPr>
                <w:rFonts w:ascii="Calibri" w:hAnsi="Calibri" w:eastAsia="Microsoft YaHei"/>
                <w:color w:val="0B2545"/>
                <w:sz w:val="15"/>
              </w:rPr>
              <w:t>DG8</w:t>
            </w:r>
          </w:p>
        </w:tc>
        <w:tc>
          <w:tcPr>
            <w:tcW w:type="dxa" w:w="5300"/>
          </w:tcPr>
          <w:p>
            <w:pPr>
              <w:keepLines/>
              <w:spacing w:after="0" w:line="276" w:lineRule="auto"/>
            </w:pPr>
            <w:r>
              <w:rPr>
                <w:rFonts w:ascii="Calibri" w:hAnsi="Calibri" w:eastAsia="Microsoft YaHei"/>
                <w:color w:val="0B2545"/>
                <w:sz w:val="15"/>
              </w:rPr>
              <w:t>JET 氚燃料循环在线气相色谱与物料衡算</w:t>
            </w:r>
          </w:p>
        </w:tc>
        <w:tc>
          <w:tcPr>
            <w:tcW w:type="dxa" w:w="950"/>
          </w:tcPr>
          <w:p>
            <w:pPr>
              <w:keepLines/>
              <w:spacing w:after="0" w:line="276" w:lineRule="auto"/>
            </w:pPr>
            <w:r>
              <w:rPr>
                <w:rFonts w:ascii="Calibri" w:hAnsi="Calibri" w:eastAsia="Microsoft YaHei"/>
                <w:color w:val="0B2545"/>
                <w:sz w:val="15"/>
              </w:rPr>
              <w:t>E4</w:t>
            </w:r>
          </w:p>
        </w:tc>
        <w:tc>
          <w:tcPr>
            <w:tcW w:type="dxa" w:w="1160"/>
          </w:tcPr>
          <w:p>
            <w:pPr>
              <w:keepLines/>
              <w:spacing w:after="0" w:line="276" w:lineRule="auto"/>
            </w:pPr>
            <w:r>
              <w:rPr>
                <w:rFonts w:ascii="Calibri" w:hAnsi="Calibri" w:eastAsia="Microsoft YaHei"/>
                <w:color w:val="0B2545"/>
                <w:sz w:val="15"/>
              </w:rPr>
              <w:t>D4</w:t>
            </w:r>
          </w:p>
        </w:tc>
      </w:tr>
      <w:tr>
        <w:trPr>
          <w:cantSplit/>
        </w:trPr>
        <w:tc>
          <w:tcPr>
            <w:tcW w:type="dxa" w:w="1200"/>
          </w:tcPr>
          <w:p>
            <w:pPr>
              <w:keepLines/>
              <w:spacing w:after="0" w:line="276" w:lineRule="auto"/>
            </w:pPr>
            <w:r>
              <w:rPr>
                <w:rFonts w:ascii="Calibri" w:hAnsi="Calibri" w:eastAsia="Microsoft YaHei"/>
                <w:color w:val="0B2545"/>
                <w:sz w:val="15"/>
              </w:rPr>
              <w:t>PDT-014</w:t>
            </w:r>
          </w:p>
        </w:tc>
        <w:tc>
          <w:tcPr>
            <w:tcW w:type="dxa" w:w="750"/>
          </w:tcPr>
          <w:p>
            <w:pPr>
              <w:keepLines/>
              <w:spacing w:after="0" w:line="276" w:lineRule="auto"/>
            </w:pPr>
            <w:r>
              <w:rPr>
                <w:rFonts w:ascii="Calibri" w:hAnsi="Calibri" w:eastAsia="Microsoft YaHei"/>
                <w:color w:val="0B2545"/>
                <w:sz w:val="15"/>
              </w:rPr>
              <w:t>DG8</w:t>
            </w:r>
          </w:p>
        </w:tc>
        <w:tc>
          <w:tcPr>
            <w:tcW w:type="dxa" w:w="5300"/>
          </w:tcPr>
          <w:p>
            <w:pPr>
              <w:keepLines/>
              <w:spacing w:after="0" w:line="276" w:lineRule="auto"/>
            </w:pPr>
            <w:r>
              <w:rPr>
                <w:rFonts w:ascii="Calibri" w:hAnsi="Calibri" w:eastAsia="Microsoft YaHei"/>
                <w:color w:val="0B2545"/>
                <w:sz w:val="15"/>
              </w:rPr>
              <w:t>JET 排气去氚系统腐蚀失效诊断与替换后运行监测</w:t>
            </w:r>
          </w:p>
        </w:tc>
        <w:tc>
          <w:tcPr>
            <w:tcW w:type="dxa" w:w="950"/>
          </w:tcPr>
          <w:p>
            <w:pPr>
              <w:keepLines/>
              <w:spacing w:after="0" w:line="276" w:lineRule="auto"/>
            </w:pPr>
            <w:r>
              <w:rPr>
                <w:rFonts w:ascii="Calibri" w:hAnsi="Calibri" w:eastAsia="Microsoft YaHei"/>
                <w:color w:val="0B2545"/>
                <w:sz w:val="15"/>
              </w:rPr>
              <w:t>E4</w:t>
            </w:r>
          </w:p>
        </w:tc>
        <w:tc>
          <w:tcPr>
            <w:tcW w:type="dxa" w:w="1160"/>
          </w:tcPr>
          <w:p>
            <w:pPr>
              <w:keepLines/>
              <w:spacing w:after="0" w:line="276" w:lineRule="auto"/>
            </w:pPr>
            <w:r>
              <w:rPr>
                <w:rFonts w:ascii="Calibri" w:hAnsi="Calibri" w:eastAsia="Microsoft YaHei"/>
                <w:color w:val="0B2545"/>
                <w:sz w:val="15"/>
              </w:rPr>
              <w:t>D4</w:t>
            </w:r>
          </w:p>
        </w:tc>
      </w:tr>
      <w:tr>
        <w:trPr>
          <w:cantSplit/>
        </w:trPr>
        <w:tc>
          <w:tcPr>
            <w:tcW w:type="dxa" w:w="1200"/>
          </w:tcPr>
          <w:p>
            <w:pPr>
              <w:keepLines/>
              <w:spacing w:after="0" w:line="276" w:lineRule="auto"/>
            </w:pPr>
            <w:r>
              <w:rPr>
                <w:rFonts w:ascii="Calibri" w:hAnsi="Calibri" w:eastAsia="Microsoft YaHei"/>
                <w:color w:val="0B2545"/>
                <w:sz w:val="15"/>
              </w:rPr>
              <w:t>DG2-007</w:t>
            </w:r>
          </w:p>
        </w:tc>
        <w:tc>
          <w:tcPr>
            <w:tcW w:type="dxa" w:w="750"/>
          </w:tcPr>
          <w:p>
            <w:pPr>
              <w:keepLines/>
              <w:spacing w:after="0" w:line="276" w:lineRule="auto"/>
            </w:pPr>
            <w:r>
              <w:rPr>
                <w:rFonts w:ascii="Calibri" w:hAnsi="Calibri" w:eastAsia="Microsoft YaHei"/>
                <w:color w:val="0B2545"/>
                <w:sz w:val="15"/>
              </w:rPr>
              <w:t>DG2</w:t>
            </w:r>
          </w:p>
        </w:tc>
        <w:tc>
          <w:tcPr>
            <w:tcW w:type="dxa" w:w="5300"/>
          </w:tcPr>
          <w:p>
            <w:pPr>
              <w:keepLines/>
              <w:spacing w:after="0" w:line="276" w:lineRule="auto"/>
            </w:pPr>
            <w:r>
              <w:rPr>
                <w:rFonts w:ascii="Calibri" w:hAnsi="Calibri" w:eastAsia="Microsoft YaHei"/>
                <w:color w:val="0B2545"/>
                <w:sz w:val="15"/>
              </w:rPr>
              <w:t>LIDAR汤姆逊散射：JET长光程电子剖面</w:t>
            </w:r>
          </w:p>
        </w:tc>
        <w:tc>
          <w:tcPr>
            <w:tcW w:type="dxa" w:w="950"/>
          </w:tcPr>
          <w:p>
            <w:pPr>
              <w:keepLines/>
              <w:spacing w:after="0" w:line="276" w:lineRule="auto"/>
            </w:pPr>
            <w:r>
              <w:rPr>
                <w:rFonts w:ascii="Calibri" w:hAnsi="Calibri" w:eastAsia="Microsoft YaHei"/>
                <w:color w:val="0B2545"/>
                <w:sz w:val="15"/>
              </w:rPr>
              <w:t>E4</w:t>
            </w:r>
          </w:p>
        </w:tc>
        <w:tc>
          <w:tcPr>
            <w:tcW w:type="dxa" w:w="1160"/>
          </w:tcPr>
          <w:p>
            <w:pPr>
              <w:keepLines/>
              <w:spacing w:after="0" w:line="276" w:lineRule="auto"/>
            </w:pPr>
            <w:r>
              <w:rPr>
                <w:rFonts w:ascii="Calibri" w:hAnsi="Calibri" w:eastAsia="Microsoft YaHei"/>
                <w:color w:val="0B2545"/>
                <w:sz w:val="15"/>
              </w:rPr>
              <w:t>D4</w:t>
            </w:r>
          </w:p>
        </w:tc>
      </w:tr>
      <w:tr>
        <w:trPr>
          <w:cantSplit/>
        </w:trPr>
        <w:tc>
          <w:tcPr>
            <w:tcW w:type="dxa" w:w="1200"/>
          </w:tcPr>
          <w:p>
            <w:pPr>
              <w:keepLines/>
              <w:spacing w:after="0" w:line="276" w:lineRule="auto"/>
            </w:pPr>
            <w:r>
              <w:rPr>
                <w:rFonts w:ascii="Calibri" w:hAnsi="Calibri" w:eastAsia="Microsoft YaHei"/>
                <w:color w:val="0B2545"/>
                <w:sz w:val="15"/>
              </w:rPr>
              <w:t>DG3-011</w:t>
            </w:r>
          </w:p>
        </w:tc>
        <w:tc>
          <w:tcPr>
            <w:tcW w:type="dxa" w:w="750"/>
          </w:tcPr>
          <w:p>
            <w:pPr>
              <w:keepLines/>
              <w:spacing w:after="0" w:line="276" w:lineRule="auto"/>
            </w:pPr>
            <w:r>
              <w:rPr>
                <w:rFonts w:ascii="Calibri" w:hAnsi="Calibri" w:eastAsia="Microsoft YaHei"/>
                <w:color w:val="0B2545"/>
                <w:sz w:val="15"/>
              </w:rPr>
              <w:t>DG3</w:t>
            </w:r>
          </w:p>
        </w:tc>
        <w:tc>
          <w:tcPr>
            <w:tcW w:type="dxa" w:w="5300"/>
          </w:tcPr>
          <w:p>
            <w:pPr>
              <w:keepLines/>
              <w:spacing w:after="0" w:line="276" w:lineRule="auto"/>
            </w:pPr>
            <w:r>
              <w:rPr>
                <w:rFonts w:ascii="Calibri" w:hAnsi="Calibri" w:eastAsia="Microsoft YaHei"/>
                <w:color w:val="0B2545"/>
                <w:sz w:val="15"/>
              </w:rPr>
              <w:t>电荷交换复合谱：离子温度与转动</w:t>
            </w:r>
          </w:p>
        </w:tc>
        <w:tc>
          <w:tcPr>
            <w:tcW w:type="dxa" w:w="950"/>
          </w:tcPr>
          <w:p>
            <w:pPr>
              <w:keepLines/>
              <w:spacing w:after="0" w:line="276" w:lineRule="auto"/>
            </w:pPr>
            <w:r>
              <w:rPr>
                <w:rFonts w:ascii="Calibri" w:hAnsi="Calibri" w:eastAsia="Microsoft YaHei"/>
                <w:color w:val="0B2545"/>
                <w:sz w:val="15"/>
              </w:rPr>
              <w:t>E4</w:t>
            </w:r>
          </w:p>
        </w:tc>
        <w:tc>
          <w:tcPr>
            <w:tcW w:type="dxa" w:w="1160"/>
          </w:tcPr>
          <w:p>
            <w:pPr>
              <w:keepLines/>
              <w:spacing w:after="0" w:line="276" w:lineRule="auto"/>
            </w:pPr>
            <w:r>
              <w:rPr>
                <w:rFonts w:ascii="Calibri" w:hAnsi="Calibri" w:eastAsia="Microsoft YaHei"/>
                <w:color w:val="0B2545"/>
                <w:sz w:val="15"/>
              </w:rPr>
              <w:t>D4</w:t>
            </w:r>
          </w:p>
        </w:tc>
      </w:tr>
      <w:tr>
        <w:trPr>
          <w:cantSplit/>
        </w:trPr>
        <w:tc>
          <w:tcPr>
            <w:tcW w:type="dxa" w:w="1200"/>
          </w:tcPr>
          <w:p>
            <w:pPr>
              <w:keepLines/>
              <w:spacing w:after="0" w:line="276" w:lineRule="auto"/>
            </w:pPr>
            <w:r>
              <w:rPr>
                <w:rFonts w:ascii="Calibri" w:hAnsi="Calibri" w:eastAsia="Microsoft YaHei"/>
                <w:color w:val="0B2545"/>
                <w:sz w:val="15"/>
              </w:rPr>
              <w:t>DG4-019</w:t>
            </w:r>
          </w:p>
        </w:tc>
        <w:tc>
          <w:tcPr>
            <w:tcW w:type="dxa" w:w="750"/>
          </w:tcPr>
          <w:p>
            <w:pPr>
              <w:keepLines/>
              <w:spacing w:after="0" w:line="276" w:lineRule="auto"/>
            </w:pPr>
            <w:r>
              <w:rPr>
                <w:rFonts w:ascii="Calibri" w:hAnsi="Calibri" w:eastAsia="Microsoft YaHei"/>
                <w:color w:val="0B2545"/>
                <w:sz w:val="15"/>
              </w:rPr>
              <w:t>DG4</w:t>
            </w:r>
          </w:p>
        </w:tc>
        <w:tc>
          <w:tcPr>
            <w:tcW w:type="dxa" w:w="5300"/>
          </w:tcPr>
          <w:p>
            <w:pPr>
              <w:keepLines/>
              <w:spacing w:after="0" w:line="276" w:lineRule="auto"/>
            </w:pPr>
            <w:r>
              <w:rPr>
                <w:rFonts w:ascii="Calibri" w:hAnsi="Calibri" w:eastAsia="Microsoft YaHei"/>
                <w:color w:val="0B2545"/>
                <w:sz w:val="15"/>
              </w:rPr>
              <w:t>可见光杂质/燃料谱：Zeff、流入与回收</w:t>
            </w:r>
          </w:p>
        </w:tc>
        <w:tc>
          <w:tcPr>
            <w:tcW w:type="dxa" w:w="950"/>
          </w:tcPr>
          <w:p>
            <w:pPr>
              <w:keepLines/>
              <w:spacing w:after="0" w:line="276" w:lineRule="auto"/>
            </w:pPr>
            <w:r>
              <w:rPr>
                <w:rFonts w:ascii="Calibri" w:hAnsi="Calibri" w:eastAsia="Microsoft YaHei"/>
                <w:color w:val="0B2545"/>
                <w:sz w:val="15"/>
              </w:rPr>
              <w:t>E4</w:t>
            </w:r>
          </w:p>
        </w:tc>
        <w:tc>
          <w:tcPr>
            <w:tcW w:type="dxa" w:w="1160"/>
          </w:tcPr>
          <w:p>
            <w:pPr>
              <w:keepLines/>
              <w:spacing w:after="0" w:line="276" w:lineRule="auto"/>
            </w:pPr>
            <w:r>
              <w:rPr>
                <w:rFonts w:ascii="Calibri" w:hAnsi="Calibri" w:eastAsia="Microsoft YaHei"/>
                <w:color w:val="0B2545"/>
                <w:sz w:val="15"/>
              </w:rPr>
              <w:t>D4</w:t>
            </w:r>
          </w:p>
        </w:tc>
      </w:tr>
      <w:tr>
        <w:trPr>
          <w:cantSplit/>
        </w:trPr>
        <w:tc>
          <w:tcPr>
            <w:tcW w:type="dxa" w:w="1200"/>
          </w:tcPr>
          <w:p>
            <w:pPr>
              <w:keepLines/>
              <w:spacing w:after="0" w:line="276" w:lineRule="auto"/>
            </w:pPr>
            <w:r>
              <w:rPr>
                <w:rFonts w:ascii="Calibri" w:hAnsi="Calibri" w:eastAsia="Microsoft YaHei"/>
                <w:color w:val="0B2545"/>
                <w:sz w:val="15"/>
              </w:rPr>
              <w:t>DG5-023</w:t>
            </w:r>
          </w:p>
        </w:tc>
        <w:tc>
          <w:tcPr>
            <w:tcW w:type="dxa" w:w="750"/>
          </w:tcPr>
          <w:p>
            <w:pPr>
              <w:keepLines/>
              <w:spacing w:after="0" w:line="276" w:lineRule="auto"/>
            </w:pPr>
            <w:r>
              <w:rPr>
                <w:rFonts w:ascii="Calibri" w:hAnsi="Calibri" w:eastAsia="Microsoft YaHei"/>
                <w:color w:val="0B2545"/>
                <w:sz w:val="15"/>
              </w:rPr>
              <w:t>DG5</w:t>
            </w:r>
          </w:p>
        </w:tc>
        <w:tc>
          <w:tcPr>
            <w:tcW w:type="dxa" w:w="5300"/>
          </w:tcPr>
          <w:p>
            <w:pPr>
              <w:keepLines/>
              <w:spacing w:after="0" w:line="276" w:lineRule="auto"/>
            </w:pPr>
            <w:r>
              <w:rPr>
                <w:rFonts w:ascii="Calibri" w:hAnsi="Calibri" w:eastAsia="Microsoft YaHei"/>
                <w:color w:val="0B2545"/>
                <w:sz w:val="15"/>
              </w:rPr>
              <w:t>高分辨中子能谱：燃料离子与快离子</w:t>
            </w:r>
          </w:p>
        </w:tc>
        <w:tc>
          <w:tcPr>
            <w:tcW w:type="dxa" w:w="950"/>
          </w:tcPr>
          <w:p>
            <w:pPr>
              <w:keepLines/>
              <w:spacing w:after="0" w:line="276" w:lineRule="auto"/>
            </w:pPr>
            <w:r>
              <w:rPr>
                <w:rFonts w:ascii="Calibri" w:hAnsi="Calibri" w:eastAsia="Microsoft YaHei"/>
                <w:color w:val="0B2545"/>
                <w:sz w:val="15"/>
              </w:rPr>
              <w:t>E4</w:t>
            </w:r>
          </w:p>
        </w:tc>
        <w:tc>
          <w:tcPr>
            <w:tcW w:type="dxa" w:w="1160"/>
          </w:tcPr>
          <w:p>
            <w:pPr>
              <w:keepLines/>
              <w:spacing w:after="0" w:line="276" w:lineRule="auto"/>
            </w:pPr>
            <w:r>
              <w:rPr>
                <w:rFonts w:ascii="Calibri" w:hAnsi="Calibri" w:eastAsia="Microsoft YaHei"/>
                <w:color w:val="0B2545"/>
                <w:sz w:val="15"/>
              </w:rPr>
              <w:t>D4</w:t>
            </w:r>
          </w:p>
        </w:tc>
      </w:tr>
      <w:tr>
        <w:trPr>
          <w:cantSplit/>
        </w:trPr>
        <w:tc>
          <w:tcPr>
            <w:tcW w:type="dxa" w:w="1200"/>
          </w:tcPr>
          <w:p>
            <w:pPr>
              <w:keepLines/>
              <w:spacing w:after="0" w:line="276" w:lineRule="auto"/>
            </w:pPr>
            <w:r>
              <w:rPr>
                <w:rFonts w:ascii="Calibri" w:hAnsi="Calibri" w:eastAsia="Microsoft YaHei"/>
                <w:color w:val="0B2545"/>
                <w:sz w:val="15"/>
              </w:rPr>
              <w:t>DG7-039</w:t>
            </w:r>
          </w:p>
        </w:tc>
        <w:tc>
          <w:tcPr>
            <w:tcW w:type="dxa" w:w="750"/>
          </w:tcPr>
          <w:p>
            <w:pPr>
              <w:keepLines/>
              <w:spacing w:after="0" w:line="276" w:lineRule="auto"/>
            </w:pPr>
            <w:r>
              <w:rPr>
                <w:rFonts w:ascii="Calibri" w:hAnsi="Calibri" w:eastAsia="Microsoft YaHei"/>
                <w:color w:val="0B2545"/>
                <w:sz w:val="15"/>
              </w:rPr>
              <w:t>DG7</w:t>
            </w:r>
          </w:p>
        </w:tc>
        <w:tc>
          <w:tcPr>
            <w:tcW w:type="dxa" w:w="5300"/>
          </w:tcPr>
          <w:p>
            <w:pPr>
              <w:keepLines/>
              <w:spacing w:after="0" w:line="276" w:lineRule="auto"/>
            </w:pPr>
            <w:r>
              <w:rPr>
                <w:rFonts w:ascii="Calibri" w:hAnsi="Calibri" w:eastAsia="Microsoft YaHei"/>
                <w:color w:val="0B2545"/>
                <w:sz w:val="15"/>
              </w:rPr>
              <w:t>Balmer/Stark偏滤器谱：脱靶、再结合与中性压力</w:t>
            </w:r>
          </w:p>
        </w:tc>
        <w:tc>
          <w:tcPr>
            <w:tcW w:type="dxa" w:w="950"/>
          </w:tcPr>
          <w:p>
            <w:pPr>
              <w:keepLines/>
              <w:spacing w:after="0" w:line="276" w:lineRule="auto"/>
            </w:pPr>
            <w:r>
              <w:rPr>
                <w:rFonts w:ascii="Calibri" w:hAnsi="Calibri" w:eastAsia="Microsoft YaHei"/>
                <w:color w:val="0B2545"/>
                <w:sz w:val="15"/>
              </w:rPr>
              <w:t>E4</w:t>
            </w:r>
          </w:p>
        </w:tc>
        <w:tc>
          <w:tcPr>
            <w:tcW w:type="dxa" w:w="1160"/>
          </w:tcPr>
          <w:p>
            <w:pPr>
              <w:keepLines/>
              <w:spacing w:after="0" w:line="276" w:lineRule="auto"/>
            </w:pPr>
            <w:r>
              <w:rPr>
                <w:rFonts w:ascii="Calibri" w:hAnsi="Calibri" w:eastAsia="Microsoft YaHei"/>
                <w:color w:val="0B2545"/>
                <w:sz w:val="15"/>
              </w:rPr>
              <w:t>D4</w:t>
            </w:r>
          </w:p>
        </w:tc>
      </w:tr>
      <w:tr>
        <w:trPr>
          <w:cantSplit/>
        </w:trPr>
        <w:tc>
          <w:tcPr>
            <w:tcW w:type="dxa" w:w="1200"/>
          </w:tcPr>
          <w:p>
            <w:pPr>
              <w:keepLines/>
              <w:spacing w:after="0" w:line="276" w:lineRule="auto"/>
            </w:pPr>
            <w:r>
              <w:rPr>
                <w:rFonts w:ascii="Calibri" w:hAnsi="Calibri" w:eastAsia="Microsoft YaHei"/>
                <w:color w:val="0B2545"/>
                <w:sz w:val="15"/>
              </w:rPr>
              <w:t>DSI-001</w:t>
            </w:r>
          </w:p>
        </w:tc>
        <w:tc>
          <w:tcPr>
            <w:tcW w:type="dxa" w:w="750"/>
          </w:tcPr>
          <w:p>
            <w:pPr>
              <w:keepLines/>
              <w:spacing w:after="0" w:line="276" w:lineRule="auto"/>
            </w:pPr>
            <w:r>
              <w:rPr>
                <w:rFonts w:ascii="Calibri" w:hAnsi="Calibri" w:eastAsia="Microsoft YaHei"/>
                <w:color w:val="0B2545"/>
                <w:sz w:val="15"/>
              </w:rPr>
              <w:t>DG0</w:t>
            </w:r>
          </w:p>
        </w:tc>
        <w:tc>
          <w:tcPr>
            <w:tcW w:type="dxa" w:w="5300"/>
          </w:tcPr>
          <w:p>
            <w:pPr>
              <w:keepLines/>
              <w:spacing w:after="0" w:line="276" w:lineRule="auto"/>
            </w:pPr>
            <w:r>
              <w:rPr>
                <w:rFonts w:ascii="Calibri" w:hAnsi="Calibri" w:eastAsia="Microsoft YaHei"/>
                <w:color w:val="0B2545"/>
                <w:sz w:val="15"/>
              </w:rPr>
              <w:t>IMAS 接口数据结构与数据字典</w:t>
            </w:r>
          </w:p>
        </w:tc>
        <w:tc>
          <w:tcPr>
            <w:tcW w:type="dxa" w:w="950"/>
          </w:tcPr>
          <w:p>
            <w:pPr>
              <w:keepLines/>
              <w:spacing w:after="0" w:line="276" w:lineRule="auto"/>
            </w:pPr>
            <w:r>
              <w:rPr>
                <w:rFonts w:ascii="Calibri" w:hAnsi="Calibri" w:eastAsia="Microsoft YaHei"/>
                <w:color w:val="0B2545"/>
                <w:sz w:val="15"/>
              </w:rPr>
              <w:t>E3</w:t>
            </w:r>
          </w:p>
        </w:tc>
        <w:tc>
          <w:tcPr>
            <w:tcW w:type="dxa" w:w="1160"/>
          </w:tcPr>
          <w:p>
            <w:pPr>
              <w:keepLines/>
              <w:spacing w:after="0" w:line="276" w:lineRule="auto"/>
            </w:pPr>
            <w:r>
              <w:rPr>
                <w:rFonts w:ascii="Calibri" w:hAnsi="Calibri" w:eastAsia="Microsoft YaHei"/>
                <w:color w:val="0B2545"/>
                <w:sz w:val="15"/>
              </w:rPr>
              <w:t>D3</w:t>
            </w:r>
          </w:p>
        </w:tc>
      </w:tr>
      <w:tr>
        <w:trPr>
          <w:cantSplit/>
        </w:trPr>
        <w:tc>
          <w:tcPr>
            <w:tcW w:type="dxa" w:w="1200"/>
          </w:tcPr>
          <w:p>
            <w:pPr>
              <w:keepLines/>
              <w:spacing w:after="0" w:line="276" w:lineRule="auto"/>
            </w:pPr>
            <w:r>
              <w:rPr>
                <w:rFonts w:ascii="Calibri" w:hAnsi="Calibri" w:eastAsia="Microsoft YaHei"/>
                <w:color w:val="0B2545"/>
                <w:sz w:val="15"/>
              </w:rPr>
              <w:t>DSI-009</w:t>
            </w:r>
          </w:p>
        </w:tc>
        <w:tc>
          <w:tcPr>
            <w:tcW w:type="dxa" w:w="750"/>
          </w:tcPr>
          <w:p>
            <w:pPr>
              <w:keepLines/>
              <w:spacing w:after="0" w:line="276" w:lineRule="auto"/>
            </w:pPr>
            <w:r>
              <w:rPr>
                <w:rFonts w:ascii="Calibri" w:hAnsi="Calibri" w:eastAsia="Microsoft YaHei"/>
                <w:color w:val="0B2545"/>
                <w:sz w:val="15"/>
              </w:rPr>
              <w:t>DG9</w:t>
            </w:r>
          </w:p>
        </w:tc>
        <w:tc>
          <w:tcPr>
            <w:tcW w:type="dxa" w:w="5300"/>
          </w:tcPr>
          <w:p>
            <w:pPr>
              <w:keepLines/>
              <w:spacing w:after="0" w:line="276" w:lineRule="auto"/>
            </w:pPr>
            <w:r>
              <w:rPr>
                <w:rFonts w:ascii="Calibri" w:hAnsi="Calibri" w:eastAsia="Microsoft YaHei"/>
                <w:color w:val="0B2545"/>
                <w:sz w:val="15"/>
              </w:rPr>
              <w:t>CHERAB–Raysect 三维光谱与辐射合成诊断</w:t>
            </w:r>
          </w:p>
        </w:tc>
        <w:tc>
          <w:tcPr>
            <w:tcW w:type="dxa" w:w="950"/>
          </w:tcPr>
          <w:p>
            <w:pPr>
              <w:keepLines/>
              <w:spacing w:after="0" w:line="276" w:lineRule="auto"/>
            </w:pPr>
            <w:r>
              <w:rPr>
                <w:rFonts w:ascii="Calibri" w:hAnsi="Calibri" w:eastAsia="Microsoft YaHei"/>
                <w:color w:val="0B2545"/>
                <w:sz w:val="15"/>
              </w:rPr>
              <w:t>E3</w:t>
            </w:r>
          </w:p>
        </w:tc>
        <w:tc>
          <w:tcPr>
            <w:tcW w:type="dxa" w:w="1160"/>
          </w:tcPr>
          <w:p>
            <w:pPr>
              <w:keepLines/>
              <w:spacing w:after="0" w:line="276" w:lineRule="auto"/>
            </w:pPr>
            <w:r>
              <w:rPr>
                <w:rFonts w:ascii="Calibri" w:hAnsi="Calibri" w:eastAsia="Microsoft YaHei"/>
                <w:color w:val="0B2545"/>
                <w:sz w:val="15"/>
              </w:rPr>
              <w:t>D2</w:t>
            </w:r>
          </w:p>
        </w:tc>
      </w:tr>
      <w:tr>
        <w:trPr>
          <w:cantSplit/>
        </w:trPr>
        <w:tc>
          <w:tcPr>
            <w:tcW w:type="dxa" w:w="1200"/>
          </w:tcPr>
          <w:p>
            <w:pPr>
              <w:keepLines/>
              <w:spacing w:after="0" w:line="276" w:lineRule="auto"/>
            </w:pPr>
            <w:r>
              <w:rPr>
                <w:rFonts w:ascii="Calibri" w:hAnsi="Calibri" w:eastAsia="Microsoft YaHei"/>
                <w:color w:val="0B2545"/>
                <w:sz w:val="15"/>
              </w:rPr>
              <w:t>DSI-023</w:t>
            </w:r>
          </w:p>
        </w:tc>
        <w:tc>
          <w:tcPr>
            <w:tcW w:type="dxa" w:w="750"/>
          </w:tcPr>
          <w:p>
            <w:pPr>
              <w:keepLines/>
              <w:spacing w:after="0" w:line="276" w:lineRule="auto"/>
            </w:pPr>
            <w:r>
              <w:rPr>
                <w:rFonts w:ascii="Calibri" w:hAnsi="Calibri" w:eastAsia="Microsoft YaHei"/>
                <w:color w:val="0B2545"/>
                <w:sz w:val="15"/>
              </w:rPr>
              <w:t>DG10</w:t>
            </w:r>
          </w:p>
        </w:tc>
        <w:tc>
          <w:tcPr>
            <w:tcW w:type="dxa" w:w="5300"/>
          </w:tcPr>
          <w:p>
            <w:pPr>
              <w:keepLines/>
              <w:spacing w:after="0" w:line="276" w:lineRule="auto"/>
            </w:pPr>
            <w:r>
              <w:rPr>
                <w:rFonts w:ascii="Calibri" w:hAnsi="Calibri" w:eastAsia="Microsoft YaHei"/>
                <w:color w:val="0B2545"/>
                <w:sz w:val="15"/>
              </w:rPr>
              <w:t>Minerva 贝叶斯诊断建模与模型数据融合框架</w:t>
            </w:r>
          </w:p>
        </w:tc>
        <w:tc>
          <w:tcPr>
            <w:tcW w:type="dxa" w:w="950"/>
          </w:tcPr>
          <w:p>
            <w:pPr>
              <w:keepLines/>
              <w:spacing w:after="0" w:line="276" w:lineRule="auto"/>
            </w:pPr>
            <w:r>
              <w:rPr>
                <w:rFonts w:ascii="Calibri" w:hAnsi="Calibri" w:eastAsia="Microsoft YaHei"/>
                <w:color w:val="0B2545"/>
                <w:sz w:val="15"/>
              </w:rPr>
              <w:t>E3</w:t>
            </w:r>
          </w:p>
        </w:tc>
        <w:tc>
          <w:tcPr>
            <w:tcW w:type="dxa" w:w="1160"/>
          </w:tcPr>
          <w:p>
            <w:pPr>
              <w:keepLines/>
              <w:spacing w:after="0" w:line="276" w:lineRule="auto"/>
            </w:pPr>
            <w:r>
              <w:rPr>
                <w:rFonts w:ascii="Calibri" w:hAnsi="Calibri" w:eastAsia="Microsoft YaHei"/>
                <w:color w:val="0B2545"/>
                <w:sz w:val="15"/>
              </w:rPr>
              <w:t>D2</w:t>
            </w:r>
          </w:p>
        </w:tc>
      </w:tr>
      <w:tr>
        <w:trPr>
          <w:cantSplit/>
        </w:trPr>
        <w:tc>
          <w:tcPr>
            <w:tcW w:type="dxa" w:w="1200"/>
          </w:tcPr>
          <w:p>
            <w:pPr>
              <w:keepLines/>
              <w:spacing w:after="0" w:line="276" w:lineRule="auto"/>
            </w:pPr>
            <w:r>
              <w:rPr>
                <w:rFonts w:ascii="Calibri" w:hAnsi="Calibri" w:eastAsia="Microsoft YaHei"/>
                <w:color w:val="0B2545"/>
                <w:sz w:val="15"/>
              </w:rPr>
              <w:t>DSI-032</w:t>
            </w:r>
          </w:p>
        </w:tc>
        <w:tc>
          <w:tcPr>
            <w:tcW w:type="dxa" w:w="750"/>
          </w:tcPr>
          <w:p>
            <w:pPr>
              <w:keepLines/>
              <w:spacing w:after="0" w:line="276" w:lineRule="auto"/>
            </w:pPr>
            <w:r>
              <w:rPr>
                <w:rFonts w:ascii="Calibri" w:hAnsi="Calibri" w:eastAsia="Microsoft YaHei"/>
                <w:color w:val="0B2545"/>
                <w:sz w:val="15"/>
              </w:rPr>
              <w:t>DG11</w:t>
            </w:r>
          </w:p>
        </w:tc>
        <w:tc>
          <w:tcPr>
            <w:tcW w:type="dxa" w:w="5300"/>
          </w:tcPr>
          <w:p>
            <w:pPr>
              <w:keepLines/>
              <w:spacing w:after="0" w:line="276" w:lineRule="auto"/>
            </w:pPr>
            <w:r>
              <w:rPr>
                <w:rFonts w:ascii="Calibri" w:hAnsi="Calibri" w:eastAsia="Microsoft YaHei"/>
                <w:color w:val="0B2545"/>
                <w:sz w:val="15"/>
              </w:rPr>
              <w:t>FRNN 跨装置破裂风险预测</w:t>
            </w:r>
          </w:p>
        </w:tc>
        <w:tc>
          <w:tcPr>
            <w:tcW w:type="dxa" w:w="950"/>
          </w:tcPr>
          <w:p>
            <w:pPr>
              <w:keepLines/>
              <w:spacing w:after="0" w:line="276" w:lineRule="auto"/>
            </w:pPr>
            <w:r>
              <w:rPr>
                <w:rFonts w:ascii="Calibri" w:hAnsi="Calibri" w:eastAsia="Microsoft YaHei"/>
                <w:color w:val="0B2545"/>
                <w:sz w:val="15"/>
              </w:rPr>
              <w:t>E3</w:t>
            </w:r>
          </w:p>
        </w:tc>
        <w:tc>
          <w:tcPr>
            <w:tcW w:type="dxa" w:w="1160"/>
          </w:tcPr>
          <w:p>
            <w:pPr>
              <w:keepLines/>
              <w:spacing w:after="0" w:line="276" w:lineRule="auto"/>
            </w:pPr>
            <w:r>
              <w:rPr>
                <w:rFonts w:ascii="Calibri" w:hAnsi="Calibri" w:eastAsia="Microsoft YaHei"/>
                <w:color w:val="0B2545"/>
                <w:sz w:val="15"/>
              </w:rPr>
              <w:t>D2</w:t>
            </w:r>
          </w:p>
        </w:tc>
      </w:tr>
      <w:tr>
        <w:trPr>
          <w:cantSplit/>
        </w:trPr>
        <w:tc>
          <w:tcPr>
            <w:tcW w:type="dxa" w:w="1200"/>
          </w:tcPr>
          <w:p>
            <w:pPr>
              <w:keepLines/>
              <w:spacing w:after="0" w:line="276" w:lineRule="auto"/>
            </w:pPr>
            <w:r>
              <w:rPr>
                <w:rFonts w:ascii="Calibri" w:hAnsi="Calibri" w:eastAsia="Microsoft YaHei"/>
                <w:color w:val="0B2545"/>
                <w:sz w:val="15"/>
              </w:rPr>
              <w:t>DG1-001</w:t>
            </w:r>
          </w:p>
        </w:tc>
        <w:tc>
          <w:tcPr>
            <w:tcW w:type="dxa" w:w="750"/>
          </w:tcPr>
          <w:p>
            <w:pPr>
              <w:keepLines/>
              <w:spacing w:after="0" w:line="276" w:lineRule="auto"/>
            </w:pPr>
            <w:r>
              <w:rPr>
                <w:rFonts w:ascii="Calibri" w:hAnsi="Calibri" w:eastAsia="Microsoft YaHei"/>
                <w:color w:val="0B2545"/>
                <w:sz w:val="15"/>
              </w:rPr>
              <w:t>DG1</w:t>
            </w:r>
          </w:p>
        </w:tc>
        <w:tc>
          <w:tcPr>
            <w:tcW w:type="dxa" w:w="5300"/>
          </w:tcPr>
          <w:p>
            <w:pPr>
              <w:keepLines/>
              <w:spacing w:after="0" w:line="276" w:lineRule="auto"/>
            </w:pPr>
            <w:r>
              <w:rPr>
                <w:rFonts w:ascii="Calibri" w:hAnsi="Calibri" w:eastAsia="Microsoft YaHei"/>
                <w:color w:val="0B2545"/>
                <w:sz w:val="15"/>
              </w:rPr>
              <w:t>感应式磁测量：磁通环、拾取线圈与罗戈夫斯基线圈</w:t>
            </w:r>
          </w:p>
        </w:tc>
        <w:tc>
          <w:tcPr>
            <w:tcW w:type="dxa" w:w="950"/>
          </w:tcPr>
          <w:p>
            <w:pPr>
              <w:keepLines/>
              <w:spacing w:after="0" w:line="276" w:lineRule="auto"/>
            </w:pPr>
            <w:r>
              <w:rPr>
                <w:rFonts w:ascii="Calibri" w:hAnsi="Calibri" w:eastAsia="Microsoft YaHei"/>
                <w:color w:val="0B2545"/>
                <w:sz w:val="15"/>
              </w:rPr>
              <w:t>E1</w:t>
            </w:r>
          </w:p>
        </w:tc>
        <w:tc>
          <w:tcPr>
            <w:tcW w:type="dxa" w:w="1160"/>
          </w:tcPr>
          <w:p>
            <w:pPr>
              <w:keepLines/>
              <w:spacing w:after="0" w:line="276" w:lineRule="auto"/>
            </w:pPr>
            <w:r>
              <w:rPr>
                <w:rFonts w:ascii="Calibri" w:hAnsi="Calibri" w:eastAsia="Microsoft YaHei"/>
                <w:color w:val="0B2545"/>
                <w:sz w:val="15"/>
              </w:rPr>
              <w:t>D2</w:t>
            </w:r>
          </w:p>
        </w:tc>
      </w:tr>
    </w:tbl>
    <w:p>
      <w:pPr>
        <w:spacing w:before="0" w:after="60"/>
      </w:pPr>
    </w:p>
    <w:tbl>
      <w:tblPr>
        <w:tblStyle w:val="TableGrid"/>
        <w:tblW w:type="dxa" w:w="9360"/>
        <w:jc w:val="left"/>
        <w:tblLayout w:type="fixed"/>
        <w:tblLook w:firstColumn="1" w:firstRow="1" w:lastColumn="0" w:lastRow="0" w:noHBand="0" w:noVBand="1" w:val="04A0"/>
        <w:tblInd w:w="120" w:type="dxa"/>
      </w:tblPr>
      <w:tblGrid>
        <w:gridCol w:w="900"/>
        <w:gridCol w:w="3200"/>
        <w:gridCol w:w="2760"/>
        <w:gridCol w:w="2500"/>
      </w:tblGrid>
      <w:tr>
        <w:trPr>
          <w:tblHeader w:val="true"/>
        </w:trPr>
        <w:tc>
          <w:tcPr>
            <w:tcW w:type="dxa" w:w="9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年份/类型</w:t>
            </w:r>
          </w:p>
        </w:tc>
        <w:tc>
          <w:tcPr>
            <w:tcW w:type="dxa" w:w="32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论文或软件</w:t>
            </w:r>
          </w:p>
        </w:tc>
        <w:tc>
          <w:tcPr>
            <w:tcW w:type="dxa" w:w="276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来源/关系</w:t>
            </w:r>
          </w:p>
        </w:tc>
        <w:tc>
          <w:tcPr>
            <w:tcW w:type="dxa" w:w="25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链接</w:t>
            </w:r>
          </w:p>
        </w:tc>
      </w:tr>
      <w:tr>
        <w:trPr>
          <w:cantSplit/>
        </w:trPr>
        <w:tc>
          <w:tcPr>
            <w:tcW w:type="dxa" w:w="900"/>
          </w:tcPr>
          <w:p>
            <w:pPr>
              <w:keepLines/>
              <w:spacing w:after="0" w:line="276" w:lineRule="auto"/>
            </w:pPr>
            <w:r>
              <w:rPr>
                <w:rFonts w:ascii="Calibri" w:hAnsi="Calibri" w:eastAsia="Microsoft YaHei"/>
                <w:color w:val="0B2545"/>
                <w:sz w:val="14"/>
              </w:rPr>
              <w:t>2014</w:t>
            </w:r>
          </w:p>
        </w:tc>
        <w:tc>
          <w:tcPr>
            <w:tcW w:type="dxa" w:w="3200"/>
          </w:tcPr>
          <w:p>
            <w:pPr>
              <w:keepLines/>
              <w:spacing w:after="0" w:line="276" w:lineRule="auto"/>
            </w:pPr>
            <w:r>
              <w:rPr>
                <w:rFonts w:ascii="Calibri" w:hAnsi="Calibri" w:eastAsia="Microsoft YaHei"/>
                <w:color w:val="0B2545"/>
                <w:sz w:val="14"/>
              </w:rPr>
              <w:t>Status of the JET LIDAR Thomson scattering diagnostic</w:t>
            </w:r>
          </w:p>
        </w:tc>
        <w:tc>
          <w:tcPr>
            <w:tcW w:type="dxa" w:w="2760"/>
          </w:tcPr>
          <w:p>
            <w:pPr>
              <w:keepLines/>
              <w:spacing w:after="0" w:line="276" w:lineRule="auto"/>
            </w:pPr>
            <w:r>
              <w:rPr>
                <w:rFonts w:ascii="Calibri" w:hAnsi="Calibri" w:eastAsia="Microsoft YaHei"/>
                <w:color w:val="0B2545"/>
                <w:sz w:val="14"/>
              </w:rPr>
              <w:t>原始论文 / 官方来源</w:t>
            </w:r>
          </w:p>
        </w:tc>
        <w:tc>
          <w:tcPr>
            <w:tcW w:type="dxa" w:w="2500"/>
          </w:tcPr>
          <w:p>
            <w:pPr>
              <w:keepLines/>
              <w:spacing w:after="0" w:line="276" w:lineRule="auto"/>
            </w:pPr>
            <w:hyperlink r:id="rId245">
              <w:r>
                <w:rPr>
                  <w:rFonts w:ascii="Calibri" w:hAnsi="Calibri" w:eastAsia="Microsoft YaHei"/>
                  <w:color w:val="008C95"/>
                  <w:u w:val="single"/>
                </w:rPr>
                <w:t>打开原始来源 ↗</w:t>
              </w:r>
            </w:hyperlink>
          </w:p>
        </w:tc>
      </w:tr>
      <w:tr>
        <w:trPr>
          <w:cantSplit/>
        </w:trPr>
        <w:tc>
          <w:tcPr>
            <w:tcW w:type="dxa" w:w="900"/>
          </w:tcPr>
          <w:p>
            <w:pPr>
              <w:keepLines/>
              <w:spacing w:after="0" w:line="276" w:lineRule="auto"/>
            </w:pPr>
            <w:r>
              <w:rPr>
                <w:rFonts w:ascii="Calibri" w:hAnsi="Calibri" w:eastAsia="Microsoft YaHei"/>
                <w:color w:val="0B2545"/>
                <w:sz w:val="14"/>
              </w:rPr>
              <w:t>2006</w:t>
            </w:r>
          </w:p>
        </w:tc>
        <w:tc>
          <w:tcPr>
            <w:tcW w:type="dxa" w:w="3200"/>
          </w:tcPr>
          <w:p>
            <w:pPr>
              <w:keepLines/>
              <w:spacing w:after="0" w:line="276" w:lineRule="auto"/>
            </w:pPr>
            <w:r>
              <w:rPr>
                <w:rFonts w:ascii="Calibri" w:hAnsi="Calibri" w:eastAsia="Microsoft YaHei"/>
                <w:color w:val="0B2545"/>
                <w:sz w:val="14"/>
              </w:rPr>
              <w:t>New diagnostic techniques and technologies at JET (invited)</w:t>
            </w:r>
          </w:p>
        </w:tc>
        <w:tc>
          <w:tcPr>
            <w:tcW w:type="dxa" w:w="2760"/>
          </w:tcPr>
          <w:p>
            <w:pPr>
              <w:keepLines/>
              <w:spacing w:after="0" w:line="276" w:lineRule="auto"/>
            </w:pPr>
            <w:r>
              <w:rPr>
                <w:rFonts w:ascii="Calibri" w:hAnsi="Calibri" w:eastAsia="Microsoft YaHei"/>
                <w:color w:val="0B2545"/>
                <w:sz w:val="14"/>
              </w:rPr>
              <w:t>Review of Scientific Instruments</w:t>
            </w:r>
          </w:p>
        </w:tc>
        <w:tc>
          <w:tcPr>
            <w:tcW w:type="dxa" w:w="2500"/>
          </w:tcPr>
          <w:p>
            <w:pPr>
              <w:keepLines/>
              <w:spacing w:after="0" w:line="276" w:lineRule="auto"/>
            </w:pPr>
            <w:hyperlink r:id="rId246">
              <w:r>
                <w:rPr>
                  <w:rFonts w:ascii="Calibri" w:hAnsi="Calibri" w:eastAsia="Microsoft YaHei"/>
                  <w:color w:val="008C95"/>
                  <w:u w:val="single"/>
                </w:rPr>
                <w:t>打开原始来源 ↗</w:t>
              </w:r>
            </w:hyperlink>
          </w:p>
        </w:tc>
      </w:tr>
      <w:tr>
        <w:trPr>
          <w:cantSplit/>
        </w:trPr>
        <w:tc>
          <w:tcPr>
            <w:tcW w:type="dxa" w:w="900"/>
          </w:tcPr>
          <w:p>
            <w:pPr>
              <w:keepLines/>
              <w:spacing w:after="0" w:line="276" w:lineRule="auto"/>
            </w:pPr>
            <w:r>
              <w:rPr>
                <w:rFonts w:ascii="Calibri" w:hAnsi="Calibri" w:eastAsia="Microsoft YaHei"/>
                <w:color w:val="0B2545"/>
                <w:sz w:val="14"/>
              </w:rPr>
              <w:t>2024</w:t>
            </w:r>
          </w:p>
        </w:tc>
        <w:tc>
          <w:tcPr>
            <w:tcW w:type="dxa" w:w="3200"/>
          </w:tcPr>
          <w:p>
            <w:pPr>
              <w:keepLines/>
              <w:spacing w:after="0" w:line="276" w:lineRule="auto"/>
            </w:pPr>
            <w:r>
              <w:rPr>
                <w:rFonts w:ascii="Calibri" w:hAnsi="Calibri" w:eastAsia="Microsoft YaHei"/>
                <w:color w:val="0B2545"/>
                <w:sz w:val="14"/>
              </w:rPr>
              <w:t>Deuterium density profile determination at JET using a neutron camera and a neutron spectrometer</w:t>
            </w:r>
          </w:p>
        </w:tc>
        <w:tc>
          <w:tcPr>
            <w:tcW w:type="dxa" w:w="2760"/>
          </w:tcPr>
          <w:p>
            <w:pPr>
              <w:keepLines/>
              <w:spacing w:after="0" w:line="276" w:lineRule="auto"/>
            </w:pPr>
            <w:r>
              <w:rPr>
                <w:rFonts w:ascii="Calibri" w:hAnsi="Calibri" w:eastAsia="Microsoft YaHei"/>
                <w:color w:val="0B2545"/>
                <w:sz w:val="14"/>
              </w:rPr>
              <w:t>原始论文 / 官方来源</w:t>
            </w:r>
          </w:p>
        </w:tc>
        <w:tc>
          <w:tcPr>
            <w:tcW w:type="dxa" w:w="2500"/>
          </w:tcPr>
          <w:p>
            <w:pPr>
              <w:keepLines/>
              <w:spacing w:after="0" w:line="276" w:lineRule="auto"/>
            </w:pPr>
            <w:hyperlink r:id="rId247">
              <w:r>
                <w:rPr>
                  <w:rFonts w:ascii="Calibri" w:hAnsi="Calibri" w:eastAsia="Microsoft YaHei"/>
                  <w:color w:val="008C95"/>
                  <w:u w:val="single"/>
                </w:rPr>
                <w:t>打开原始来源 ↗</w:t>
              </w:r>
            </w:hyperlink>
          </w:p>
        </w:tc>
      </w:tr>
      <w:tr>
        <w:trPr>
          <w:cantSplit/>
        </w:trPr>
        <w:tc>
          <w:tcPr>
            <w:tcW w:type="dxa" w:w="900"/>
          </w:tcPr>
          <w:p>
            <w:pPr>
              <w:keepLines/>
              <w:spacing w:after="0" w:line="276" w:lineRule="auto"/>
            </w:pPr>
            <w:r>
              <w:rPr>
                <w:rFonts w:ascii="Calibri" w:hAnsi="Calibri" w:eastAsia="Microsoft YaHei"/>
                <w:color w:val="0B2545"/>
                <w:sz w:val="14"/>
              </w:rPr>
              <w:t>软件</w:t>
            </w:r>
          </w:p>
        </w:tc>
        <w:tc>
          <w:tcPr>
            <w:tcW w:type="dxa" w:w="3200"/>
          </w:tcPr>
          <w:p>
            <w:pPr>
              <w:keepLines/>
              <w:spacing w:after="0" w:line="276" w:lineRule="auto"/>
            </w:pPr>
            <w:r>
              <w:rPr>
                <w:rFonts w:ascii="Calibri" w:hAnsi="Calibri" w:eastAsia="Microsoft YaHei"/>
                <w:color w:val="0B2545"/>
                <w:sz w:val="14"/>
              </w:rPr>
              <w:t>JET TRANSP MDSplus interface documentation</w:t>
            </w:r>
          </w:p>
        </w:tc>
        <w:tc>
          <w:tcPr>
            <w:tcW w:type="dxa" w:w="2760"/>
          </w:tcPr>
          <w:p>
            <w:pPr>
              <w:keepLines/>
              <w:spacing w:after="0" w:line="276" w:lineRule="auto"/>
            </w:pPr>
            <w:r>
              <w:rPr>
                <w:rFonts w:ascii="Calibri" w:hAnsi="Calibri" w:eastAsia="Microsoft YaHei"/>
                <w:color w:val="0B2545"/>
                <w:sz w:val="14"/>
              </w:rPr>
              <w:t>official-enabling / 说明 PPF/MDSplus/TRANSP 连接；不是完整 JET data release</w:t>
            </w:r>
          </w:p>
        </w:tc>
        <w:tc>
          <w:tcPr>
            <w:tcW w:type="dxa" w:w="2500"/>
          </w:tcPr>
          <w:p>
            <w:pPr>
              <w:keepLines/>
              <w:spacing w:after="0" w:line="276" w:lineRule="auto"/>
            </w:pPr>
            <w:hyperlink r:id="rId248">
              <w:r>
                <w:rPr>
                  <w:rFonts w:ascii="Calibri" w:hAnsi="Calibri" w:eastAsia="Microsoft YaHei"/>
                  <w:color w:val="008C95"/>
                  <w:u w:val="single"/>
                </w:rPr>
                <w:t>打开原始来源 ↗</w:t>
              </w:r>
            </w:hyperlink>
          </w:p>
        </w:tc>
      </w:tr>
      <w:tr>
        <w:trPr>
          <w:cantSplit/>
        </w:trPr>
        <w:tc>
          <w:tcPr>
            <w:tcW w:type="dxa" w:w="900"/>
          </w:tcPr>
          <w:p>
            <w:pPr>
              <w:keepLines/>
              <w:spacing w:after="0" w:line="276" w:lineRule="auto"/>
            </w:pPr>
            <w:r>
              <w:rPr>
                <w:rFonts w:ascii="Calibri" w:hAnsi="Calibri" w:eastAsia="Microsoft YaHei"/>
                <w:color w:val="0B2545"/>
                <w:sz w:val="14"/>
              </w:rPr>
              <w:t>软件</w:t>
            </w:r>
          </w:p>
        </w:tc>
        <w:tc>
          <w:tcPr>
            <w:tcW w:type="dxa" w:w="3200"/>
          </w:tcPr>
          <w:p>
            <w:pPr>
              <w:keepLines/>
              <w:spacing w:after="0" w:line="276" w:lineRule="auto"/>
            </w:pPr>
            <w:r>
              <w:rPr>
                <w:rFonts w:ascii="Calibri" w:hAnsi="Calibri" w:eastAsia="Microsoft YaHei"/>
                <w:color w:val="0B2545"/>
                <w:sz w:val="14"/>
              </w:rPr>
              <w:t>JET experimental data</w:t>
            </w:r>
          </w:p>
        </w:tc>
        <w:tc>
          <w:tcPr>
            <w:tcW w:type="dxa" w:w="2760"/>
          </w:tcPr>
          <w:p>
            <w:pPr>
              <w:keepLines/>
              <w:spacing w:after="0" w:line="276" w:lineRule="auto"/>
            </w:pPr>
            <w:r>
              <w:rPr>
                <w:rFonts w:ascii="Calibri" w:hAnsi="Calibri" w:eastAsia="Microsoft YaHei"/>
                <w:color w:val="0B2545"/>
                <w:sz w:val="14"/>
              </w:rPr>
              <w:t>controlled-access / 合作访问；不能视为匿名开放数据</w:t>
            </w:r>
          </w:p>
        </w:tc>
        <w:tc>
          <w:tcPr>
            <w:tcW w:type="dxa" w:w="2500"/>
          </w:tcPr>
          <w:p>
            <w:pPr>
              <w:keepLines/>
              <w:spacing w:after="0" w:line="276" w:lineRule="auto"/>
            </w:pPr>
            <w:hyperlink r:id="rId249">
              <w:r>
                <w:rPr>
                  <w:rFonts w:ascii="Calibri" w:hAnsi="Calibri" w:eastAsia="Microsoft YaHei"/>
                  <w:color w:val="008C95"/>
                  <w:u w:val="single"/>
                </w:rPr>
                <w:t>打开原始来源 ↗</w:t>
              </w:r>
            </w:hyperlink>
          </w:p>
        </w:tc>
      </w:tr>
    </w:tbl>
    <w:p>
      <w:pPr>
        <w:spacing w:before="0" w:after="60"/>
      </w:pPr>
    </w:p>
    <w:p>
      <w:pPr>
        <w:pStyle w:val="Heading2"/>
      </w:pPr>
      <w:r>
        <w:t>17.10  JT-60SA / JT-60U</w:t>
      </w:r>
    </w:p>
    <w:tbl>
      <w:tblPr>
        <w:tblStyle w:val="TableGrid"/>
        <w:tblW w:type="dxa" w:w="9360"/>
        <w:jc w:val="left"/>
        <w:tblLayout w:type="fixed"/>
        <w:tblLook w:firstColumn="1" w:firstRow="1" w:lastColumn="0" w:lastRow="0" w:noHBand="0" w:noVBand="1" w:val="04A0"/>
        <w:tblInd w:w="120" w:type="dxa"/>
      </w:tblPr>
      <w:tblGrid>
        <w:gridCol w:w="1100"/>
        <w:gridCol w:w="1100"/>
        <w:gridCol w:w="2400"/>
        <w:gridCol w:w="1900"/>
        <w:gridCol w:w="2860"/>
      </w:tblGrid>
      <w:tr>
        <w:trPr>
          <w:tblHeader w:val="true"/>
        </w:trPr>
        <w:tc>
          <w:tcPr>
            <w:tcW w:type="dxa" w:w="11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类型</w:t>
            </w:r>
          </w:p>
        </w:tc>
        <w:tc>
          <w:tcPr>
            <w:tcW w:type="dxa" w:w="11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国家/地区</w:t>
            </w:r>
          </w:p>
        </w:tc>
        <w:tc>
          <w:tcPr>
            <w:tcW w:type="dxa" w:w="24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运营方</w:t>
            </w:r>
          </w:p>
        </w:tc>
        <w:tc>
          <w:tcPr>
            <w:tcW w:type="dxa" w:w="19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状态</w:t>
            </w:r>
          </w:p>
        </w:tc>
        <w:tc>
          <w:tcPr>
            <w:tcW w:type="dxa" w:w="286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覆盖任务</w:t>
            </w:r>
          </w:p>
        </w:tc>
      </w:tr>
      <w:tr>
        <w:trPr>
          <w:cantSplit/>
        </w:trPr>
        <w:tc>
          <w:tcPr>
            <w:tcW w:type="dxa" w:w="1100"/>
          </w:tcPr>
          <w:p>
            <w:pPr>
              <w:keepLines/>
              <w:spacing w:after="0" w:line="276" w:lineRule="auto"/>
            </w:pPr>
            <w:r>
              <w:rPr>
                <w:rFonts w:ascii="Calibri" w:hAnsi="Calibri" w:eastAsia="Microsoft YaHei"/>
                <w:color w:val="0B2545"/>
                <w:sz w:val="15"/>
              </w:rPr>
              <w:t>大型超导托卡马克 / 历史前身</w:t>
            </w:r>
          </w:p>
        </w:tc>
        <w:tc>
          <w:tcPr>
            <w:tcW w:type="dxa" w:w="1100"/>
          </w:tcPr>
          <w:p>
            <w:pPr>
              <w:keepLines/>
              <w:spacing w:after="0" w:line="276" w:lineRule="auto"/>
            </w:pPr>
            <w:r>
              <w:rPr>
                <w:rFonts w:ascii="Calibri" w:hAnsi="Calibri" w:eastAsia="Microsoft YaHei"/>
                <w:color w:val="0B2545"/>
                <w:sz w:val="15"/>
              </w:rPr>
              <w:t>日本 / 欧洲</w:t>
            </w:r>
          </w:p>
        </w:tc>
        <w:tc>
          <w:tcPr>
            <w:tcW w:type="dxa" w:w="2400"/>
          </w:tcPr>
          <w:p>
            <w:pPr>
              <w:keepLines/>
              <w:spacing w:after="0" w:line="276" w:lineRule="auto"/>
            </w:pPr>
            <w:r>
              <w:rPr>
                <w:rFonts w:ascii="Calibri" w:hAnsi="Calibri" w:eastAsia="Microsoft YaHei"/>
                <w:color w:val="0B2545"/>
                <w:sz w:val="15"/>
              </w:rPr>
              <w:t>QST / Fusion for Energy</w:t>
            </w:r>
          </w:p>
        </w:tc>
        <w:tc>
          <w:tcPr>
            <w:tcW w:type="dxa" w:w="1900"/>
          </w:tcPr>
          <w:p>
            <w:pPr>
              <w:keepLines/>
              <w:spacing w:after="0" w:line="276" w:lineRule="auto"/>
            </w:pPr>
            <w:r>
              <w:rPr>
                <w:rFonts w:ascii="Calibri" w:hAnsi="Calibri" w:eastAsia="Microsoft YaHei"/>
                <w:color w:val="0B2545"/>
                <w:sz w:val="15"/>
              </w:rPr>
              <w:t>JT-60SA 完成首等离子体后处于维护增强和后续运行准备；JT-60U 为历史数据来源</w:t>
            </w:r>
          </w:p>
        </w:tc>
        <w:tc>
          <w:tcPr>
            <w:tcW w:type="dxa" w:w="2860"/>
          </w:tcPr>
          <w:p>
            <w:pPr>
              <w:keepLines/>
              <w:spacing w:after="0" w:line="276" w:lineRule="auto"/>
            </w:pPr>
            <w:r>
              <w:rPr>
                <w:rFonts w:ascii="Calibri" w:hAnsi="Calibri" w:eastAsia="Microsoft YaHei"/>
                <w:color w:val="0B2545"/>
                <w:sz w:val="15"/>
              </w:rPr>
              <w:t>DG0；DG1；DG2；DG3；DG4；DG5；DG6；DG7；DG11</w:t>
            </w:r>
          </w:p>
        </w:tc>
      </w:tr>
    </w:tbl>
    <w:p>
      <w:pPr>
        <w:spacing w:before="0" w:after="60"/>
      </w:pPr>
    </w:p>
    <w:p>
      <w:pPr>
        <w:widowControl/>
      </w:pPr>
      <w:r>
        <w:rPr>
          <w:rFonts w:ascii="Calibri" w:hAnsi="Calibri" w:eastAsia="Microsoft YaHei"/>
          <w:b/>
          <w:color w:val="1F4D78"/>
        </w:rPr>
        <w:t>诊断概况：</w:t>
      </w:r>
      <w:r>
        <w:rPr>
          <w:rFonts w:ascii="Calibri" w:hAnsi="Calibri" w:eastAsia="Microsoft YaHei"/>
        </w:rPr>
        <w:t>JT-60SA 研究计划把磁、Thomson、ECE、干涉/偏振、CXRS、MSE、反射计、SXR/bolometer、光谱、中子/快离子和偏滤器诊断分阶段部署；JT-60U 的 MSE、ECE、快离子、中子与剖面数据提供方法继承。当前必须区分规划清单、已安装 commissioning 与 JT-60U 历史能力。</w:t>
      </w:r>
    </w:p>
    <w:p>
      <w:pPr>
        <w:widowControl/>
      </w:pPr>
      <w:r>
        <w:rPr>
          <w:rFonts w:ascii="Calibri" w:hAnsi="Calibri" w:eastAsia="Microsoft YaHei"/>
          <w:b/>
          <w:color w:val="1F4D78"/>
        </w:rPr>
        <w:t>主要系统：</w:t>
      </w:r>
      <w:r>
        <w:rPr>
          <w:rFonts w:ascii="Calibri" w:hAnsi="Calibri" w:eastAsia="Microsoft YaHei"/>
        </w:rPr>
        <w:t>family: planned-core；systems: magnetics；interferometry/polarimetry；Thomson；ECE；MSE/CXRS；reflectometry；measuredQuantities: equilibrium；ne/Te；q；Ti/rotation；turbulence；evidence: JT-60SA E1-E3/D1-D3; JT-60U historical E4；realTimeUse: 计划接入 plasma control/monitoring；family: radiation-particle-edge；systems: SXR/bolometer；spectroscopy；neutron/fast-ion diagnostics；IR/visible/divertor probes；measuredQuantities: radiation/impurity；fusion products；edge/PFC；evidence: 分阶段规划与部分 commissioning；realTimeUse: 按运行阶段逐步启用</w:t>
      </w:r>
    </w:p>
    <w:p>
      <w:pPr>
        <w:widowControl/>
      </w:pPr>
      <w:r>
        <w:rPr>
          <w:rFonts w:ascii="Calibri" w:hAnsi="Calibri" w:eastAsia="Microsoft YaHei"/>
          <w:b/>
          <w:color w:val="1F4D78"/>
        </w:rPr>
        <w:t>测量/传感：</w:t>
      </w:r>
      <w:r>
        <w:rPr>
          <w:rFonts w:ascii="Calibri" w:hAnsi="Calibri" w:eastAsia="Microsoft YaHei"/>
        </w:rPr>
        <w:t>magnetic coils；laser/microwave diagnostics；spectrometers；neutron/particle detectors；IR/visible cameras；edge probes</w:t>
      </w:r>
    </w:p>
    <w:p>
      <w:pPr>
        <w:widowControl/>
      </w:pPr>
      <w:r>
        <w:rPr>
          <w:rFonts w:ascii="Calibri" w:hAnsi="Calibri" w:eastAsia="Microsoft YaHei"/>
          <w:b/>
          <w:color w:val="1F4D78"/>
        </w:rPr>
        <w:t>实时与 PCS 接口：</w:t>
      </w:r>
      <w:r>
        <w:rPr>
          <w:rFonts w:ascii="Calibri" w:hAnsi="Calibri" w:eastAsia="Microsoft YaHei"/>
        </w:rPr>
        <w:t>JT-60SA central control and real-time plasma control；central timing/data acquisition；interlock and diagnostic status</w:t>
      </w:r>
    </w:p>
    <w:p>
      <w:pPr>
        <w:widowControl/>
      </w:pPr>
      <w:r>
        <w:rPr>
          <w:rFonts w:ascii="Calibri" w:hAnsi="Calibri" w:eastAsia="Microsoft YaHei"/>
          <w:b/>
          <w:color w:val="1F4D78"/>
        </w:rPr>
        <w:t>数据平台：</w:t>
      </w:r>
      <w:r>
        <w:rPr>
          <w:rFonts w:ascii="Calibri" w:hAnsi="Calibri" w:eastAsia="Microsoft YaHei"/>
        </w:rPr>
        <w:t>systems: JT-60SA central data system；JT-60U/JT-60 data archive；access: experiment-team/collaboration; Research Plan public；evidence: QST/JT-60SA official plans and calls</w:t>
      </w:r>
    </w:p>
    <w:p>
      <w:pPr>
        <w:widowControl/>
      </w:pPr>
      <w:r>
        <w:rPr>
          <w:rFonts w:ascii="Calibri" w:hAnsi="Calibri" w:eastAsia="Microsoft YaHei"/>
          <w:b/>
          <w:color w:val="1F4D78"/>
        </w:rPr>
        <w:t>代表工作概述：</w:t>
      </w:r>
      <w:r>
        <w:rPr>
          <w:rFonts w:ascii="Calibri" w:hAnsi="Calibri" w:eastAsia="Microsoft YaHei"/>
        </w:rPr>
        <w:t>JT-60SA Research Plan 的分阶段诊断矩阵；首等离子体磁/成像/基础剖面链；JT-60U MSE/ECE/fast-ion legacy；Doppler reflectometry 可行性设计</w:t>
      </w:r>
    </w:p>
    <w:p>
      <w:pPr>
        <w:widowControl/>
      </w:pPr>
      <w:r>
        <w:rPr>
          <w:rFonts w:ascii="Calibri" w:hAnsi="Calibri" w:eastAsia="Microsoft YaHei"/>
          <w:b/>
          <w:color w:val="1F4D78"/>
        </w:rPr>
        <w:t>证据边界：</w:t>
      </w:r>
      <w:r>
        <w:rPr>
          <w:rFonts w:ascii="Calibri" w:hAnsi="Calibri" w:eastAsia="Microsoft YaHei"/>
        </w:rPr>
        <w:t>规划清单不能标为已运行；JT-60U 几何、壁与硬件经验不能无条件迁移；JT-60SA 装置状态和 diagnostic commissioning 必须按 campaign 更新</w:t>
      </w:r>
    </w:p>
    <w:tbl>
      <w:tblPr>
        <w:tblStyle w:val="TableGrid"/>
        <w:tblW w:type="dxa" w:w="9360"/>
        <w:jc w:val="left"/>
        <w:tblLayout w:type="fixed"/>
        <w:tblLook w:firstColumn="1" w:firstRow="1" w:lastColumn="0" w:lastRow="0" w:noHBand="0" w:noVBand="1" w:val="04A0"/>
        <w:tblInd w:w="120" w:type="dxa"/>
      </w:tblPr>
      <w:tblGrid>
        <w:gridCol w:w="1200"/>
        <w:gridCol w:w="750"/>
        <w:gridCol w:w="5300"/>
        <w:gridCol w:w="950"/>
        <w:gridCol w:w="1160"/>
      </w:tblGrid>
      <w:tr>
        <w:trPr>
          <w:tblHeader w:val="true"/>
        </w:trPr>
        <w:tc>
          <w:tcPr>
            <w:tcW w:type="dxa" w:w="12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工作 ID</w:t>
            </w:r>
          </w:p>
        </w:tc>
        <w:tc>
          <w:tcPr>
            <w:tcW w:type="dxa" w:w="7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任务</w:t>
            </w:r>
          </w:p>
        </w:tc>
        <w:tc>
          <w:tcPr>
            <w:tcW w:type="dxa" w:w="53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代表工作</w:t>
            </w:r>
          </w:p>
        </w:tc>
        <w:tc>
          <w:tcPr>
            <w:tcW w:type="dxa" w:w="9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证据</w:t>
            </w:r>
          </w:p>
        </w:tc>
        <w:tc>
          <w:tcPr>
            <w:tcW w:type="dxa" w:w="116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部署</w:t>
            </w:r>
          </w:p>
        </w:tc>
      </w:tr>
      <w:tr>
        <w:trPr>
          <w:cantSplit/>
        </w:trPr>
        <w:tc>
          <w:tcPr>
            <w:tcW w:type="dxa" w:w="1200"/>
          </w:tcPr>
          <w:p>
            <w:pPr>
              <w:keepLines/>
              <w:spacing w:after="0" w:line="276" w:lineRule="auto"/>
            </w:pPr>
            <w:r>
              <w:rPr>
                <w:rFonts w:ascii="Calibri" w:hAnsi="Calibri" w:eastAsia="Microsoft YaHei"/>
                <w:color w:val="0B2545"/>
                <w:sz w:val="15"/>
              </w:rPr>
              <w:t>PDT-002</w:t>
            </w:r>
          </w:p>
        </w:tc>
        <w:tc>
          <w:tcPr>
            <w:tcW w:type="dxa" w:w="750"/>
          </w:tcPr>
          <w:p>
            <w:pPr>
              <w:keepLines/>
              <w:spacing w:after="0" w:line="276" w:lineRule="auto"/>
            </w:pPr>
            <w:r>
              <w:rPr>
                <w:rFonts w:ascii="Calibri" w:hAnsi="Calibri" w:eastAsia="Microsoft YaHei"/>
                <w:color w:val="0B2545"/>
                <w:sz w:val="15"/>
              </w:rPr>
              <w:t>DG8</w:t>
            </w:r>
          </w:p>
        </w:tc>
        <w:tc>
          <w:tcPr>
            <w:tcW w:type="dxa" w:w="5300"/>
          </w:tcPr>
          <w:p>
            <w:pPr>
              <w:keepLines/>
              <w:spacing w:after="0" w:line="276" w:lineRule="auto"/>
            </w:pPr>
            <w:r>
              <w:rPr>
                <w:rFonts w:ascii="Calibri" w:hAnsi="Calibri" w:eastAsia="Microsoft YaHei"/>
                <w:color w:val="0B2545"/>
                <w:sz w:val="15"/>
              </w:rPr>
              <w:t>JT-60SA 磁体—低温联合状态监测与失超保护调试</w:t>
            </w:r>
          </w:p>
        </w:tc>
        <w:tc>
          <w:tcPr>
            <w:tcW w:type="dxa" w:w="950"/>
          </w:tcPr>
          <w:p>
            <w:pPr>
              <w:keepLines/>
              <w:spacing w:after="0" w:line="276" w:lineRule="auto"/>
            </w:pPr>
            <w:r>
              <w:rPr>
                <w:rFonts w:ascii="Calibri" w:hAnsi="Calibri" w:eastAsia="Microsoft YaHei"/>
                <w:color w:val="0B2545"/>
                <w:sz w:val="15"/>
              </w:rPr>
              <w:t>E3</w:t>
            </w:r>
          </w:p>
        </w:tc>
        <w:tc>
          <w:tcPr>
            <w:tcW w:type="dxa" w:w="1160"/>
          </w:tcPr>
          <w:p>
            <w:pPr>
              <w:keepLines/>
              <w:spacing w:after="0" w:line="276" w:lineRule="auto"/>
            </w:pPr>
            <w:r>
              <w:rPr>
                <w:rFonts w:ascii="Calibri" w:hAnsi="Calibri" w:eastAsia="Microsoft YaHei"/>
                <w:color w:val="0B2545"/>
                <w:sz w:val="15"/>
              </w:rPr>
              <w:t>D3</w:t>
            </w:r>
          </w:p>
        </w:tc>
      </w:tr>
      <w:tr>
        <w:trPr>
          <w:cantSplit/>
        </w:trPr>
        <w:tc>
          <w:tcPr>
            <w:tcW w:type="dxa" w:w="1200"/>
          </w:tcPr>
          <w:p>
            <w:pPr>
              <w:keepLines/>
              <w:spacing w:after="0" w:line="276" w:lineRule="auto"/>
            </w:pPr>
            <w:r>
              <w:rPr>
                <w:rFonts w:ascii="Calibri" w:hAnsi="Calibri" w:eastAsia="Microsoft YaHei"/>
                <w:color w:val="0B2545"/>
                <w:sz w:val="15"/>
              </w:rPr>
              <w:t>DSI-012</w:t>
            </w:r>
          </w:p>
        </w:tc>
        <w:tc>
          <w:tcPr>
            <w:tcW w:type="dxa" w:w="750"/>
          </w:tcPr>
          <w:p>
            <w:pPr>
              <w:keepLines/>
              <w:spacing w:after="0" w:line="276" w:lineRule="auto"/>
            </w:pPr>
            <w:r>
              <w:rPr>
                <w:rFonts w:ascii="Calibri" w:hAnsi="Calibri" w:eastAsia="Microsoft YaHei"/>
                <w:color w:val="0B2545"/>
                <w:sz w:val="15"/>
              </w:rPr>
              <w:t>DG9</w:t>
            </w:r>
          </w:p>
        </w:tc>
        <w:tc>
          <w:tcPr>
            <w:tcW w:type="dxa" w:w="5300"/>
          </w:tcPr>
          <w:p>
            <w:pPr>
              <w:keepLines/>
              <w:spacing w:after="0" w:line="276" w:lineRule="auto"/>
            </w:pPr>
            <w:r>
              <w:rPr>
                <w:rFonts w:ascii="Calibri" w:hAnsi="Calibri" w:eastAsia="Microsoft YaHei"/>
                <w:color w:val="0B2545"/>
                <w:sz w:val="15"/>
              </w:rPr>
              <w:t>SOFT 逃逸电子同步辐射合成诊断</w:t>
            </w:r>
          </w:p>
        </w:tc>
        <w:tc>
          <w:tcPr>
            <w:tcW w:type="dxa" w:w="950"/>
          </w:tcPr>
          <w:p>
            <w:pPr>
              <w:keepLines/>
              <w:spacing w:after="0" w:line="276" w:lineRule="auto"/>
            </w:pPr>
            <w:r>
              <w:rPr>
                <w:rFonts w:ascii="Calibri" w:hAnsi="Calibri" w:eastAsia="Microsoft YaHei"/>
                <w:color w:val="0B2545"/>
                <w:sz w:val="15"/>
              </w:rPr>
              <w:t>E3</w:t>
            </w:r>
          </w:p>
        </w:tc>
        <w:tc>
          <w:tcPr>
            <w:tcW w:type="dxa" w:w="1160"/>
          </w:tcPr>
          <w:p>
            <w:pPr>
              <w:keepLines/>
              <w:spacing w:after="0" w:line="276" w:lineRule="auto"/>
            </w:pPr>
            <w:r>
              <w:rPr>
                <w:rFonts w:ascii="Calibri" w:hAnsi="Calibri" w:eastAsia="Microsoft YaHei"/>
                <w:color w:val="0B2545"/>
                <w:sz w:val="15"/>
              </w:rPr>
              <w:t>D2</w:t>
            </w:r>
          </w:p>
        </w:tc>
      </w:tr>
    </w:tbl>
    <w:p>
      <w:pPr>
        <w:spacing w:before="0" w:after="60"/>
      </w:pPr>
    </w:p>
    <w:tbl>
      <w:tblPr>
        <w:tblStyle w:val="TableGrid"/>
        <w:tblW w:type="dxa" w:w="9360"/>
        <w:jc w:val="left"/>
        <w:tblLayout w:type="fixed"/>
        <w:tblLook w:firstColumn="1" w:firstRow="1" w:lastColumn="0" w:lastRow="0" w:noHBand="0" w:noVBand="1" w:val="04A0"/>
        <w:tblInd w:w="120" w:type="dxa"/>
      </w:tblPr>
      <w:tblGrid>
        <w:gridCol w:w="900"/>
        <w:gridCol w:w="3200"/>
        <w:gridCol w:w="2760"/>
        <w:gridCol w:w="2500"/>
      </w:tblGrid>
      <w:tr>
        <w:trPr>
          <w:tblHeader w:val="true"/>
        </w:trPr>
        <w:tc>
          <w:tcPr>
            <w:tcW w:type="dxa" w:w="9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年份/类型</w:t>
            </w:r>
          </w:p>
        </w:tc>
        <w:tc>
          <w:tcPr>
            <w:tcW w:type="dxa" w:w="32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论文或软件</w:t>
            </w:r>
          </w:p>
        </w:tc>
        <w:tc>
          <w:tcPr>
            <w:tcW w:type="dxa" w:w="276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来源/关系</w:t>
            </w:r>
          </w:p>
        </w:tc>
        <w:tc>
          <w:tcPr>
            <w:tcW w:type="dxa" w:w="25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链接</w:t>
            </w:r>
          </w:p>
        </w:tc>
      </w:tr>
      <w:tr>
        <w:trPr>
          <w:cantSplit/>
        </w:trPr>
        <w:tc>
          <w:tcPr>
            <w:tcW w:type="dxa" w:w="900"/>
          </w:tcPr>
          <w:p>
            <w:pPr>
              <w:keepLines/>
              <w:spacing w:after="0" w:line="276" w:lineRule="auto"/>
            </w:pPr>
            <w:r>
              <w:rPr>
                <w:rFonts w:ascii="Calibri" w:hAnsi="Calibri" w:eastAsia="Microsoft YaHei"/>
                <w:color w:val="0B2545"/>
                <w:sz w:val="14"/>
              </w:rPr>
              <w:t>2018</w:t>
            </w:r>
          </w:p>
        </w:tc>
        <w:tc>
          <w:tcPr>
            <w:tcW w:type="dxa" w:w="3200"/>
          </w:tcPr>
          <w:p>
            <w:pPr>
              <w:keepLines/>
              <w:spacing w:after="0" w:line="276" w:lineRule="auto"/>
            </w:pPr>
            <w:r>
              <w:rPr>
                <w:rFonts w:ascii="Calibri" w:hAnsi="Calibri" w:eastAsia="Microsoft YaHei"/>
                <w:color w:val="0B2545"/>
                <w:sz w:val="14"/>
              </w:rPr>
              <w:t>JT-60SA Research Plan, Version 4.0</w:t>
            </w:r>
          </w:p>
        </w:tc>
        <w:tc>
          <w:tcPr>
            <w:tcW w:type="dxa" w:w="2760"/>
          </w:tcPr>
          <w:p>
            <w:pPr>
              <w:keepLines/>
              <w:spacing w:after="0" w:line="276" w:lineRule="auto"/>
            </w:pPr>
            <w:r>
              <w:rPr>
                <w:rFonts w:ascii="Calibri" w:hAnsi="Calibri" w:eastAsia="Microsoft YaHei"/>
                <w:color w:val="0B2545"/>
                <w:sz w:val="14"/>
              </w:rPr>
              <w:t>原始论文 / 官方来源</w:t>
            </w:r>
          </w:p>
        </w:tc>
        <w:tc>
          <w:tcPr>
            <w:tcW w:type="dxa" w:w="2500"/>
          </w:tcPr>
          <w:p>
            <w:pPr>
              <w:keepLines/>
              <w:spacing w:after="0" w:line="276" w:lineRule="auto"/>
            </w:pPr>
            <w:hyperlink r:id="rId250">
              <w:r>
                <w:rPr>
                  <w:rFonts w:ascii="Calibri" w:hAnsi="Calibri" w:eastAsia="Microsoft YaHei"/>
                  <w:color w:val="008C95"/>
                  <w:u w:val="single"/>
                </w:rPr>
                <w:t>打开原始来源 ↗</w:t>
              </w:r>
            </w:hyperlink>
          </w:p>
        </w:tc>
      </w:tr>
      <w:tr>
        <w:trPr>
          <w:cantSplit/>
        </w:trPr>
        <w:tc>
          <w:tcPr>
            <w:tcW w:type="dxa" w:w="900"/>
          </w:tcPr>
          <w:p>
            <w:pPr>
              <w:keepLines/>
              <w:spacing w:after="0" w:line="276" w:lineRule="auto"/>
            </w:pPr>
            <w:r>
              <w:rPr>
                <w:rFonts w:ascii="Calibri" w:hAnsi="Calibri" w:eastAsia="Microsoft YaHei"/>
                <w:color w:val="0B2545"/>
                <w:sz w:val="14"/>
              </w:rPr>
              <w:t>2026</w:t>
            </w:r>
          </w:p>
        </w:tc>
        <w:tc>
          <w:tcPr>
            <w:tcW w:type="dxa" w:w="3200"/>
          </w:tcPr>
          <w:p>
            <w:pPr>
              <w:keepLines/>
              <w:spacing w:after="0" w:line="276" w:lineRule="auto"/>
            </w:pPr>
            <w:r>
              <w:rPr>
                <w:rFonts w:ascii="Calibri" w:hAnsi="Calibri" w:eastAsia="Microsoft YaHei"/>
                <w:color w:val="0B2545"/>
                <w:sz w:val="14"/>
              </w:rPr>
              <w:t>A feasibility study for a Doppler Reflectometer System in the JT-60SA tokamak</w:t>
            </w:r>
          </w:p>
        </w:tc>
        <w:tc>
          <w:tcPr>
            <w:tcW w:type="dxa" w:w="2760"/>
          </w:tcPr>
          <w:p>
            <w:pPr>
              <w:keepLines/>
              <w:spacing w:after="0" w:line="276" w:lineRule="auto"/>
            </w:pPr>
            <w:r>
              <w:rPr>
                <w:rFonts w:ascii="Calibri" w:hAnsi="Calibri" w:eastAsia="Microsoft YaHei"/>
                <w:color w:val="0B2545"/>
                <w:sz w:val="14"/>
              </w:rPr>
              <w:t>原始论文 / 官方来源</w:t>
            </w:r>
          </w:p>
        </w:tc>
        <w:tc>
          <w:tcPr>
            <w:tcW w:type="dxa" w:w="2500"/>
          </w:tcPr>
          <w:p>
            <w:pPr>
              <w:keepLines/>
              <w:spacing w:after="0" w:line="276" w:lineRule="auto"/>
            </w:pPr>
            <w:hyperlink r:id="rId251">
              <w:r>
                <w:rPr>
                  <w:rFonts w:ascii="Calibri" w:hAnsi="Calibri" w:eastAsia="Microsoft YaHei"/>
                  <w:color w:val="008C95"/>
                  <w:u w:val="single"/>
                </w:rPr>
                <w:t>打开原始来源 ↗</w:t>
              </w:r>
            </w:hyperlink>
          </w:p>
        </w:tc>
      </w:tr>
      <w:tr>
        <w:trPr>
          <w:cantSplit/>
        </w:trPr>
        <w:tc>
          <w:tcPr>
            <w:tcW w:type="dxa" w:w="900"/>
          </w:tcPr>
          <w:p>
            <w:pPr>
              <w:keepLines/>
              <w:spacing w:after="0" w:line="276" w:lineRule="auto"/>
            </w:pPr>
            <w:r>
              <w:rPr>
                <w:rFonts w:ascii="Calibri" w:hAnsi="Calibri" w:eastAsia="Microsoft YaHei"/>
                <w:color w:val="0B2545"/>
                <w:sz w:val="14"/>
              </w:rPr>
              <w:t>2026</w:t>
            </w:r>
          </w:p>
        </w:tc>
        <w:tc>
          <w:tcPr>
            <w:tcW w:type="dxa" w:w="3200"/>
          </w:tcPr>
          <w:p>
            <w:pPr>
              <w:keepLines/>
              <w:spacing w:after="0" w:line="276" w:lineRule="auto"/>
            </w:pPr>
            <w:r>
              <w:rPr>
                <w:rFonts w:ascii="Calibri" w:hAnsi="Calibri" w:eastAsia="Microsoft YaHei"/>
                <w:color w:val="0B2545"/>
                <w:sz w:val="14"/>
              </w:rPr>
              <w:t>JT-60SA Experiment Team call: IC-OP1 analyses and activity towards operations 2, 3</w:t>
            </w:r>
          </w:p>
        </w:tc>
        <w:tc>
          <w:tcPr>
            <w:tcW w:type="dxa" w:w="2760"/>
          </w:tcPr>
          <w:p>
            <w:pPr>
              <w:keepLines/>
              <w:spacing w:after="0" w:line="276" w:lineRule="auto"/>
            </w:pPr>
            <w:r>
              <w:rPr>
                <w:rFonts w:ascii="Calibri" w:hAnsi="Calibri" w:eastAsia="Microsoft YaHei"/>
                <w:color w:val="0B2545"/>
                <w:sz w:val="14"/>
              </w:rPr>
              <w:t>原始论文 / 官方来源</w:t>
            </w:r>
          </w:p>
        </w:tc>
        <w:tc>
          <w:tcPr>
            <w:tcW w:type="dxa" w:w="2500"/>
          </w:tcPr>
          <w:p>
            <w:pPr>
              <w:keepLines/>
              <w:spacing w:after="0" w:line="276" w:lineRule="auto"/>
            </w:pPr>
            <w:hyperlink r:id="rId252">
              <w:r>
                <w:rPr>
                  <w:rFonts w:ascii="Calibri" w:hAnsi="Calibri" w:eastAsia="Microsoft YaHei"/>
                  <w:color w:val="008C95"/>
                  <w:u w:val="single"/>
                </w:rPr>
                <w:t>打开原始来源 ↗</w:t>
              </w:r>
            </w:hyperlink>
          </w:p>
        </w:tc>
      </w:tr>
      <w:tr>
        <w:trPr>
          <w:cantSplit/>
        </w:trPr>
        <w:tc>
          <w:tcPr>
            <w:tcW w:type="dxa" w:w="900"/>
          </w:tcPr>
          <w:p>
            <w:pPr>
              <w:keepLines/>
              <w:spacing w:after="0" w:line="276" w:lineRule="auto"/>
            </w:pPr>
            <w:r>
              <w:rPr>
                <w:rFonts w:ascii="Calibri" w:hAnsi="Calibri" w:eastAsia="Microsoft YaHei"/>
                <w:color w:val="0B2545"/>
                <w:sz w:val="14"/>
              </w:rPr>
              <w:t>软件</w:t>
            </w:r>
          </w:p>
        </w:tc>
        <w:tc>
          <w:tcPr>
            <w:tcW w:type="dxa" w:w="3200"/>
          </w:tcPr>
          <w:p>
            <w:pPr>
              <w:keepLines/>
              <w:spacing w:after="0" w:line="276" w:lineRule="auto"/>
            </w:pPr>
            <w:r>
              <w:rPr>
                <w:rFonts w:ascii="Calibri" w:hAnsi="Calibri" w:eastAsia="Microsoft YaHei"/>
                <w:color w:val="0B2545"/>
                <w:sz w:val="14"/>
              </w:rPr>
              <w:t>JT-60SA/JT-60U diagnostic data</w:t>
            </w:r>
          </w:p>
        </w:tc>
        <w:tc>
          <w:tcPr>
            <w:tcW w:type="dxa" w:w="2760"/>
          </w:tcPr>
          <w:p>
            <w:pPr>
              <w:keepLines/>
              <w:spacing w:after="0" w:line="276" w:lineRule="auto"/>
            </w:pPr>
            <w:r>
              <w:rPr>
                <w:rFonts w:ascii="Calibri" w:hAnsi="Calibri" w:eastAsia="Microsoft YaHei"/>
                <w:color w:val="0B2545"/>
                <w:sz w:val="14"/>
              </w:rPr>
              <w:t>not-public / 运行主页不是数据 API；未发现全量匿名公共 shot API</w:t>
            </w:r>
          </w:p>
        </w:tc>
        <w:tc>
          <w:tcPr>
            <w:tcW w:type="dxa" w:w="2500"/>
          </w:tcPr>
          <w:p>
            <w:pPr>
              <w:keepLines/>
              <w:spacing w:after="0" w:line="276" w:lineRule="auto"/>
            </w:pPr>
            <w:r>
              <w:rPr>
                <w:rFonts w:ascii="Calibri" w:hAnsi="Calibri" w:eastAsia="Microsoft YaHei"/>
                <w:color w:val="0B2545"/>
                <w:sz w:val="14"/>
              </w:rPr>
              <w:t>未公开</w:t>
            </w:r>
          </w:p>
        </w:tc>
      </w:tr>
      <w:tr>
        <w:trPr>
          <w:cantSplit/>
        </w:trPr>
        <w:tc>
          <w:tcPr>
            <w:tcW w:type="dxa" w:w="900"/>
          </w:tcPr>
          <w:p>
            <w:pPr>
              <w:keepLines/>
              <w:spacing w:after="0" w:line="276" w:lineRule="auto"/>
            </w:pPr>
            <w:r>
              <w:rPr>
                <w:rFonts w:ascii="Calibri" w:hAnsi="Calibri" w:eastAsia="Microsoft YaHei"/>
                <w:color w:val="0B2545"/>
                <w:sz w:val="14"/>
              </w:rPr>
              <w:t>软件</w:t>
            </w:r>
          </w:p>
        </w:tc>
        <w:tc>
          <w:tcPr>
            <w:tcW w:type="dxa" w:w="3200"/>
          </w:tcPr>
          <w:p>
            <w:pPr>
              <w:keepLines/>
              <w:spacing w:after="0" w:line="276" w:lineRule="auto"/>
            </w:pPr>
            <w:r>
              <w:rPr>
                <w:rFonts w:ascii="Calibri" w:hAnsi="Calibri" w:eastAsia="Microsoft YaHei"/>
                <w:color w:val="0B2545"/>
                <w:sz w:val="14"/>
              </w:rPr>
              <w:t>JT-60SA diagnostic production code</w:t>
            </w:r>
          </w:p>
        </w:tc>
        <w:tc>
          <w:tcPr>
            <w:tcW w:type="dxa" w:w="2760"/>
          </w:tcPr>
          <w:p>
            <w:pPr>
              <w:keepLines/>
              <w:spacing w:after="0" w:line="276" w:lineRule="auto"/>
            </w:pPr>
            <w:r>
              <w:rPr>
                <w:rFonts w:ascii="Calibri" w:hAnsi="Calibri" w:eastAsia="Microsoft YaHei"/>
                <w:color w:val="0B2545"/>
                <w:sz w:val="14"/>
              </w:rPr>
              <w:t>not-public / 研究计划公开，生产实现未公开</w:t>
            </w:r>
          </w:p>
        </w:tc>
        <w:tc>
          <w:tcPr>
            <w:tcW w:type="dxa" w:w="2500"/>
          </w:tcPr>
          <w:p>
            <w:pPr>
              <w:keepLines/>
              <w:spacing w:after="0" w:line="276" w:lineRule="auto"/>
            </w:pPr>
            <w:r>
              <w:rPr>
                <w:rFonts w:ascii="Calibri" w:hAnsi="Calibri" w:eastAsia="Microsoft YaHei"/>
                <w:color w:val="0B2545"/>
                <w:sz w:val="14"/>
              </w:rPr>
              <w:t>未公开</w:t>
            </w:r>
          </w:p>
        </w:tc>
      </w:tr>
    </w:tbl>
    <w:p>
      <w:pPr>
        <w:spacing w:before="0" w:after="60"/>
      </w:pPr>
    </w:p>
    <w:p>
      <w:pPr>
        <w:pStyle w:val="Heading2"/>
      </w:pPr>
      <w:r>
        <w:t>17.11  KSTAR</w:t>
      </w:r>
    </w:p>
    <w:tbl>
      <w:tblPr>
        <w:tblStyle w:val="TableGrid"/>
        <w:tblW w:type="dxa" w:w="9360"/>
        <w:jc w:val="left"/>
        <w:tblLayout w:type="fixed"/>
        <w:tblLook w:firstColumn="1" w:firstRow="1" w:lastColumn="0" w:lastRow="0" w:noHBand="0" w:noVBand="1" w:val="04A0"/>
        <w:tblInd w:w="120" w:type="dxa"/>
      </w:tblPr>
      <w:tblGrid>
        <w:gridCol w:w="1100"/>
        <w:gridCol w:w="1100"/>
        <w:gridCol w:w="2400"/>
        <w:gridCol w:w="1900"/>
        <w:gridCol w:w="2860"/>
      </w:tblGrid>
      <w:tr>
        <w:trPr>
          <w:tblHeader w:val="true"/>
        </w:trPr>
        <w:tc>
          <w:tcPr>
            <w:tcW w:type="dxa" w:w="11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类型</w:t>
            </w:r>
          </w:p>
        </w:tc>
        <w:tc>
          <w:tcPr>
            <w:tcW w:type="dxa" w:w="11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国家/地区</w:t>
            </w:r>
          </w:p>
        </w:tc>
        <w:tc>
          <w:tcPr>
            <w:tcW w:type="dxa" w:w="24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运营方</w:t>
            </w:r>
          </w:p>
        </w:tc>
        <w:tc>
          <w:tcPr>
            <w:tcW w:type="dxa" w:w="19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状态</w:t>
            </w:r>
          </w:p>
        </w:tc>
        <w:tc>
          <w:tcPr>
            <w:tcW w:type="dxa" w:w="286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覆盖任务</w:t>
            </w:r>
          </w:p>
        </w:tc>
      </w:tr>
      <w:tr>
        <w:trPr>
          <w:cantSplit/>
        </w:trPr>
        <w:tc>
          <w:tcPr>
            <w:tcW w:type="dxa" w:w="1100"/>
          </w:tcPr>
          <w:p>
            <w:pPr>
              <w:keepLines/>
              <w:spacing w:after="0" w:line="276" w:lineRule="auto"/>
            </w:pPr>
            <w:r>
              <w:rPr>
                <w:rFonts w:ascii="Calibri" w:hAnsi="Calibri" w:eastAsia="Microsoft YaHei"/>
                <w:color w:val="0B2545"/>
                <w:sz w:val="15"/>
              </w:rPr>
              <w:t>全超导长脉冲托卡马克</w:t>
            </w:r>
          </w:p>
        </w:tc>
        <w:tc>
          <w:tcPr>
            <w:tcW w:type="dxa" w:w="1100"/>
          </w:tcPr>
          <w:p>
            <w:pPr>
              <w:keepLines/>
              <w:spacing w:after="0" w:line="276" w:lineRule="auto"/>
            </w:pPr>
            <w:r>
              <w:rPr>
                <w:rFonts w:ascii="Calibri" w:hAnsi="Calibri" w:eastAsia="Microsoft YaHei"/>
                <w:color w:val="0B2545"/>
                <w:sz w:val="15"/>
              </w:rPr>
              <w:t>韩国</w:t>
            </w:r>
          </w:p>
        </w:tc>
        <w:tc>
          <w:tcPr>
            <w:tcW w:type="dxa" w:w="2400"/>
          </w:tcPr>
          <w:p>
            <w:pPr>
              <w:keepLines/>
              <w:spacing w:after="0" w:line="276" w:lineRule="auto"/>
            </w:pPr>
            <w:r>
              <w:rPr>
                <w:rFonts w:ascii="Calibri" w:hAnsi="Calibri" w:eastAsia="Microsoft YaHei"/>
                <w:color w:val="0B2545"/>
                <w:sz w:val="15"/>
              </w:rPr>
              <w:t>Korea Institute of Fusion Energy</w:t>
            </w:r>
          </w:p>
        </w:tc>
        <w:tc>
          <w:tcPr>
            <w:tcW w:type="dxa" w:w="1900"/>
          </w:tcPr>
          <w:p>
            <w:pPr>
              <w:keepLines/>
              <w:spacing w:after="0" w:line="276" w:lineRule="auto"/>
            </w:pPr>
            <w:r>
              <w:rPr>
                <w:rFonts w:ascii="Calibri" w:hAnsi="Calibri" w:eastAsia="Microsoft YaHei"/>
                <w:color w:val="0B2545"/>
                <w:sz w:val="15"/>
              </w:rPr>
              <w:t>运行中的长脉冲研究装置</w:t>
            </w:r>
          </w:p>
        </w:tc>
        <w:tc>
          <w:tcPr>
            <w:tcW w:type="dxa" w:w="2860"/>
          </w:tcPr>
          <w:p>
            <w:pPr>
              <w:keepLines/>
              <w:spacing w:after="0" w:line="276" w:lineRule="auto"/>
            </w:pPr>
            <w:r>
              <w:rPr>
                <w:rFonts w:ascii="Calibri" w:hAnsi="Calibri" w:eastAsia="Microsoft YaHei"/>
                <w:color w:val="0B2545"/>
                <w:sz w:val="15"/>
              </w:rPr>
              <w:t>DG0；DG1；DG2；DG3；DG4；DG5；DG6；DG7；DG11</w:t>
            </w:r>
          </w:p>
        </w:tc>
      </w:tr>
    </w:tbl>
    <w:p>
      <w:pPr>
        <w:spacing w:before="0" w:after="60"/>
      </w:pPr>
    </w:p>
    <w:p>
      <w:pPr>
        <w:widowControl/>
      </w:pPr>
      <w:r>
        <w:rPr>
          <w:rFonts w:ascii="Calibri" w:hAnsi="Calibri" w:eastAsia="Microsoft YaHei"/>
          <w:b/>
          <w:color w:val="1F4D78"/>
        </w:rPr>
        <w:t>诊断概况：</w:t>
      </w:r>
      <w:r>
        <w:rPr>
          <w:rFonts w:ascii="Calibri" w:hAnsi="Calibri" w:eastAsia="Microsoft YaHei"/>
        </w:rPr>
        <w:t>KSTAR 从首等离子体时期的磁、干涉、ECE、可见光谱与成像，扩展到 Thomson、ECEI、MSE、CXRS、反射计、SXR/bolometer、边界/快离子诊断。诊断 DAQ 通过 EPICS 与中央控制集成，脉冲数据进入 MDSplus；实时诊断和 PCS 的耦合已用于平衡、剖面与高性能场景研究。</w:t>
      </w:r>
    </w:p>
    <w:p>
      <w:pPr>
        <w:widowControl/>
      </w:pPr>
      <w:r>
        <w:rPr>
          <w:rFonts w:ascii="Calibri" w:hAnsi="Calibri" w:eastAsia="Microsoft YaHei"/>
          <w:b/>
          <w:color w:val="1F4D78"/>
        </w:rPr>
        <w:t>主要系统：</w:t>
      </w:r>
      <w:r>
        <w:rPr>
          <w:rFonts w:ascii="Calibri" w:hAnsi="Calibri" w:eastAsia="Microsoft YaHei"/>
        </w:rPr>
        <w:t>family: kinetic-mhd；systems: ECE/ECEI；Thomson；interferometer；MSE；magnetics；measuredQuantities: Te/ne；MHD structures；q/current profile；evidence: E4/D4；realTimeUse: 部分系统进入 PCS/状态估计；family: spectroscopy-edge；systems: CXRS；visible survey；H-alpha/filter scope；SXR/bolometry；IR/visible cameras；measuredQuantities: Ti/rotation/impurity；radiation；edge/PFC；evidence: E3-E4/D3-D4；realTimeUse: 按 campaign/系统；family: daq；systems: EPICS IOC；local/central timing；MDSplus archive；KDIS concepts；measuredQuantities: raw and processed diagnostics；engineering status；evidence: E4/D4；realTimeUse: 中央同步和 shot-cycle integration</w:t>
      </w:r>
    </w:p>
    <w:p>
      <w:pPr>
        <w:widowControl/>
      </w:pPr>
      <w:r>
        <w:rPr>
          <w:rFonts w:ascii="Calibri" w:hAnsi="Calibri" w:eastAsia="Microsoft YaHei"/>
          <w:b/>
          <w:color w:val="1F4D78"/>
        </w:rPr>
        <w:t>测量/传感：</w:t>
      </w:r>
      <w:r>
        <w:rPr>
          <w:rFonts w:ascii="Calibri" w:hAnsi="Calibri" w:eastAsia="Microsoft YaHei"/>
        </w:rPr>
        <w:t>magnetics；millimeter-wave interferometer；ECE/ECEI receivers；Thomson polychromators；MSE/CXRS optics；SXR/bolometers；cameras</w:t>
      </w:r>
    </w:p>
    <w:p>
      <w:pPr>
        <w:widowControl/>
      </w:pPr>
      <w:r>
        <w:rPr>
          <w:rFonts w:ascii="Calibri" w:hAnsi="Calibri" w:eastAsia="Microsoft YaHei"/>
          <w:b/>
          <w:color w:val="1F4D78"/>
        </w:rPr>
        <w:t>实时与 PCS 接口：</w:t>
      </w:r>
      <w:r>
        <w:rPr>
          <w:rFonts w:ascii="Calibri" w:hAnsi="Calibri" w:eastAsia="Microsoft YaHei"/>
        </w:rPr>
        <w:t>KSTAR PCS；EPICS central control；timing network；MDSplus archive</w:t>
      </w:r>
    </w:p>
    <w:p>
      <w:pPr>
        <w:widowControl/>
      </w:pPr>
      <w:r>
        <w:rPr>
          <w:rFonts w:ascii="Calibri" w:hAnsi="Calibri" w:eastAsia="Microsoft YaHei"/>
          <w:b/>
          <w:color w:val="1F4D78"/>
        </w:rPr>
        <w:t>数据平台：</w:t>
      </w:r>
      <w:r>
        <w:rPr>
          <w:rFonts w:ascii="Calibri" w:hAnsi="Calibri" w:eastAsia="Microsoft YaHei"/>
        </w:rPr>
        <w:t>systems: MDSplus；EPICS Channel Archiver；relational logs/KDIS；access: 主要是 KSTAR collaboration；架构论文公开；evidence: KSTAR diagnostic DAQ papers</w:t>
      </w:r>
    </w:p>
    <w:p>
      <w:pPr>
        <w:widowControl/>
      </w:pPr>
      <w:r>
        <w:rPr>
          <w:rFonts w:ascii="Calibri" w:hAnsi="Calibri" w:eastAsia="Microsoft YaHei"/>
          <w:b/>
          <w:color w:val="1F4D78"/>
        </w:rPr>
        <w:t>代表工作概述：</w:t>
      </w:r>
      <w:r>
        <w:rPr>
          <w:rFonts w:ascii="Calibri" w:hAnsi="Calibri" w:eastAsia="Microsoft YaHei"/>
        </w:rPr>
        <w:t>ECEI 二维电子温度波动/MHD；MSE 电流剖面约束；Thomson 与 ECE/干涉交叉；EPICS+MDSplus 异构诊断 DAQ；实时诊断接入 PCS</w:t>
      </w:r>
    </w:p>
    <w:p>
      <w:pPr>
        <w:widowControl/>
      </w:pPr>
      <w:r>
        <w:rPr>
          <w:rFonts w:ascii="Calibri" w:hAnsi="Calibri" w:eastAsia="Microsoft YaHei"/>
          <w:b/>
          <w:color w:val="1F4D78"/>
        </w:rPr>
        <w:t>证据边界：</w:t>
      </w:r>
      <w:r>
        <w:rPr>
          <w:rFonts w:ascii="Calibri" w:hAnsi="Calibri" w:eastAsia="Microsoft YaHei"/>
        </w:rPr>
        <w:t>首等离子体 DAQ 论文不能代表当前全部诊断清单和性能；生产配置、数据、标定与质量状态不公开；长脉冲和钨环境需要持续再标定和健康管理</w:t>
      </w:r>
    </w:p>
    <w:tbl>
      <w:tblPr>
        <w:tblStyle w:val="TableGrid"/>
        <w:tblW w:type="dxa" w:w="9360"/>
        <w:jc w:val="left"/>
        <w:tblLayout w:type="fixed"/>
        <w:tblLook w:firstColumn="1" w:firstRow="1" w:lastColumn="0" w:lastRow="0" w:noHBand="0" w:noVBand="1" w:val="04A0"/>
        <w:tblInd w:w="120" w:type="dxa"/>
      </w:tblPr>
      <w:tblGrid>
        <w:gridCol w:w="1200"/>
        <w:gridCol w:w="750"/>
        <w:gridCol w:w="5300"/>
        <w:gridCol w:w="950"/>
        <w:gridCol w:w="1160"/>
      </w:tblGrid>
      <w:tr>
        <w:trPr>
          <w:tblHeader w:val="true"/>
        </w:trPr>
        <w:tc>
          <w:tcPr>
            <w:tcW w:type="dxa" w:w="12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工作 ID</w:t>
            </w:r>
          </w:p>
        </w:tc>
        <w:tc>
          <w:tcPr>
            <w:tcW w:type="dxa" w:w="7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任务</w:t>
            </w:r>
          </w:p>
        </w:tc>
        <w:tc>
          <w:tcPr>
            <w:tcW w:type="dxa" w:w="53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代表工作</w:t>
            </w:r>
          </w:p>
        </w:tc>
        <w:tc>
          <w:tcPr>
            <w:tcW w:type="dxa" w:w="9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证据</w:t>
            </w:r>
          </w:p>
        </w:tc>
        <w:tc>
          <w:tcPr>
            <w:tcW w:type="dxa" w:w="116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部署</w:t>
            </w:r>
          </w:p>
        </w:tc>
      </w:tr>
      <w:tr>
        <w:trPr>
          <w:cantSplit/>
        </w:trPr>
        <w:tc>
          <w:tcPr>
            <w:tcW w:type="dxa" w:w="1200"/>
          </w:tcPr>
          <w:p>
            <w:pPr>
              <w:keepLines/>
              <w:spacing w:after="0" w:line="276" w:lineRule="auto"/>
            </w:pPr>
            <w:r>
              <w:rPr>
                <w:rFonts w:ascii="Calibri" w:hAnsi="Calibri" w:eastAsia="Microsoft YaHei"/>
                <w:color w:val="0B2545"/>
                <w:sz w:val="15"/>
              </w:rPr>
              <w:t>DSI-002</w:t>
            </w:r>
          </w:p>
        </w:tc>
        <w:tc>
          <w:tcPr>
            <w:tcW w:type="dxa" w:w="750"/>
          </w:tcPr>
          <w:p>
            <w:pPr>
              <w:keepLines/>
              <w:spacing w:after="0" w:line="276" w:lineRule="auto"/>
            </w:pPr>
            <w:r>
              <w:rPr>
                <w:rFonts w:ascii="Calibri" w:hAnsi="Calibri" w:eastAsia="Microsoft YaHei"/>
                <w:color w:val="0B2545"/>
                <w:sz w:val="15"/>
              </w:rPr>
              <w:t>DG0</w:t>
            </w:r>
          </w:p>
        </w:tc>
        <w:tc>
          <w:tcPr>
            <w:tcW w:type="dxa" w:w="5300"/>
          </w:tcPr>
          <w:p>
            <w:pPr>
              <w:keepLines/>
              <w:spacing w:after="0" w:line="276" w:lineRule="auto"/>
            </w:pPr>
            <w:r>
              <w:rPr>
                <w:rFonts w:ascii="Calibri" w:hAnsi="Calibri" w:eastAsia="Microsoft YaHei"/>
                <w:color w:val="0B2545"/>
                <w:sz w:val="15"/>
              </w:rPr>
              <w:t>MDSplus 脉冲树、数据采集与时序数据管理</w:t>
            </w:r>
          </w:p>
        </w:tc>
        <w:tc>
          <w:tcPr>
            <w:tcW w:type="dxa" w:w="950"/>
          </w:tcPr>
          <w:p>
            <w:pPr>
              <w:keepLines/>
              <w:spacing w:after="0" w:line="276" w:lineRule="auto"/>
            </w:pPr>
            <w:r>
              <w:rPr>
                <w:rFonts w:ascii="Calibri" w:hAnsi="Calibri" w:eastAsia="Microsoft YaHei"/>
                <w:color w:val="0B2545"/>
                <w:sz w:val="15"/>
              </w:rPr>
              <w:t>E4</w:t>
            </w:r>
          </w:p>
        </w:tc>
        <w:tc>
          <w:tcPr>
            <w:tcW w:type="dxa" w:w="1160"/>
          </w:tcPr>
          <w:p>
            <w:pPr>
              <w:keepLines/>
              <w:spacing w:after="0" w:line="276" w:lineRule="auto"/>
            </w:pPr>
            <w:r>
              <w:rPr>
                <w:rFonts w:ascii="Calibri" w:hAnsi="Calibri" w:eastAsia="Microsoft YaHei"/>
                <w:color w:val="0B2545"/>
                <w:sz w:val="15"/>
              </w:rPr>
              <w:t>D4</w:t>
            </w:r>
          </w:p>
        </w:tc>
      </w:tr>
      <w:tr>
        <w:trPr>
          <w:cantSplit/>
        </w:trPr>
        <w:tc>
          <w:tcPr>
            <w:tcW w:type="dxa" w:w="1200"/>
          </w:tcPr>
          <w:p>
            <w:pPr>
              <w:keepLines/>
              <w:spacing w:after="0" w:line="276" w:lineRule="auto"/>
            </w:pPr>
            <w:r>
              <w:rPr>
                <w:rFonts w:ascii="Calibri" w:hAnsi="Calibri" w:eastAsia="Microsoft YaHei"/>
                <w:color w:val="0B2545"/>
                <w:sz w:val="15"/>
              </w:rPr>
              <w:t>DG1-004</w:t>
            </w:r>
          </w:p>
        </w:tc>
        <w:tc>
          <w:tcPr>
            <w:tcW w:type="dxa" w:w="750"/>
          </w:tcPr>
          <w:p>
            <w:pPr>
              <w:keepLines/>
              <w:spacing w:after="0" w:line="276" w:lineRule="auto"/>
            </w:pPr>
            <w:r>
              <w:rPr>
                <w:rFonts w:ascii="Calibri" w:hAnsi="Calibri" w:eastAsia="Microsoft YaHei"/>
                <w:color w:val="0B2545"/>
                <w:sz w:val="15"/>
              </w:rPr>
              <w:t>DG1</w:t>
            </w:r>
          </w:p>
        </w:tc>
        <w:tc>
          <w:tcPr>
            <w:tcW w:type="dxa" w:w="5300"/>
          </w:tcPr>
          <w:p>
            <w:pPr>
              <w:keepLines/>
              <w:spacing w:after="0" w:line="276" w:lineRule="auto"/>
            </w:pPr>
            <w:r>
              <w:rPr>
                <w:rFonts w:ascii="Calibri" w:hAnsi="Calibri" w:eastAsia="Microsoft YaHei"/>
                <w:color w:val="0B2545"/>
                <w:sz w:val="15"/>
              </w:rPr>
              <w:t>动生斯塔克效应：内部磁场与电流密度剖面</w:t>
            </w:r>
          </w:p>
        </w:tc>
        <w:tc>
          <w:tcPr>
            <w:tcW w:type="dxa" w:w="950"/>
          </w:tcPr>
          <w:p>
            <w:pPr>
              <w:keepLines/>
              <w:spacing w:after="0" w:line="276" w:lineRule="auto"/>
            </w:pPr>
            <w:r>
              <w:rPr>
                <w:rFonts w:ascii="Calibri" w:hAnsi="Calibri" w:eastAsia="Microsoft YaHei"/>
                <w:color w:val="0B2545"/>
                <w:sz w:val="15"/>
              </w:rPr>
              <w:t>E4</w:t>
            </w:r>
          </w:p>
        </w:tc>
        <w:tc>
          <w:tcPr>
            <w:tcW w:type="dxa" w:w="1160"/>
          </w:tcPr>
          <w:p>
            <w:pPr>
              <w:keepLines/>
              <w:spacing w:after="0" w:line="276" w:lineRule="auto"/>
            </w:pPr>
            <w:r>
              <w:rPr>
                <w:rFonts w:ascii="Calibri" w:hAnsi="Calibri" w:eastAsia="Microsoft YaHei"/>
                <w:color w:val="0B2545"/>
                <w:sz w:val="15"/>
              </w:rPr>
              <w:t>D4</w:t>
            </w:r>
          </w:p>
        </w:tc>
      </w:tr>
      <w:tr>
        <w:trPr>
          <w:cantSplit/>
        </w:trPr>
        <w:tc>
          <w:tcPr>
            <w:tcW w:type="dxa" w:w="1200"/>
          </w:tcPr>
          <w:p>
            <w:pPr>
              <w:keepLines/>
              <w:spacing w:after="0" w:line="276" w:lineRule="auto"/>
            </w:pPr>
            <w:r>
              <w:rPr>
                <w:rFonts w:ascii="Calibri" w:hAnsi="Calibri" w:eastAsia="Microsoft YaHei"/>
                <w:color w:val="0B2545"/>
                <w:sz w:val="15"/>
              </w:rPr>
              <w:t>DG1-005</w:t>
            </w:r>
          </w:p>
        </w:tc>
        <w:tc>
          <w:tcPr>
            <w:tcW w:type="dxa" w:w="750"/>
          </w:tcPr>
          <w:p>
            <w:pPr>
              <w:keepLines/>
              <w:spacing w:after="0" w:line="276" w:lineRule="auto"/>
            </w:pPr>
            <w:r>
              <w:rPr>
                <w:rFonts w:ascii="Calibri" w:hAnsi="Calibri" w:eastAsia="Microsoft YaHei"/>
                <w:color w:val="0B2545"/>
                <w:sz w:val="15"/>
              </w:rPr>
              <w:t>DG1</w:t>
            </w:r>
          </w:p>
        </w:tc>
        <w:tc>
          <w:tcPr>
            <w:tcW w:type="dxa" w:w="5300"/>
          </w:tcPr>
          <w:p>
            <w:pPr>
              <w:keepLines/>
              <w:spacing w:after="0" w:line="276" w:lineRule="auto"/>
            </w:pPr>
            <w:r>
              <w:rPr>
                <w:rFonts w:ascii="Calibri" w:hAnsi="Calibri" w:eastAsia="Microsoft YaHei"/>
                <w:color w:val="0B2545"/>
                <w:sz w:val="15"/>
              </w:rPr>
              <w:t>实时磁平衡重建：rtEFIT与GPU实现</w:t>
            </w:r>
          </w:p>
        </w:tc>
        <w:tc>
          <w:tcPr>
            <w:tcW w:type="dxa" w:w="950"/>
          </w:tcPr>
          <w:p>
            <w:pPr>
              <w:keepLines/>
              <w:spacing w:after="0" w:line="276" w:lineRule="auto"/>
            </w:pPr>
            <w:r>
              <w:rPr>
                <w:rFonts w:ascii="Calibri" w:hAnsi="Calibri" w:eastAsia="Microsoft YaHei"/>
                <w:color w:val="0B2545"/>
                <w:sz w:val="15"/>
              </w:rPr>
              <w:t>E4</w:t>
            </w:r>
          </w:p>
        </w:tc>
        <w:tc>
          <w:tcPr>
            <w:tcW w:type="dxa" w:w="1160"/>
          </w:tcPr>
          <w:p>
            <w:pPr>
              <w:keepLines/>
              <w:spacing w:after="0" w:line="276" w:lineRule="auto"/>
            </w:pPr>
            <w:r>
              <w:rPr>
                <w:rFonts w:ascii="Calibri" w:hAnsi="Calibri" w:eastAsia="Microsoft YaHei"/>
                <w:color w:val="0B2545"/>
                <w:sz w:val="15"/>
              </w:rPr>
              <w:t>D4</w:t>
            </w:r>
          </w:p>
        </w:tc>
      </w:tr>
      <w:tr>
        <w:trPr>
          <w:cantSplit/>
        </w:trPr>
        <w:tc>
          <w:tcPr>
            <w:tcW w:type="dxa" w:w="1200"/>
          </w:tcPr>
          <w:p>
            <w:pPr>
              <w:keepLines/>
              <w:spacing w:after="0" w:line="276" w:lineRule="auto"/>
            </w:pPr>
            <w:r>
              <w:rPr>
                <w:rFonts w:ascii="Calibri" w:hAnsi="Calibri" w:eastAsia="Microsoft YaHei"/>
                <w:color w:val="0B2545"/>
                <w:sz w:val="15"/>
              </w:rPr>
              <w:t>DG3-011</w:t>
            </w:r>
          </w:p>
        </w:tc>
        <w:tc>
          <w:tcPr>
            <w:tcW w:type="dxa" w:w="750"/>
          </w:tcPr>
          <w:p>
            <w:pPr>
              <w:keepLines/>
              <w:spacing w:after="0" w:line="276" w:lineRule="auto"/>
            </w:pPr>
            <w:r>
              <w:rPr>
                <w:rFonts w:ascii="Calibri" w:hAnsi="Calibri" w:eastAsia="Microsoft YaHei"/>
                <w:color w:val="0B2545"/>
                <w:sz w:val="15"/>
              </w:rPr>
              <w:t>DG3</w:t>
            </w:r>
          </w:p>
        </w:tc>
        <w:tc>
          <w:tcPr>
            <w:tcW w:type="dxa" w:w="5300"/>
          </w:tcPr>
          <w:p>
            <w:pPr>
              <w:keepLines/>
              <w:spacing w:after="0" w:line="276" w:lineRule="auto"/>
            </w:pPr>
            <w:r>
              <w:rPr>
                <w:rFonts w:ascii="Calibri" w:hAnsi="Calibri" w:eastAsia="Microsoft YaHei"/>
                <w:color w:val="0B2545"/>
                <w:sz w:val="15"/>
              </w:rPr>
              <w:t>电荷交换复合谱：离子温度与转动</w:t>
            </w:r>
          </w:p>
        </w:tc>
        <w:tc>
          <w:tcPr>
            <w:tcW w:type="dxa" w:w="950"/>
          </w:tcPr>
          <w:p>
            <w:pPr>
              <w:keepLines/>
              <w:spacing w:after="0" w:line="276" w:lineRule="auto"/>
            </w:pPr>
            <w:r>
              <w:rPr>
                <w:rFonts w:ascii="Calibri" w:hAnsi="Calibri" w:eastAsia="Microsoft YaHei"/>
                <w:color w:val="0B2545"/>
                <w:sz w:val="15"/>
              </w:rPr>
              <w:t>E4</w:t>
            </w:r>
          </w:p>
        </w:tc>
        <w:tc>
          <w:tcPr>
            <w:tcW w:type="dxa" w:w="1160"/>
          </w:tcPr>
          <w:p>
            <w:pPr>
              <w:keepLines/>
              <w:spacing w:after="0" w:line="276" w:lineRule="auto"/>
            </w:pPr>
            <w:r>
              <w:rPr>
                <w:rFonts w:ascii="Calibri" w:hAnsi="Calibri" w:eastAsia="Microsoft YaHei"/>
                <w:color w:val="0B2545"/>
                <w:sz w:val="15"/>
              </w:rPr>
              <w:t>D4</w:t>
            </w:r>
          </w:p>
        </w:tc>
      </w:tr>
      <w:tr>
        <w:trPr>
          <w:cantSplit/>
        </w:trPr>
        <w:tc>
          <w:tcPr>
            <w:tcW w:type="dxa" w:w="1200"/>
          </w:tcPr>
          <w:p>
            <w:pPr>
              <w:keepLines/>
              <w:spacing w:after="0" w:line="276" w:lineRule="auto"/>
            </w:pPr>
            <w:r>
              <w:rPr>
                <w:rFonts w:ascii="Calibri" w:hAnsi="Calibri" w:eastAsia="Microsoft YaHei"/>
                <w:color w:val="0B2545"/>
                <w:sz w:val="15"/>
              </w:rPr>
              <w:t>DG3-012</w:t>
            </w:r>
          </w:p>
        </w:tc>
        <w:tc>
          <w:tcPr>
            <w:tcW w:type="dxa" w:w="750"/>
          </w:tcPr>
          <w:p>
            <w:pPr>
              <w:keepLines/>
              <w:spacing w:after="0" w:line="276" w:lineRule="auto"/>
            </w:pPr>
            <w:r>
              <w:rPr>
                <w:rFonts w:ascii="Calibri" w:hAnsi="Calibri" w:eastAsia="Microsoft YaHei"/>
                <w:color w:val="0B2545"/>
                <w:sz w:val="15"/>
              </w:rPr>
              <w:t>DG3</w:t>
            </w:r>
          </w:p>
        </w:tc>
        <w:tc>
          <w:tcPr>
            <w:tcW w:type="dxa" w:w="5300"/>
          </w:tcPr>
          <w:p>
            <w:pPr>
              <w:keepLines/>
              <w:spacing w:after="0" w:line="276" w:lineRule="auto"/>
            </w:pPr>
            <w:r>
              <w:rPr>
                <w:rFonts w:ascii="Calibri" w:hAnsi="Calibri" w:eastAsia="Microsoft YaHei"/>
                <w:color w:val="0B2545"/>
                <w:sz w:val="15"/>
              </w:rPr>
              <w:t>成像X射线晶体谱：二维离子温度、流速与杂质</w:t>
            </w:r>
          </w:p>
        </w:tc>
        <w:tc>
          <w:tcPr>
            <w:tcW w:type="dxa" w:w="950"/>
          </w:tcPr>
          <w:p>
            <w:pPr>
              <w:keepLines/>
              <w:spacing w:after="0" w:line="276" w:lineRule="auto"/>
            </w:pPr>
            <w:r>
              <w:rPr>
                <w:rFonts w:ascii="Calibri" w:hAnsi="Calibri" w:eastAsia="Microsoft YaHei"/>
                <w:color w:val="0B2545"/>
                <w:sz w:val="15"/>
              </w:rPr>
              <w:t>E4</w:t>
            </w:r>
          </w:p>
        </w:tc>
        <w:tc>
          <w:tcPr>
            <w:tcW w:type="dxa" w:w="1160"/>
          </w:tcPr>
          <w:p>
            <w:pPr>
              <w:keepLines/>
              <w:spacing w:after="0" w:line="276" w:lineRule="auto"/>
            </w:pPr>
            <w:r>
              <w:rPr>
                <w:rFonts w:ascii="Calibri" w:hAnsi="Calibri" w:eastAsia="Microsoft YaHei"/>
                <w:color w:val="0B2545"/>
                <w:sz w:val="15"/>
              </w:rPr>
              <w:t>D4</w:t>
            </w:r>
          </w:p>
        </w:tc>
      </w:tr>
      <w:tr>
        <w:trPr>
          <w:cantSplit/>
        </w:trPr>
        <w:tc>
          <w:tcPr>
            <w:tcW w:type="dxa" w:w="1200"/>
          </w:tcPr>
          <w:p>
            <w:pPr>
              <w:keepLines/>
              <w:spacing w:after="0" w:line="276" w:lineRule="auto"/>
            </w:pPr>
            <w:r>
              <w:rPr>
                <w:rFonts w:ascii="Calibri" w:hAnsi="Calibri" w:eastAsia="Microsoft YaHei"/>
                <w:color w:val="0B2545"/>
                <w:sz w:val="15"/>
              </w:rPr>
              <w:t>DG5-028</w:t>
            </w:r>
          </w:p>
        </w:tc>
        <w:tc>
          <w:tcPr>
            <w:tcW w:type="dxa" w:w="750"/>
          </w:tcPr>
          <w:p>
            <w:pPr>
              <w:keepLines/>
              <w:spacing w:after="0" w:line="276" w:lineRule="auto"/>
            </w:pPr>
            <w:r>
              <w:rPr>
                <w:rFonts w:ascii="Calibri" w:hAnsi="Calibri" w:eastAsia="Microsoft YaHei"/>
                <w:color w:val="0B2545"/>
                <w:sz w:val="15"/>
              </w:rPr>
              <w:t>DG5</w:t>
            </w:r>
          </w:p>
        </w:tc>
        <w:tc>
          <w:tcPr>
            <w:tcW w:type="dxa" w:w="5300"/>
          </w:tcPr>
          <w:p>
            <w:pPr>
              <w:keepLines/>
              <w:spacing w:after="0" w:line="276" w:lineRule="auto"/>
            </w:pPr>
            <w:r>
              <w:rPr>
                <w:rFonts w:ascii="Calibri" w:hAnsi="Calibri" w:eastAsia="Microsoft YaHei"/>
                <w:color w:val="0B2545"/>
                <w:sz w:val="15"/>
              </w:rPr>
              <w:t>快离子损失探测器：轨道损失与MHD再分布</w:t>
            </w:r>
          </w:p>
        </w:tc>
        <w:tc>
          <w:tcPr>
            <w:tcW w:type="dxa" w:w="950"/>
          </w:tcPr>
          <w:p>
            <w:pPr>
              <w:keepLines/>
              <w:spacing w:after="0" w:line="276" w:lineRule="auto"/>
            </w:pPr>
            <w:r>
              <w:rPr>
                <w:rFonts w:ascii="Calibri" w:hAnsi="Calibri" w:eastAsia="Microsoft YaHei"/>
                <w:color w:val="0B2545"/>
                <w:sz w:val="15"/>
              </w:rPr>
              <w:t>E4</w:t>
            </w:r>
          </w:p>
        </w:tc>
        <w:tc>
          <w:tcPr>
            <w:tcW w:type="dxa" w:w="1160"/>
          </w:tcPr>
          <w:p>
            <w:pPr>
              <w:keepLines/>
              <w:spacing w:after="0" w:line="276" w:lineRule="auto"/>
            </w:pPr>
            <w:r>
              <w:rPr>
                <w:rFonts w:ascii="Calibri" w:hAnsi="Calibri" w:eastAsia="Microsoft YaHei"/>
                <w:color w:val="0B2545"/>
                <w:sz w:val="15"/>
              </w:rPr>
              <w:t>D4</w:t>
            </w:r>
          </w:p>
        </w:tc>
      </w:tr>
      <w:tr>
        <w:trPr>
          <w:cantSplit/>
        </w:trPr>
        <w:tc>
          <w:tcPr>
            <w:tcW w:type="dxa" w:w="1200"/>
          </w:tcPr>
          <w:p>
            <w:pPr>
              <w:keepLines/>
              <w:spacing w:after="0" w:line="276" w:lineRule="auto"/>
            </w:pPr>
            <w:r>
              <w:rPr>
                <w:rFonts w:ascii="Calibri" w:hAnsi="Calibri" w:eastAsia="Microsoft YaHei"/>
                <w:color w:val="0B2545"/>
                <w:sz w:val="15"/>
              </w:rPr>
              <w:t>DG6-029</w:t>
            </w:r>
          </w:p>
        </w:tc>
        <w:tc>
          <w:tcPr>
            <w:tcW w:type="dxa" w:w="750"/>
          </w:tcPr>
          <w:p>
            <w:pPr>
              <w:keepLines/>
              <w:spacing w:after="0" w:line="276" w:lineRule="auto"/>
            </w:pPr>
            <w:r>
              <w:rPr>
                <w:rFonts w:ascii="Calibri" w:hAnsi="Calibri" w:eastAsia="Microsoft YaHei"/>
                <w:color w:val="0B2545"/>
                <w:sz w:val="15"/>
              </w:rPr>
              <w:t>DG6</w:t>
            </w:r>
          </w:p>
        </w:tc>
        <w:tc>
          <w:tcPr>
            <w:tcW w:type="dxa" w:w="5300"/>
          </w:tcPr>
          <w:p>
            <w:pPr>
              <w:keepLines/>
              <w:spacing w:after="0" w:line="276" w:lineRule="auto"/>
            </w:pPr>
            <w:r>
              <w:rPr>
                <w:rFonts w:ascii="Calibri" w:hAnsi="Calibri" w:eastAsia="Microsoft YaHei"/>
                <w:color w:val="0B2545"/>
                <w:sz w:val="15"/>
              </w:rPr>
              <w:t>Mirnov线圈阵列：MHD模态与锁模</w:t>
            </w:r>
          </w:p>
        </w:tc>
        <w:tc>
          <w:tcPr>
            <w:tcW w:type="dxa" w:w="950"/>
          </w:tcPr>
          <w:p>
            <w:pPr>
              <w:keepLines/>
              <w:spacing w:after="0" w:line="276" w:lineRule="auto"/>
            </w:pPr>
            <w:r>
              <w:rPr>
                <w:rFonts w:ascii="Calibri" w:hAnsi="Calibri" w:eastAsia="Microsoft YaHei"/>
                <w:color w:val="0B2545"/>
                <w:sz w:val="15"/>
              </w:rPr>
              <w:t>E4</w:t>
            </w:r>
          </w:p>
        </w:tc>
        <w:tc>
          <w:tcPr>
            <w:tcW w:type="dxa" w:w="1160"/>
          </w:tcPr>
          <w:p>
            <w:pPr>
              <w:keepLines/>
              <w:spacing w:after="0" w:line="276" w:lineRule="auto"/>
            </w:pPr>
            <w:r>
              <w:rPr>
                <w:rFonts w:ascii="Calibri" w:hAnsi="Calibri" w:eastAsia="Microsoft YaHei"/>
                <w:color w:val="0B2545"/>
                <w:sz w:val="15"/>
              </w:rPr>
              <w:t>D4</w:t>
            </w:r>
          </w:p>
        </w:tc>
      </w:tr>
      <w:tr>
        <w:trPr>
          <w:cantSplit/>
        </w:trPr>
        <w:tc>
          <w:tcPr>
            <w:tcW w:type="dxa" w:w="1200"/>
          </w:tcPr>
          <w:p>
            <w:pPr>
              <w:keepLines/>
              <w:spacing w:after="0" w:line="276" w:lineRule="auto"/>
            </w:pPr>
            <w:r>
              <w:rPr>
                <w:rFonts w:ascii="Calibri" w:hAnsi="Calibri" w:eastAsia="Microsoft YaHei"/>
                <w:color w:val="0B2545"/>
                <w:sz w:val="15"/>
              </w:rPr>
              <w:t>DG2-008</w:t>
            </w:r>
          </w:p>
        </w:tc>
        <w:tc>
          <w:tcPr>
            <w:tcW w:type="dxa" w:w="750"/>
          </w:tcPr>
          <w:p>
            <w:pPr>
              <w:keepLines/>
              <w:spacing w:after="0" w:line="276" w:lineRule="auto"/>
            </w:pPr>
            <w:r>
              <w:rPr>
                <w:rFonts w:ascii="Calibri" w:hAnsi="Calibri" w:eastAsia="Microsoft YaHei"/>
                <w:color w:val="0B2545"/>
                <w:sz w:val="15"/>
              </w:rPr>
              <w:t>DG2</w:t>
            </w:r>
          </w:p>
        </w:tc>
        <w:tc>
          <w:tcPr>
            <w:tcW w:type="dxa" w:w="5300"/>
          </w:tcPr>
          <w:p>
            <w:pPr>
              <w:keepLines/>
              <w:spacing w:after="0" w:line="276" w:lineRule="auto"/>
            </w:pPr>
            <w:r>
              <w:rPr>
                <w:rFonts w:ascii="Calibri" w:hAnsi="Calibri" w:eastAsia="Microsoft YaHei"/>
                <w:color w:val="0B2545"/>
                <w:sz w:val="15"/>
              </w:rPr>
              <w:t>多色干涉/偏振测量：ITER环向干涉偏振仪</w:t>
            </w:r>
          </w:p>
        </w:tc>
        <w:tc>
          <w:tcPr>
            <w:tcW w:type="dxa" w:w="950"/>
          </w:tcPr>
          <w:p>
            <w:pPr>
              <w:keepLines/>
              <w:spacing w:after="0" w:line="276" w:lineRule="auto"/>
            </w:pPr>
            <w:r>
              <w:rPr>
                <w:rFonts w:ascii="Calibri" w:hAnsi="Calibri" w:eastAsia="Microsoft YaHei"/>
                <w:color w:val="0B2545"/>
                <w:sz w:val="15"/>
              </w:rPr>
              <w:t>E3</w:t>
            </w:r>
          </w:p>
        </w:tc>
        <w:tc>
          <w:tcPr>
            <w:tcW w:type="dxa" w:w="1160"/>
          </w:tcPr>
          <w:p>
            <w:pPr>
              <w:keepLines/>
              <w:spacing w:after="0" w:line="276" w:lineRule="auto"/>
            </w:pPr>
            <w:r>
              <w:rPr>
                <w:rFonts w:ascii="Calibri" w:hAnsi="Calibri" w:eastAsia="Microsoft YaHei"/>
                <w:color w:val="0B2545"/>
                <w:sz w:val="15"/>
              </w:rPr>
              <w:t>D3</w:t>
            </w:r>
          </w:p>
        </w:tc>
      </w:tr>
      <w:tr>
        <w:trPr>
          <w:cantSplit/>
        </w:trPr>
        <w:tc>
          <w:tcPr>
            <w:tcW w:type="dxa" w:w="1200"/>
          </w:tcPr>
          <w:p>
            <w:pPr>
              <w:keepLines/>
              <w:spacing w:after="0" w:line="276" w:lineRule="auto"/>
            </w:pPr>
            <w:r>
              <w:rPr>
                <w:rFonts w:ascii="Calibri" w:hAnsi="Calibri" w:eastAsia="Microsoft YaHei"/>
                <w:color w:val="0B2545"/>
                <w:sz w:val="15"/>
              </w:rPr>
              <w:t>DG4-018</w:t>
            </w:r>
          </w:p>
        </w:tc>
        <w:tc>
          <w:tcPr>
            <w:tcW w:type="dxa" w:w="750"/>
          </w:tcPr>
          <w:p>
            <w:pPr>
              <w:keepLines/>
              <w:spacing w:after="0" w:line="276" w:lineRule="auto"/>
            </w:pPr>
            <w:r>
              <w:rPr>
                <w:rFonts w:ascii="Calibri" w:hAnsi="Calibri" w:eastAsia="Microsoft YaHei"/>
                <w:color w:val="0B2545"/>
                <w:sz w:val="15"/>
              </w:rPr>
              <w:t>DG4</w:t>
            </w:r>
          </w:p>
        </w:tc>
        <w:tc>
          <w:tcPr>
            <w:tcW w:type="dxa" w:w="5300"/>
          </w:tcPr>
          <w:p>
            <w:pPr>
              <w:keepLines/>
              <w:spacing w:after="0" w:line="276" w:lineRule="auto"/>
            </w:pPr>
            <w:r>
              <w:rPr>
                <w:rFonts w:ascii="Calibri" w:hAnsi="Calibri" w:eastAsia="Microsoft YaHei"/>
                <w:color w:val="0B2545"/>
                <w:sz w:val="15"/>
              </w:rPr>
              <w:t>真空紫外杂质谱：电荷态与杂质输运</w:t>
            </w:r>
          </w:p>
        </w:tc>
        <w:tc>
          <w:tcPr>
            <w:tcW w:type="dxa" w:w="950"/>
          </w:tcPr>
          <w:p>
            <w:pPr>
              <w:keepLines/>
              <w:spacing w:after="0" w:line="276" w:lineRule="auto"/>
            </w:pPr>
            <w:r>
              <w:rPr>
                <w:rFonts w:ascii="Calibri" w:hAnsi="Calibri" w:eastAsia="Microsoft YaHei"/>
                <w:color w:val="0B2545"/>
                <w:sz w:val="15"/>
              </w:rPr>
              <w:t>E3</w:t>
            </w:r>
          </w:p>
        </w:tc>
        <w:tc>
          <w:tcPr>
            <w:tcW w:type="dxa" w:w="1160"/>
          </w:tcPr>
          <w:p>
            <w:pPr>
              <w:keepLines/>
              <w:spacing w:after="0" w:line="276" w:lineRule="auto"/>
            </w:pPr>
            <w:r>
              <w:rPr>
                <w:rFonts w:ascii="Calibri" w:hAnsi="Calibri" w:eastAsia="Microsoft YaHei"/>
                <w:color w:val="0B2545"/>
                <w:sz w:val="15"/>
              </w:rPr>
              <w:t>D3</w:t>
            </w:r>
          </w:p>
        </w:tc>
      </w:tr>
      <w:tr>
        <w:trPr>
          <w:cantSplit/>
        </w:trPr>
        <w:tc>
          <w:tcPr>
            <w:tcW w:type="dxa" w:w="1200"/>
          </w:tcPr>
          <w:p>
            <w:pPr>
              <w:keepLines/>
              <w:spacing w:after="0" w:line="276" w:lineRule="auto"/>
            </w:pPr>
            <w:r>
              <w:rPr>
                <w:rFonts w:ascii="Calibri" w:hAnsi="Calibri" w:eastAsia="Microsoft YaHei"/>
                <w:color w:val="0B2545"/>
                <w:sz w:val="15"/>
              </w:rPr>
              <w:t>DG7-038</w:t>
            </w:r>
          </w:p>
        </w:tc>
        <w:tc>
          <w:tcPr>
            <w:tcW w:type="dxa" w:w="750"/>
          </w:tcPr>
          <w:p>
            <w:pPr>
              <w:keepLines/>
              <w:spacing w:after="0" w:line="276" w:lineRule="auto"/>
            </w:pPr>
            <w:r>
              <w:rPr>
                <w:rFonts w:ascii="Calibri" w:hAnsi="Calibri" w:eastAsia="Microsoft YaHei"/>
                <w:color w:val="0B2545"/>
                <w:sz w:val="15"/>
              </w:rPr>
              <w:t>DG7</w:t>
            </w:r>
          </w:p>
        </w:tc>
        <w:tc>
          <w:tcPr>
            <w:tcW w:type="dxa" w:w="5300"/>
          </w:tcPr>
          <w:p>
            <w:pPr>
              <w:keepLines/>
              <w:spacing w:after="0" w:line="276" w:lineRule="auto"/>
            </w:pPr>
            <w:r>
              <w:rPr>
                <w:rFonts w:ascii="Calibri" w:hAnsi="Calibri" w:eastAsia="Microsoft YaHei"/>
                <w:color w:val="0B2545"/>
                <w:sz w:val="15"/>
              </w:rPr>
              <w:t>偏滤器汤姆逊散射：脱靶区电子参数</w:t>
            </w:r>
          </w:p>
        </w:tc>
        <w:tc>
          <w:tcPr>
            <w:tcW w:type="dxa" w:w="950"/>
          </w:tcPr>
          <w:p>
            <w:pPr>
              <w:keepLines/>
              <w:spacing w:after="0" w:line="276" w:lineRule="auto"/>
            </w:pPr>
            <w:r>
              <w:rPr>
                <w:rFonts w:ascii="Calibri" w:hAnsi="Calibri" w:eastAsia="Microsoft YaHei"/>
                <w:color w:val="0B2545"/>
                <w:sz w:val="15"/>
              </w:rPr>
              <w:t>E3</w:t>
            </w:r>
          </w:p>
        </w:tc>
        <w:tc>
          <w:tcPr>
            <w:tcW w:type="dxa" w:w="1160"/>
          </w:tcPr>
          <w:p>
            <w:pPr>
              <w:keepLines/>
              <w:spacing w:after="0" w:line="276" w:lineRule="auto"/>
            </w:pPr>
            <w:r>
              <w:rPr>
                <w:rFonts w:ascii="Calibri" w:hAnsi="Calibri" w:eastAsia="Microsoft YaHei"/>
                <w:color w:val="0B2545"/>
                <w:sz w:val="15"/>
              </w:rPr>
              <w:t>D3</w:t>
            </w:r>
          </w:p>
        </w:tc>
      </w:tr>
      <w:tr>
        <w:trPr>
          <w:cantSplit/>
        </w:trPr>
        <w:tc>
          <w:tcPr>
            <w:tcW w:type="dxa" w:w="1200"/>
          </w:tcPr>
          <w:p>
            <w:pPr>
              <w:keepLines/>
              <w:spacing w:after="0" w:line="276" w:lineRule="auto"/>
            </w:pPr>
            <w:r>
              <w:rPr>
                <w:rFonts w:ascii="Calibri" w:hAnsi="Calibri" w:eastAsia="Microsoft YaHei"/>
                <w:color w:val="0B2545"/>
                <w:sz w:val="15"/>
              </w:rPr>
              <w:t>DSI-017</w:t>
            </w:r>
          </w:p>
        </w:tc>
        <w:tc>
          <w:tcPr>
            <w:tcW w:type="dxa" w:w="750"/>
          </w:tcPr>
          <w:p>
            <w:pPr>
              <w:keepLines/>
              <w:spacing w:after="0" w:line="276" w:lineRule="auto"/>
            </w:pPr>
            <w:r>
              <w:rPr>
                <w:rFonts w:ascii="Calibri" w:hAnsi="Calibri" w:eastAsia="Microsoft YaHei"/>
                <w:color w:val="0B2545"/>
                <w:sz w:val="15"/>
              </w:rPr>
              <w:t>DG9</w:t>
            </w:r>
          </w:p>
        </w:tc>
        <w:tc>
          <w:tcPr>
            <w:tcW w:type="dxa" w:w="5300"/>
          </w:tcPr>
          <w:p>
            <w:pPr>
              <w:keepLines/>
              <w:spacing w:after="0" w:line="276" w:lineRule="auto"/>
            </w:pPr>
            <w:r>
              <w:rPr>
                <w:rFonts w:ascii="Calibri" w:hAnsi="Calibri" w:eastAsia="Microsoft YaHei"/>
                <w:color w:val="0B2545"/>
                <w:sz w:val="15"/>
              </w:rPr>
              <w:t>REFMUL 系列反射计全波合成诊断</w:t>
            </w:r>
          </w:p>
        </w:tc>
        <w:tc>
          <w:tcPr>
            <w:tcW w:type="dxa" w:w="950"/>
          </w:tcPr>
          <w:p>
            <w:pPr>
              <w:keepLines/>
              <w:spacing w:after="0" w:line="276" w:lineRule="auto"/>
            </w:pPr>
            <w:r>
              <w:rPr>
                <w:rFonts w:ascii="Calibri" w:hAnsi="Calibri" w:eastAsia="Microsoft YaHei"/>
                <w:color w:val="0B2545"/>
                <w:sz w:val="15"/>
              </w:rPr>
              <w:t>E3</w:t>
            </w:r>
          </w:p>
        </w:tc>
        <w:tc>
          <w:tcPr>
            <w:tcW w:type="dxa" w:w="1160"/>
          </w:tcPr>
          <w:p>
            <w:pPr>
              <w:keepLines/>
              <w:spacing w:after="0" w:line="276" w:lineRule="auto"/>
            </w:pPr>
            <w:r>
              <w:rPr>
                <w:rFonts w:ascii="Calibri" w:hAnsi="Calibri" w:eastAsia="Microsoft YaHei"/>
                <w:color w:val="0B2545"/>
                <w:sz w:val="15"/>
              </w:rPr>
              <w:t>D2</w:t>
            </w:r>
          </w:p>
        </w:tc>
      </w:tr>
    </w:tbl>
    <w:p>
      <w:pPr>
        <w:spacing w:before="0" w:after="60"/>
      </w:pPr>
    </w:p>
    <w:tbl>
      <w:tblPr>
        <w:tblStyle w:val="TableGrid"/>
        <w:tblW w:type="dxa" w:w="9360"/>
        <w:jc w:val="left"/>
        <w:tblLayout w:type="fixed"/>
        <w:tblLook w:firstColumn="1" w:firstRow="1" w:lastColumn="0" w:lastRow="0" w:noHBand="0" w:noVBand="1" w:val="04A0"/>
        <w:tblInd w:w="120" w:type="dxa"/>
      </w:tblPr>
      <w:tblGrid>
        <w:gridCol w:w="900"/>
        <w:gridCol w:w="3200"/>
        <w:gridCol w:w="2760"/>
        <w:gridCol w:w="2500"/>
      </w:tblGrid>
      <w:tr>
        <w:trPr>
          <w:tblHeader w:val="true"/>
        </w:trPr>
        <w:tc>
          <w:tcPr>
            <w:tcW w:type="dxa" w:w="9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年份/类型</w:t>
            </w:r>
          </w:p>
        </w:tc>
        <w:tc>
          <w:tcPr>
            <w:tcW w:type="dxa" w:w="32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论文或软件</w:t>
            </w:r>
          </w:p>
        </w:tc>
        <w:tc>
          <w:tcPr>
            <w:tcW w:type="dxa" w:w="276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来源/关系</w:t>
            </w:r>
          </w:p>
        </w:tc>
        <w:tc>
          <w:tcPr>
            <w:tcW w:type="dxa" w:w="25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链接</w:t>
            </w:r>
          </w:p>
        </w:tc>
      </w:tr>
      <w:tr>
        <w:trPr>
          <w:cantSplit/>
        </w:trPr>
        <w:tc>
          <w:tcPr>
            <w:tcW w:type="dxa" w:w="900"/>
          </w:tcPr>
          <w:p>
            <w:pPr>
              <w:keepLines/>
              <w:spacing w:after="0" w:line="276" w:lineRule="auto"/>
            </w:pPr>
            <w:r>
              <w:rPr>
                <w:rFonts w:ascii="Calibri" w:hAnsi="Calibri" w:eastAsia="Microsoft YaHei"/>
                <w:color w:val="0B2545"/>
                <w:sz w:val="14"/>
              </w:rPr>
              <w:t>2010</w:t>
            </w:r>
          </w:p>
        </w:tc>
        <w:tc>
          <w:tcPr>
            <w:tcW w:type="dxa" w:w="3200"/>
          </w:tcPr>
          <w:p>
            <w:pPr>
              <w:keepLines/>
              <w:spacing w:after="0" w:line="276" w:lineRule="auto"/>
            </w:pPr>
            <w:r>
              <w:rPr>
                <w:rFonts w:ascii="Calibri" w:hAnsi="Calibri" w:eastAsia="Microsoft YaHei"/>
                <w:color w:val="0B2545"/>
                <w:sz w:val="14"/>
              </w:rPr>
              <w:t>Data acquisition system implemented with various platforms for KSTAR diagnostic systems</w:t>
            </w:r>
          </w:p>
        </w:tc>
        <w:tc>
          <w:tcPr>
            <w:tcW w:type="dxa" w:w="2760"/>
          </w:tcPr>
          <w:p>
            <w:pPr>
              <w:keepLines/>
              <w:spacing w:after="0" w:line="276" w:lineRule="auto"/>
            </w:pPr>
            <w:r>
              <w:rPr>
                <w:rFonts w:ascii="Calibri" w:hAnsi="Calibri" w:eastAsia="Microsoft YaHei"/>
                <w:color w:val="0B2545"/>
                <w:sz w:val="14"/>
              </w:rPr>
              <w:t>Fusion Engineering and Design</w:t>
            </w:r>
          </w:p>
        </w:tc>
        <w:tc>
          <w:tcPr>
            <w:tcW w:type="dxa" w:w="2500"/>
          </w:tcPr>
          <w:p>
            <w:pPr>
              <w:keepLines/>
              <w:spacing w:after="0" w:line="276" w:lineRule="auto"/>
            </w:pPr>
            <w:hyperlink r:id="rId253">
              <w:r>
                <w:rPr>
                  <w:rFonts w:ascii="Calibri" w:hAnsi="Calibri" w:eastAsia="Microsoft YaHei"/>
                  <w:color w:val="008C95"/>
                  <w:u w:val="single"/>
                </w:rPr>
                <w:t>打开原始来源 ↗</w:t>
              </w:r>
            </w:hyperlink>
          </w:p>
        </w:tc>
      </w:tr>
      <w:tr>
        <w:trPr>
          <w:cantSplit/>
        </w:trPr>
        <w:tc>
          <w:tcPr>
            <w:tcW w:type="dxa" w:w="900"/>
          </w:tcPr>
          <w:p>
            <w:pPr>
              <w:keepLines/>
              <w:spacing w:after="0" w:line="276" w:lineRule="auto"/>
            </w:pPr>
            <w:r>
              <w:rPr>
                <w:rFonts w:ascii="Calibri" w:hAnsi="Calibri" w:eastAsia="Microsoft YaHei"/>
                <w:color w:val="0B2545"/>
                <w:sz w:val="14"/>
              </w:rPr>
              <w:t>2010</w:t>
            </w:r>
          </w:p>
        </w:tc>
        <w:tc>
          <w:tcPr>
            <w:tcW w:type="dxa" w:w="3200"/>
          </w:tcPr>
          <w:p>
            <w:pPr>
              <w:keepLines/>
              <w:spacing w:after="0" w:line="276" w:lineRule="auto"/>
            </w:pPr>
            <w:r>
              <w:rPr>
                <w:rFonts w:ascii="Calibri" w:hAnsi="Calibri" w:eastAsia="Microsoft YaHei"/>
                <w:color w:val="0B2545"/>
                <w:sz w:val="14"/>
              </w:rPr>
              <w:t>Development of KSTAR ECE imaging system for measurement of temperature fluctuations and edge density fluctuations</w:t>
            </w:r>
          </w:p>
        </w:tc>
        <w:tc>
          <w:tcPr>
            <w:tcW w:type="dxa" w:w="2760"/>
          </w:tcPr>
          <w:p>
            <w:pPr>
              <w:keepLines/>
              <w:spacing w:after="0" w:line="276" w:lineRule="auto"/>
            </w:pPr>
            <w:r>
              <w:rPr>
                <w:rFonts w:ascii="Calibri" w:hAnsi="Calibri" w:eastAsia="Microsoft YaHei"/>
                <w:color w:val="0B2545"/>
                <w:sz w:val="14"/>
              </w:rPr>
              <w:t>Review of Scientific Instruments</w:t>
            </w:r>
          </w:p>
        </w:tc>
        <w:tc>
          <w:tcPr>
            <w:tcW w:type="dxa" w:w="2500"/>
          </w:tcPr>
          <w:p>
            <w:pPr>
              <w:keepLines/>
              <w:spacing w:after="0" w:line="276" w:lineRule="auto"/>
            </w:pPr>
            <w:hyperlink r:id="rId254">
              <w:r>
                <w:rPr>
                  <w:rFonts w:ascii="Calibri" w:hAnsi="Calibri" w:eastAsia="Microsoft YaHei"/>
                  <w:color w:val="008C95"/>
                  <w:u w:val="single"/>
                </w:rPr>
                <w:t>打开原始来源 ↗</w:t>
              </w:r>
            </w:hyperlink>
          </w:p>
        </w:tc>
      </w:tr>
      <w:tr>
        <w:trPr>
          <w:cantSplit/>
        </w:trPr>
        <w:tc>
          <w:tcPr>
            <w:tcW w:type="dxa" w:w="900"/>
          </w:tcPr>
          <w:p>
            <w:pPr>
              <w:keepLines/>
              <w:spacing w:after="0" w:line="276" w:lineRule="auto"/>
            </w:pPr>
            <w:r>
              <w:rPr>
                <w:rFonts w:ascii="Calibri" w:hAnsi="Calibri" w:eastAsia="Microsoft YaHei"/>
                <w:color w:val="0B2545"/>
                <w:sz w:val="14"/>
              </w:rPr>
              <w:t>2011</w:t>
            </w:r>
          </w:p>
        </w:tc>
        <w:tc>
          <w:tcPr>
            <w:tcW w:type="dxa" w:w="3200"/>
          </w:tcPr>
          <w:p>
            <w:pPr>
              <w:keepLines/>
              <w:spacing w:after="0" w:line="276" w:lineRule="auto"/>
            </w:pPr>
            <w:r>
              <w:rPr>
                <w:rFonts w:ascii="Calibri" w:hAnsi="Calibri" w:eastAsia="Microsoft YaHei"/>
                <w:color w:val="0B2545"/>
                <w:sz w:val="14"/>
              </w:rPr>
              <w:t>Development of the EPICS-based data acquisition system for Thomson scattering diagnostic</w:t>
            </w:r>
          </w:p>
        </w:tc>
        <w:tc>
          <w:tcPr>
            <w:tcW w:type="dxa" w:w="2760"/>
          </w:tcPr>
          <w:p>
            <w:pPr>
              <w:keepLines/>
              <w:spacing w:after="0" w:line="276" w:lineRule="auto"/>
            </w:pPr>
            <w:r>
              <w:rPr>
                <w:rFonts w:ascii="Calibri" w:hAnsi="Calibri" w:eastAsia="Microsoft YaHei"/>
                <w:color w:val="0B2545"/>
                <w:sz w:val="14"/>
              </w:rPr>
              <w:t>Fusion Engineering and Design</w:t>
            </w:r>
          </w:p>
        </w:tc>
        <w:tc>
          <w:tcPr>
            <w:tcW w:type="dxa" w:w="2500"/>
          </w:tcPr>
          <w:p>
            <w:pPr>
              <w:keepLines/>
              <w:spacing w:after="0" w:line="276" w:lineRule="auto"/>
            </w:pPr>
            <w:hyperlink r:id="rId255">
              <w:r>
                <w:rPr>
                  <w:rFonts w:ascii="Calibri" w:hAnsi="Calibri" w:eastAsia="Microsoft YaHei"/>
                  <w:color w:val="008C95"/>
                  <w:u w:val="single"/>
                </w:rPr>
                <w:t>打开原始来源 ↗</w:t>
              </w:r>
            </w:hyperlink>
          </w:p>
        </w:tc>
      </w:tr>
      <w:tr>
        <w:trPr>
          <w:cantSplit/>
        </w:trPr>
        <w:tc>
          <w:tcPr>
            <w:tcW w:type="dxa" w:w="900"/>
          </w:tcPr>
          <w:p>
            <w:pPr>
              <w:keepLines/>
              <w:spacing w:after="0" w:line="276" w:lineRule="auto"/>
            </w:pPr>
            <w:r>
              <w:rPr>
                <w:rFonts w:ascii="Calibri" w:hAnsi="Calibri" w:eastAsia="Microsoft YaHei"/>
                <w:color w:val="0B2545"/>
                <w:sz w:val="14"/>
              </w:rPr>
              <w:t>软件</w:t>
            </w:r>
          </w:p>
        </w:tc>
        <w:tc>
          <w:tcPr>
            <w:tcW w:type="dxa" w:w="3200"/>
          </w:tcPr>
          <w:p>
            <w:pPr>
              <w:keepLines/>
              <w:spacing w:after="0" w:line="276" w:lineRule="auto"/>
            </w:pPr>
            <w:r>
              <w:rPr>
                <w:rFonts w:ascii="Calibri" w:hAnsi="Calibri" w:eastAsia="Microsoft YaHei"/>
                <w:color w:val="0B2545"/>
                <w:sz w:val="14"/>
              </w:rPr>
              <w:t>KSTAR MDSplus/EPICS DAQ</w:t>
            </w:r>
          </w:p>
        </w:tc>
        <w:tc>
          <w:tcPr>
            <w:tcW w:type="dxa" w:w="2760"/>
          </w:tcPr>
          <w:p>
            <w:pPr>
              <w:keepLines/>
              <w:spacing w:after="0" w:line="276" w:lineRule="auto"/>
            </w:pPr>
            <w:r>
              <w:rPr>
                <w:rFonts w:ascii="Calibri" w:hAnsi="Calibri" w:eastAsia="Microsoft YaHei"/>
                <w:color w:val="0B2545"/>
                <w:sz w:val="14"/>
              </w:rPr>
              <w:t>not-public / 论文 URL 已移入参考文献；MDSplus/EPICS 是通用使能平台，KSTAR 配置和数据受合作规则约束</w:t>
            </w:r>
          </w:p>
        </w:tc>
        <w:tc>
          <w:tcPr>
            <w:tcW w:type="dxa" w:w="2500"/>
          </w:tcPr>
          <w:p>
            <w:pPr>
              <w:keepLines/>
              <w:spacing w:after="0" w:line="276" w:lineRule="auto"/>
            </w:pPr>
            <w:r>
              <w:rPr>
                <w:rFonts w:ascii="Calibri" w:hAnsi="Calibri" w:eastAsia="Microsoft YaHei"/>
                <w:color w:val="0B2545"/>
                <w:sz w:val="14"/>
              </w:rPr>
              <w:t>未公开</w:t>
            </w:r>
          </w:p>
        </w:tc>
      </w:tr>
      <w:tr>
        <w:trPr>
          <w:cantSplit/>
        </w:trPr>
        <w:tc>
          <w:tcPr>
            <w:tcW w:type="dxa" w:w="900"/>
          </w:tcPr>
          <w:p>
            <w:pPr>
              <w:keepLines/>
              <w:spacing w:after="0" w:line="276" w:lineRule="auto"/>
            </w:pPr>
            <w:r>
              <w:rPr>
                <w:rFonts w:ascii="Calibri" w:hAnsi="Calibri" w:eastAsia="Microsoft YaHei"/>
                <w:color w:val="0B2545"/>
                <w:sz w:val="14"/>
              </w:rPr>
              <w:t>软件</w:t>
            </w:r>
          </w:p>
        </w:tc>
        <w:tc>
          <w:tcPr>
            <w:tcW w:type="dxa" w:w="3200"/>
          </w:tcPr>
          <w:p>
            <w:pPr>
              <w:keepLines/>
              <w:spacing w:after="0" w:line="276" w:lineRule="auto"/>
            </w:pPr>
            <w:r>
              <w:rPr>
                <w:rFonts w:ascii="Calibri" w:hAnsi="Calibri" w:eastAsia="Microsoft YaHei"/>
                <w:color w:val="0B2545"/>
                <w:sz w:val="14"/>
              </w:rPr>
              <w:t>KSTAR diagnostic analysis</w:t>
            </w:r>
          </w:p>
        </w:tc>
        <w:tc>
          <w:tcPr>
            <w:tcW w:type="dxa" w:w="2760"/>
          </w:tcPr>
          <w:p>
            <w:pPr>
              <w:keepLines/>
              <w:spacing w:after="0" w:line="276" w:lineRule="auto"/>
            </w:pPr>
            <w:r>
              <w:rPr>
                <w:rFonts w:ascii="Calibri" w:hAnsi="Calibri" w:eastAsia="Microsoft YaHei"/>
                <w:color w:val="0B2545"/>
                <w:sz w:val="14"/>
              </w:rPr>
              <w:t>not-public / 未发现完整公共生产仓库</w:t>
            </w:r>
          </w:p>
        </w:tc>
        <w:tc>
          <w:tcPr>
            <w:tcW w:type="dxa" w:w="2500"/>
          </w:tcPr>
          <w:p>
            <w:pPr>
              <w:keepLines/>
              <w:spacing w:after="0" w:line="276" w:lineRule="auto"/>
            </w:pPr>
            <w:r>
              <w:rPr>
                <w:rFonts w:ascii="Calibri" w:hAnsi="Calibri" w:eastAsia="Microsoft YaHei"/>
                <w:color w:val="0B2545"/>
                <w:sz w:val="14"/>
              </w:rPr>
              <w:t>未公开</w:t>
            </w:r>
          </w:p>
        </w:tc>
      </w:tr>
    </w:tbl>
    <w:p>
      <w:pPr>
        <w:spacing w:before="0" w:after="60"/>
      </w:pPr>
    </w:p>
    <w:p>
      <w:pPr>
        <w:pStyle w:val="Heading2"/>
      </w:pPr>
      <w:r>
        <w:t>17.12  Large Helical Device (LHD)</w:t>
      </w:r>
    </w:p>
    <w:tbl>
      <w:tblPr>
        <w:tblStyle w:val="TableGrid"/>
        <w:tblW w:type="dxa" w:w="9360"/>
        <w:jc w:val="left"/>
        <w:tblLayout w:type="fixed"/>
        <w:tblLook w:firstColumn="1" w:firstRow="1" w:lastColumn="0" w:lastRow="0" w:noHBand="0" w:noVBand="1" w:val="04A0"/>
        <w:tblInd w:w="120" w:type="dxa"/>
      </w:tblPr>
      <w:tblGrid>
        <w:gridCol w:w="1100"/>
        <w:gridCol w:w="1100"/>
        <w:gridCol w:w="2400"/>
        <w:gridCol w:w="1900"/>
        <w:gridCol w:w="2860"/>
      </w:tblGrid>
      <w:tr>
        <w:trPr>
          <w:tblHeader w:val="true"/>
        </w:trPr>
        <w:tc>
          <w:tcPr>
            <w:tcW w:type="dxa" w:w="11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类型</w:t>
            </w:r>
          </w:p>
        </w:tc>
        <w:tc>
          <w:tcPr>
            <w:tcW w:type="dxa" w:w="11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国家/地区</w:t>
            </w:r>
          </w:p>
        </w:tc>
        <w:tc>
          <w:tcPr>
            <w:tcW w:type="dxa" w:w="24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运营方</w:t>
            </w:r>
          </w:p>
        </w:tc>
        <w:tc>
          <w:tcPr>
            <w:tcW w:type="dxa" w:w="19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状态</w:t>
            </w:r>
          </w:p>
        </w:tc>
        <w:tc>
          <w:tcPr>
            <w:tcW w:type="dxa" w:w="286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覆盖任务</w:t>
            </w:r>
          </w:p>
        </w:tc>
      </w:tr>
      <w:tr>
        <w:trPr>
          <w:cantSplit/>
        </w:trPr>
        <w:tc>
          <w:tcPr>
            <w:tcW w:type="dxa" w:w="1100"/>
          </w:tcPr>
          <w:p>
            <w:pPr>
              <w:keepLines/>
              <w:spacing w:after="0" w:line="276" w:lineRule="auto"/>
            </w:pPr>
            <w:r>
              <w:rPr>
                <w:rFonts w:ascii="Calibri" w:hAnsi="Calibri" w:eastAsia="Microsoft YaHei"/>
                <w:color w:val="0B2545"/>
                <w:sz w:val="15"/>
              </w:rPr>
              <w:t>大型超导螺旋装置（非托卡马克参照）</w:t>
            </w:r>
          </w:p>
        </w:tc>
        <w:tc>
          <w:tcPr>
            <w:tcW w:type="dxa" w:w="1100"/>
          </w:tcPr>
          <w:p>
            <w:pPr>
              <w:keepLines/>
              <w:spacing w:after="0" w:line="276" w:lineRule="auto"/>
            </w:pPr>
            <w:r>
              <w:rPr>
                <w:rFonts w:ascii="Calibri" w:hAnsi="Calibri" w:eastAsia="Microsoft YaHei"/>
                <w:color w:val="0B2545"/>
                <w:sz w:val="15"/>
              </w:rPr>
              <w:t>日本</w:t>
            </w:r>
          </w:p>
        </w:tc>
        <w:tc>
          <w:tcPr>
            <w:tcW w:type="dxa" w:w="2400"/>
          </w:tcPr>
          <w:p>
            <w:pPr>
              <w:keepLines/>
              <w:spacing w:after="0" w:line="276" w:lineRule="auto"/>
            </w:pPr>
            <w:r>
              <w:rPr>
                <w:rFonts w:ascii="Calibri" w:hAnsi="Calibri" w:eastAsia="Microsoft YaHei"/>
                <w:color w:val="0B2545"/>
                <w:sz w:val="15"/>
              </w:rPr>
              <w:t>National Institute for Fusion Science</w:t>
            </w:r>
          </w:p>
        </w:tc>
        <w:tc>
          <w:tcPr>
            <w:tcW w:type="dxa" w:w="1900"/>
          </w:tcPr>
          <w:p>
            <w:pPr>
              <w:keepLines/>
              <w:spacing w:after="0" w:line="276" w:lineRule="auto"/>
            </w:pPr>
            <w:r>
              <w:rPr>
                <w:rFonts w:ascii="Calibri" w:hAnsi="Calibri" w:eastAsia="Microsoft YaHei"/>
                <w:color w:val="0B2545"/>
                <w:sz w:val="15"/>
              </w:rPr>
              <w:t>LHD 项目实验运行已完成；作为学术研究平台开放数据和诊断资源</w:t>
            </w:r>
          </w:p>
        </w:tc>
        <w:tc>
          <w:tcPr>
            <w:tcW w:type="dxa" w:w="2860"/>
          </w:tcPr>
          <w:p>
            <w:pPr>
              <w:keepLines/>
              <w:spacing w:after="0" w:line="276" w:lineRule="auto"/>
            </w:pPr>
            <w:r>
              <w:rPr>
                <w:rFonts w:ascii="Calibri" w:hAnsi="Calibri" w:eastAsia="Microsoft YaHei"/>
                <w:color w:val="0B2545"/>
                <w:sz w:val="15"/>
              </w:rPr>
              <w:t>DG0；DG2；DG3；DG4；DG5；DG6；DG7；DG10</w:t>
            </w:r>
          </w:p>
        </w:tc>
      </w:tr>
    </w:tbl>
    <w:p>
      <w:pPr>
        <w:spacing w:before="0" w:after="60"/>
      </w:pPr>
    </w:p>
    <w:p>
      <w:pPr>
        <w:widowControl/>
      </w:pPr>
      <w:r>
        <w:rPr>
          <w:rFonts w:ascii="Calibri" w:hAnsi="Calibri" w:eastAsia="Microsoft YaHei"/>
          <w:b/>
          <w:color w:val="1F4D78"/>
        </w:rPr>
        <w:t>诊断概况：</w:t>
      </w:r>
      <w:r>
        <w:rPr>
          <w:rFonts w:ascii="Calibri" w:hAnsi="Calibri" w:eastAsia="Microsoft YaHei"/>
        </w:rPr>
        <w:t>LHD 在电子/离子剖面、ECE、干涉、重离子束探针、光谱、bolometer/SXR、中子/快离子、磁和边界成像方面积累丰富，最突出的数字孪生资产是官方 Fusion Diagnostic Data Repository：可按 shot/diagnostic 检索 raw/primarily processed/analyzed products，并有明确权利、联系人和引用 DOI。</w:t>
      </w:r>
    </w:p>
    <w:p>
      <w:pPr>
        <w:widowControl/>
      </w:pPr>
      <w:r>
        <w:rPr>
          <w:rFonts w:ascii="Calibri" w:hAnsi="Calibri" w:eastAsia="Microsoft YaHei"/>
          <w:b/>
          <w:color w:val="1F4D78"/>
        </w:rPr>
        <w:t>主要系统：</w:t>
      </w:r>
      <w:r>
        <w:rPr>
          <w:rFonts w:ascii="Calibri" w:hAnsi="Calibri" w:eastAsia="Microsoft YaHei"/>
        </w:rPr>
        <w:t>family: plasma；systems: Thomson；ECE；interferometry；CXRS/spectroscopy；HIBP；bolometer/SXR；neutron/fast-ion；edge imaging/probes；measuredQuantities: ne/Te/Ti/flow；potential；radiation；fast ions；edge；evidence: E4/D4 historical operation；realTimeUse: system dependent; repository focuses experiment data；family: data；systems: LABCOM DAQ；Retrieve；dbStore/paraStore；Analyzed Data Repository；Open Data search；measuredQuantities: raw, primary processed, analyzed and shot-summary products；evidence: E4/D4 operational repository；realTimeUse: post-shot to near-hour availability</w:t>
      </w:r>
    </w:p>
    <w:p>
      <w:pPr>
        <w:widowControl/>
      </w:pPr>
      <w:r>
        <w:rPr>
          <w:rFonts w:ascii="Calibri" w:hAnsi="Calibri" w:eastAsia="Microsoft YaHei"/>
          <w:b/>
          <w:color w:val="1F4D78"/>
        </w:rPr>
        <w:t>测量/传感：</w:t>
      </w:r>
      <w:r>
        <w:rPr>
          <w:rFonts w:ascii="Calibri" w:hAnsi="Calibri" w:eastAsia="Microsoft YaHei"/>
        </w:rPr>
        <w:t>laser/microwave diagnostics；spectrometers；bolometer/SXR；neutron/particle detectors；magnetics；cameras/probes</w:t>
      </w:r>
    </w:p>
    <w:p>
      <w:pPr>
        <w:widowControl/>
      </w:pPr>
      <w:r>
        <w:rPr>
          <w:rFonts w:ascii="Calibri" w:hAnsi="Calibri" w:eastAsia="Microsoft YaHei"/>
          <w:b/>
          <w:color w:val="1F4D78"/>
        </w:rPr>
        <w:t>实时与 PCS 接口：</w:t>
      </w:r>
      <w:r>
        <w:rPr>
          <w:rFonts w:ascii="Calibri" w:hAnsi="Calibri" w:eastAsia="Microsoft YaHei"/>
        </w:rPr>
        <w:t>LABCOM timing/DAQ；Retrieve API/tools；repository product pipeline</w:t>
      </w:r>
    </w:p>
    <w:p>
      <w:pPr>
        <w:widowControl/>
      </w:pPr>
      <w:r>
        <w:rPr>
          <w:rFonts w:ascii="Calibri" w:hAnsi="Calibri" w:eastAsia="Microsoft YaHei"/>
          <w:b/>
          <w:color w:val="1F4D78"/>
        </w:rPr>
        <w:t>数据平台：</w:t>
      </w:r>
      <w:r>
        <w:rPr>
          <w:rFonts w:ascii="Calibri" w:hAnsi="Calibri" w:eastAsia="Microsoft YaHei"/>
        </w:rPr>
        <w:t>systems: LHD Fusion Diagnostic Data Repository；LHD Analyzed Data Repository；LABCOM Retrieve/dbStore；access: public search/retrieval subject to rights and collaboration rules；evidence: NIFS official repository and terms</w:t>
      </w:r>
    </w:p>
    <w:p>
      <w:pPr>
        <w:widowControl/>
      </w:pPr>
      <w:r>
        <w:rPr>
          <w:rFonts w:ascii="Calibri" w:hAnsi="Calibri" w:eastAsia="Microsoft YaHei"/>
          <w:b/>
          <w:color w:val="1F4D78"/>
        </w:rPr>
        <w:t>代表工作概述：</w:t>
      </w:r>
      <w:r>
        <w:rPr>
          <w:rFonts w:ascii="Calibri" w:hAnsi="Calibri" w:eastAsia="Microsoft YaHei"/>
        </w:rPr>
        <w:t>按诊断名/shot 检索的开放 repository；Retrieve/dbStore/paraStore 数据链；数据在放电后小时级进入仓库；明确仪器人员协作、caveat 和引用规则</w:t>
      </w:r>
    </w:p>
    <w:p>
      <w:pPr>
        <w:widowControl/>
      </w:pPr>
      <w:r>
        <w:rPr>
          <w:rFonts w:ascii="Calibri" w:hAnsi="Calibri" w:eastAsia="Microsoft YaHei"/>
          <w:b/>
          <w:color w:val="1F4D78"/>
        </w:rPr>
        <w:t>证据边界：</w:t>
      </w:r>
      <w:r>
        <w:rPr>
          <w:rFonts w:ascii="Calibri" w:hAnsi="Calibri" w:eastAsia="Microsoft YaHei"/>
        </w:rPr>
        <w:t>开放不等于无条件再发布，论文使用需与仪器负责人沟通；不同 campaign/诊断参数和格式版本不一；LHD 三维磁构型和非 D-T 环境限制向托卡马克电厂直接迁移</w:t>
      </w:r>
    </w:p>
    <w:tbl>
      <w:tblPr>
        <w:tblStyle w:val="TableGrid"/>
        <w:tblW w:type="dxa" w:w="9360"/>
        <w:jc w:val="left"/>
        <w:tblLayout w:type="fixed"/>
        <w:tblLook w:firstColumn="1" w:firstRow="1" w:lastColumn="0" w:lastRow="0" w:noHBand="0" w:noVBand="1" w:val="04A0"/>
        <w:tblInd w:w="120" w:type="dxa"/>
      </w:tblPr>
      <w:tblGrid>
        <w:gridCol w:w="1200"/>
        <w:gridCol w:w="750"/>
        <w:gridCol w:w="5300"/>
        <w:gridCol w:w="950"/>
        <w:gridCol w:w="1160"/>
      </w:tblGrid>
      <w:tr>
        <w:trPr>
          <w:tblHeader w:val="true"/>
        </w:trPr>
        <w:tc>
          <w:tcPr>
            <w:tcW w:type="dxa" w:w="12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工作 ID</w:t>
            </w:r>
          </w:p>
        </w:tc>
        <w:tc>
          <w:tcPr>
            <w:tcW w:type="dxa" w:w="7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任务</w:t>
            </w:r>
          </w:p>
        </w:tc>
        <w:tc>
          <w:tcPr>
            <w:tcW w:type="dxa" w:w="53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代表工作</w:t>
            </w:r>
          </w:p>
        </w:tc>
        <w:tc>
          <w:tcPr>
            <w:tcW w:type="dxa" w:w="9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证据</w:t>
            </w:r>
          </w:p>
        </w:tc>
        <w:tc>
          <w:tcPr>
            <w:tcW w:type="dxa" w:w="116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部署</w:t>
            </w:r>
          </w:p>
        </w:tc>
      </w:tr>
      <w:tr>
        <w:trPr>
          <w:cantSplit/>
        </w:trPr>
        <w:tc>
          <w:tcPr>
            <w:tcW w:type="dxa" w:w="1200"/>
          </w:tcPr>
          <w:p>
            <w:pPr>
              <w:keepLines/>
              <w:spacing w:after="0" w:line="276" w:lineRule="auto"/>
            </w:pPr>
            <w:r>
              <w:rPr>
                <w:rFonts w:ascii="Calibri" w:hAnsi="Calibri" w:eastAsia="Microsoft YaHei"/>
                <w:color w:val="0B2545"/>
                <w:sz w:val="15"/>
              </w:rPr>
              <w:t>DG5-026</w:t>
            </w:r>
          </w:p>
        </w:tc>
        <w:tc>
          <w:tcPr>
            <w:tcW w:type="dxa" w:w="750"/>
          </w:tcPr>
          <w:p>
            <w:pPr>
              <w:keepLines/>
              <w:spacing w:after="0" w:line="276" w:lineRule="auto"/>
            </w:pPr>
            <w:r>
              <w:rPr>
                <w:rFonts w:ascii="Calibri" w:hAnsi="Calibri" w:eastAsia="Microsoft YaHei"/>
                <w:color w:val="0B2545"/>
                <w:sz w:val="15"/>
              </w:rPr>
              <w:t>DG5</w:t>
            </w:r>
          </w:p>
        </w:tc>
        <w:tc>
          <w:tcPr>
            <w:tcW w:type="dxa" w:w="5300"/>
          </w:tcPr>
          <w:p>
            <w:pPr>
              <w:keepLines/>
              <w:spacing w:after="0" w:line="276" w:lineRule="auto"/>
            </w:pPr>
            <w:r>
              <w:rPr>
                <w:rFonts w:ascii="Calibri" w:hAnsi="Calibri" w:eastAsia="Microsoft YaHei"/>
                <w:color w:val="0B2545"/>
                <w:sz w:val="15"/>
              </w:rPr>
              <w:t>FIDA与成像FIDA：快离子相空间</w:t>
            </w:r>
          </w:p>
        </w:tc>
        <w:tc>
          <w:tcPr>
            <w:tcW w:type="dxa" w:w="950"/>
          </w:tcPr>
          <w:p>
            <w:pPr>
              <w:keepLines/>
              <w:spacing w:after="0" w:line="276" w:lineRule="auto"/>
            </w:pPr>
            <w:r>
              <w:rPr>
                <w:rFonts w:ascii="Calibri" w:hAnsi="Calibri" w:eastAsia="Microsoft YaHei"/>
                <w:color w:val="0B2545"/>
                <w:sz w:val="15"/>
              </w:rPr>
              <w:t>E4</w:t>
            </w:r>
          </w:p>
        </w:tc>
        <w:tc>
          <w:tcPr>
            <w:tcW w:type="dxa" w:w="1160"/>
          </w:tcPr>
          <w:p>
            <w:pPr>
              <w:keepLines/>
              <w:spacing w:after="0" w:line="276" w:lineRule="auto"/>
            </w:pPr>
            <w:r>
              <w:rPr>
                <w:rFonts w:ascii="Calibri" w:hAnsi="Calibri" w:eastAsia="Microsoft YaHei"/>
                <w:color w:val="0B2545"/>
                <w:sz w:val="15"/>
              </w:rPr>
              <w:t>D4</w:t>
            </w:r>
          </w:p>
        </w:tc>
      </w:tr>
      <w:tr>
        <w:trPr>
          <w:cantSplit/>
        </w:trPr>
        <w:tc>
          <w:tcPr>
            <w:tcW w:type="dxa" w:w="1200"/>
          </w:tcPr>
          <w:p>
            <w:pPr>
              <w:keepLines/>
              <w:spacing w:after="0" w:line="276" w:lineRule="auto"/>
            </w:pPr>
            <w:r>
              <w:rPr>
                <w:rFonts w:ascii="Calibri" w:hAnsi="Calibri" w:eastAsia="Microsoft YaHei"/>
                <w:color w:val="0B2545"/>
                <w:sz w:val="15"/>
              </w:rPr>
              <w:t>DG3-013</w:t>
            </w:r>
          </w:p>
        </w:tc>
        <w:tc>
          <w:tcPr>
            <w:tcW w:type="dxa" w:w="750"/>
          </w:tcPr>
          <w:p>
            <w:pPr>
              <w:keepLines/>
              <w:spacing w:after="0" w:line="276" w:lineRule="auto"/>
            </w:pPr>
            <w:r>
              <w:rPr>
                <w:rFonts w:ascii="Calibri" w:hAnsi="Calibri" w:eastAsia="Microsoft YaHei"/>
                <w:color w:val="0B2545"/>
                <w:sz w:val="15"/>
              </w:rPr>
              <w:t>DG3</w:t>
            </w:r>
          </w:p>
        </w:tc>
        <w:tc>
          <w:tcPr>
            <w:tcW w:type="dxa" w:w="5300"/>
          </w:tcPr>
          <w:p>
            <w:pPr>
              <w:keepLines/>
              <w:spacing w:after="0" w:line="276" w:lineRule="auto"/>
            </w:pPr>
            <w:r>
              <w:rPr>
                <w:rFonts w:ascii="Calibri" w:hAnsi="Calibri" w:eastAsia="Microsoft YaHei"/>
                <w:color w:val="0B2545"/>
                <w:sz w:val="15"/>
              </w:rPr>
              <w:t>中性粒子分析器：逃逸中性谱与离子分布</w:t>
            </w:r>
          </w:p>
        </w:tc>
        <w:tc>
          <w:tcPr>
            <w:tcW w:type="dxa" w:w="950"/>
          </w:tcPr>
          <w:p>
            <w:pPr>
              <w:keepLines/>
              <w:spacing w:after="0" w:line="276" w:lineRule="auto"/>
            </w:pPr>
            <w:r>
              <w:rPr>
                <w:rFonts w:ascii="Calibri" w:hAnsi="Calibri" w:eastAsia="Microsoft YaHei"/>
                <w:color w:val="0B2545"/>
                <w:sz w:val="15"/>
              </w:rPr>
              <w:t>E3</w:t>
            </w:r>
          </w:p>
        </w:tc>
        <w:tc>
          <w:tcPr>
            <w:tcW w:type="dxa" w:w="1160"/>
          </w:tcPr>
          <w:p>
            <w:pPr>
              <w:keepLines/>
              <w:spacing w:after="0" w:line="276" w:lineRule="auto"/>
            </w:pPr>
            <w:r>
              <w:rPr>
                <w:rFonts w:ascii="Calibri" w:hAnsi="Calibri" w:eastAsia="Microsoft YaHei"/>
                <w:color w:val="0B2545"/>
                <w:sz w:val="15"/>
              </w:rPr>
              <w:t>D3</w:t>
            </w:r>
          </w:p>
        </w:tc>
      </w:tr>
    </w:tbl>
    <w:p>
      <w:pPr>
        <w:spacing w:before="0" w:after="60"/>
      </w:pPr>
    </w:p>
    <w:tbl>
      <w:tblPr>
        <w:tblStyle w:val="TableGrid"/>
        <w:tblW w:type="dxa" w:w="9360"/>
        <w:jc w:val="left"/>
        <w:tblLayout w:type="fixed"/>
        <w:tblLook w:firstColumn="1" w:firstRow="1" w:lastColumn="0" w:lastRow="0" w:noHBand="0" w:noVBand="1" w:val="04A0"/>
        <w:tblInd w:w="120" w:type="dxa"/>
      </w:tblPr>
      <w:tblGrid>
        <w:gridCol w:w="900"/>
        <w:gridCol w:w="3200"/>
        <w:gridCol w:w="2760"/>
        <w:gridCol w:w="2500"/>
      </w:tblGrid>
      <w:tr>
        <w:trPr>
          <w:tblHeader w:val="true"/>
        </w:trPr>
        <w:tc>
          <w:tcPr>
            <w:tcW w:type="dxa" w:w="9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年份/类型</w:t>
            </w:r>
          </w:p>
        </w:tc>
        <w:tc>
          <w:tcPr>
            <w:tcW w:type="dxa" w:w="32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论文或软件</w:t>
            </w:r>
          </w:p>
        </w:tc>
        <w:tc>
          <w:tcPr>
            <w:tcW w:type="dxa" w:w="276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来源/关系</w:t>
            </w:r>
          </w:p>
        </w:tc>
        <w:tc>
          <w:tcPr>
            <w:tcW w:type="dxa" w:w="25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链接</w:t>
            </w:r>
          </w:p>
        </w:tc>
      </w:tr>
      <w:tr>
        <w:trPr>
          <w:cantSplit/>
        </w:trPr>
        <w:tc>
          <w:tcPr>
            <w:tcW w:type="dxa" w:w="900"/>
          </w:tcPr>
          <w:p>
            <w:pPr>
              <w:keepLines/>
              <w:spacing w:after="0" w:line="276" w:lineRule="auto"/>
            </w:pPr>
            <w:r>
              <w:rPr>
                <w:rFonts w:ascii="Calibri" w:hAnsi="Calibri" w:eastAsia="Microsoft YaHei"/>
                <w:color w:val="0B2545"/>
                <w:sz w:val="14"/>
              </w:rPr>
              <w:t>2026</w:t>
            </w:r>
          </w:p>
        </w:tc>
        <w:tc>
          <w:tcPr>
            <w:tcW w:type="dxa" w:w="3200"/>
          </w:tcPr>
          <w:p>
            <w:pPr>
              <w:keepLines/>
              <w:spacing w:after="0" w:line="276" w:lineRule="auto"/>
            </w:pPr>
            <w:r>
              <w:rPr>
                <w:rFonts w:ascii="Calibri" w:hAnsi="Calibri" w:eastAsia="Microsoft YaHei"/>
                <w:color w:val="0B2545"/>
                <w:sz w:val="14"/>
              </w:rPr>
              <w:t>LHD analyzed data repository</w:t>
            </w:r>
          </w:p>
        </w:tc>
        <w:tc>
          <w:tcPr>
            <w:tcW w:type="dxa" w:w="2760"/>
          </w:tcPr>
          <w:p>
            <w:pPr>
              <w:keepLines/>
              <w:spacing w:after="0" w:line="276" w:lineRule="auto"/>
            </w:pPr>
            <w:r>
              <w:rPr>
                <w:rFonts w:ascii="Calibri" w:hAnsi="Calibri" w:eastAsia="Microsoft YaHei"/>
                <w:color w:val="0B2545"/>
                <w:sz w:val="14"/>
              </w:rPr>
              <w:t>原始论文 / 官方来源</w:t>
            </w:r>
          </w:p>
        </w:tc>
        <w:tc>
          <w:tcPr>
            <w:tcW w:type="dxa" w:w="2500"/>
          </w:tcPr>
          <w:p>
            <w:pPr>
              <w:keepLines/>
              <w:spacing w:after="0" w:line="276" w:lineRule="auto"/>
            </w:pPr>
            <w:hyperlink r:id="rId256">
              <w:r>
                <w:rPr>
                  <w:rFonts w:ascii="Calibri" w:hAnsi="Calibri" w:eastAsia="Microsoft YaHei"/>
                  <w:color w:val="008C95"/>
                  <w:u w:val="single"/>
                </w:rPr>
                <w:t>打开原始来源 ↗</w:t>
              </w:r>
            </w:hyperlink>
          </w:p>
        </w:tc>
      </w:tr>
      <w:tr>
        <w:trPr>
          <w:cantSplit/>
        </w:trPr>
        <w:tc>
          <w:tcPr>
            <w:tcW w:type="dxa" w:w="900"/>
          </w:tcPr>
          <w:p>
            <w:pPr>
              <w:keepLines/>
              <w:spacing w:after="0" w:line="276" w:lineRule="auto"/>
            </w:pPr>
            <w:r>
              <w:rPr>
                <w:rFonts w:ascii="Calibri" w:hAnsi="Calibri" w:eastAsia="Microsoft YaHei"/>
                <w:color w:val="0B2545"/>
                <w:sz w:val="14"/>
              </w:rPr>
              <w:t>2026</w:t>
            </w:r>
          </w:p>
        </w:tc>
        <w:tc>
          <w:tcPr>
            <w:tcW w:type="dxa" w:w="3200"/>
          </w:tcPr>
          <w:p>
            <w:pPr>
              <w:keepLines/>
              <w:spacing w:after="0" w:line="276" w:lineRule="auto"/>
            </w:pPr>
            <w:r>
              <w:rPr>
                <w:rFonts w:ascii="Calibri" w:hAnsi="Calibri" w:eastAsia="Microsoft YaHei"/>
                <w:color w:val="0B2545"/>
                <w:sz w:val="14"/>
              </w:rPr>
              <w:t>Rights and Terms of Use for LHD Data</w:t>
            </w:r>
          </w:p>
        </w:tc>
        <w:tc>
          <w:tcPr>
            <w:tcW w:type="dxa" w:w="2760"/>
          </w:tcPr>
          <w:p>
            <w:pPr>
              <w:keepLines/>
              <w:spacing w:after="0" w:line="276" w:lineRule="auto"/>
            </w:pPr>
            <w:r>
              <w:rPr>
                <w:rFonts w:ascii="Calibri" w:hAnsi="Calibri" w:eastAsia="Microsoft YaHei"/>
                <w:color w:val="0B2545"/>
                <w:sz w:val="14"/>
              </w:rPr>
              <w:t>原始论文 / 官方来源</w:t>
            </w:r>
          </w:p>
        </w:tc>
        <w:tc>
          <w:tcPr>
            <w:tcW w:type="dxa" w:w="2500"/>
          </w:tcPr>
          <w:p>
            <w:pPr>
              <w:keepLines/>
              <w:spacing w:after="0" w:line="276" w:lineRule="auto"/>
            </w:pPr>
            <w:hyperlink r:id="rId257">
              <w:r>
                <w:rPr>
                  <w:rFonts w:ascii="Calibri" w:hAnsi="Calibri" w:eastAsia="Microsoft YaHei"/>
                  <w:color w:val="008C95"/>
                  <w:u w:val="single"/>
                </w:rPr>
                <w:t>打开原始来源 ↗</w:t>
              </w:r>
            </w:hyperlink>
          </w:p>
        </w:tc>
      </w:tr>
      <w:tr>
        <w:trPr>
          <w:cantSplit/>
        </w:trPr>
        <w:tc>
          <w:tcPr>
            <w:tcW w:type="dxa" w:w="900"/>
          </w:tcPr>
          <w:p>
            <w:pPr>
              <w:keepLines/>
              <w:spacing w:after="0" w:line="276" w:lineRule="auto"/>
            </w:pPr>
            <w:r>
              <w:rPr>
                <w:rFonts w:ascii="Calibri" w:hAnsi="Calibri" w:eastAsia="Microsoft YaHei"/>
                <w:color w:val="0B2545"/>
                <w:sz w:val="14"/>
              </w:rPr>
              <w:t>2026</w:t>
            </w:r>
          </w:p>
        </w:tc>
        <w:tc>
          <w:tcPr>
            <w:tcW w:type="dxa" w:w="3200"/>
          </w:tcPr>
          <w:p>
            <w:pPr>
              <w:keepLines/>
              <w:spacing w:after="0" w:line="276" w:lineRule="auto"/>
            </w:pPr>
            <w:r>
              <w:rPr>
                <w:rFonts w:ascii="Calibri" w:hAnsi="Calibri" w:eastAsia="Microsoft YaHei"/>
                <w:color w:val="0B2545"/>
                <w:sz w:val="14"/>
              </w:rPr>
              <w:t>LHD Open Data / Fusion Diagnostic Data Repository</w:t>
            </w:r>
          </w:p>
        </w:tc>
        <w:tc>
          <w:tcPr>
            <w:tcW w:type="dxa" w:w="2760"/>
          </w:tcPr>
          <w:p>
            <w:pPr>
              <w:keepLines/>
              <w:spacing w:after="0" w:line="276" w:lineRule="auto"/>
            </w:pPr>
            <w:r>
              <w:rPr>
                <w:rFonts w:ascii="Calibri" w:hAnsi="Calibri" w:eastAsia="Microsoft YaHei"/>
                <w:color w:val="0B2545"/>
                <w:sz w:val="14"/>
              </w:rPr>
              <w:t>原始论文 / 官方来源</w:t>
            </w:r>
          </w:p>
        </w:tc>
        <w:tc>
          <w:tcPr>
            <w:tcW w:type="dxa" w:w="2500"/>
          </w:tcPr>
          <w:p>
            <w:pPr>
              <w:keepLines/>
              <w:spacing w:after="0" w:line="276" w:lineRule="auto"/>
            </w:pPr>
            <w:hyperlink r:id="rId258">
              <w:r>
                <w:rPr>
                  <w:rFonts w:ascii="Calibri" w:hAnsi="Calibri" w:eastAsia="Microsoft YaHei"/>
                  <w:color w:val="008C95"/>
                  <w:u w:val="single"/>
                </w:rPr>
                <w:t>打开原始来源 ↗</w:t>
              </w:r>
            </w:hyperlink>
          </w:p>
        </w:tc>
      </w:tr>
      <w:tr>
        <w:trPr>
          <w:cantSplit/>
        </w:trPr>
        <w:tc>
          <w:tcPr>
            <w:tcW w:type="dxa" w:w="900"/>
          </w:tcPr>
          <w:p>
            <w:pPr>
              <w:keepLines/>
              <w:spacing w:after="0" w:line="276" w:lineRule="auto"/>
            </w:pPr>
            <w:r>
              <w:rPr>
                <w:rFonts w:ascii="Calibri" w:hAnsi="Calibri" w:eastAsia="Microsoft YaHei"/>
                <w:color w:val="0B2545"/>
                <w:sz w:val="14"/>
              </w:rPr>
              <w:t>软件</w:t>
            </w:r>
          </w:p>
        </w:tc>
        <w:tc>
          <w:tcPr>
            <w:tcW w:type="dxa" w:w="3200"/>
          </w:tcPr>
          <w:p>
            <w:pPr>
              <w:keepLines/>
              <w:spacing w:after="0" w:line="276" w:lineRule="auto"/>
            </w:pPr>
            <w:r>
              <w:rPr>
                <w:rFonts w:ascii="Calibri" w:hAnsi="Calibri" w:eastAsia="Microsoft YaHei"/>
                <w:color w:val="0B2545"/>
                <w:sz w:val="14"/>
              </w:rPr>
              <w:t>LHD Experiment Data Repository</w:t>
            </w:r>
          </w:p>
        </w:tc>
        <w:tc>
          <w:tcPr>
            <w:tcW w:type="dxa" w:w="2760"/>
          </w:tcPr>
          <w:p>
            <w:pPr>
              <w:keepLines/>
              <w:spacing w:after="0" w:line="276" w:lineRule="auto"/>
            </w:pPr>
            <w:r>
              <w:rPr>
                <w:rFonts w:ascii="Calibri" w:hAnsi="Calibri" w:eastAsia="Microsoft YaHei"/>
                <w:color w:val="0B2545"/>
                <w:sz w:val="14"/>
              </w:rPr>
              <w:t>official-enabling / 可检索数据产品；发表需遵守咨询、caveat 和致谢规则</w:t>
            </w:r>
          </w:p>
        </w:tc>
        <w:tc>
          <w:tcPr>
            <w:tcW w:type="dxa" w:w="2500"/>
          </w:tcPr>
          <w:p>
            <w:pPr>
              <w:keepLines/>
              <w:spacing w:after="0" w:line="276" w:lineRule="auto"/>
            </w:pPr>
            <w:hyperlink r:id="rId259">
              <w:r>
                <w:rPr>
                  <w:rFonts w:ascii="Calibri" w:hAnsi="Calibri" w:eastAsia="Microsoft YaHei"/>
                  <w:color w:val="008C95"/>
                  <w:u w:val="single"/>
                </w:rPr>
                <w:t>打开原始来源 ↗</w:t>
              </w:r>
            </w:hyperlink>
          </w:p>
        </w:tc>
      </w:tr>
      <w:tr>
        <w:trPr>
          <w:cantSplit/>
        </w:trPr>
        <w:tc>
          <w:tcPr>
            <w:tcW w:type="dxa" w:w="900"/>
          </w:tcPr>
          <w:p>
            <w:pPr>
              <w:keepLines/>
              <w:spacing w:after="0" w:line="276" w:lineRule="auto"/>
            </w:pPr>
            <w:r>
              <w:rPr>
                <w:rFonts w:ascii="Calibri" w:hAnsi="Calibri" w:eastAsia="Microsoft YaHei"/>
                <w:color w:val="0B2545"/>
                <w:sz w:val="14"/>
              </w:rPr>
              <w:t>软件</w:t>
            </w:r>
          </w:p>
        </w:tc>
        <w:tc>
          <w:tcPr>
            <w:tcW w:type="dxa" w:w="3200"/>
          </w:tcPr>
          <w:p>
            <w:pPr>
              <w:keepLines/>
              <w:spacing w:after="0" w:line="276" w:lineRule="auto"/>
            </w:pPr>
            <w:r>
              <w:rPr>
                <w:rFonts w:ascii="Calibri" w:hAnsi="Calibri" w:eastAsia="Microsoft YaHei"/>
                <w:color w:val="0B2545"/>
                <w:sz w:val="14"/>
              </w:rPr>
              <w:t>Retrieve package and example scripts</w:t>
            </w:r>
          </w:p>
        </w:tc>
        <w:tc>
          <w:tcPr>
            <w:tcW w:type="dxa" w:w="2760"/>
          </w:tcPr>
          <w:p>
            <w:pPr>
              <w:keepLines/>
              <w:spacing w:after="0" w:line="276" w:lineRule="auto"/>
            </w:pPr>
            <w:r>
              <w:rPr>
                <w:rFonts w:ascii="Calibri" w:hAnsi="Calibri" w:eastAsia="Microsoft YaHei"/>
                <w:color w:val="0B2545"/>
                <w:sz w:val="14"/>
              </w:rPr>
              <w:t>official-direct / 官方访问工具；环境与旧格式依赖需管理</w:t>
            </w:r>
          </w:p>
        </w:tc>
        <w:tc>
          <w:tcPr>
            <w:tcW w:type="dxa" w:w="2500"/>
          </w:tcPr>
          <w:p>
            <w:pPr>
              <w:keepLines/>
              <w:spacing w:after="0" w:line="276" w:lineRule="auto"/>
            </w:pPr>
            <w:hyperlink r:id="rId260">
              <w:r>
                <w:rPr>
                  <w:rFonts w:ascii="Calibri" w:hAnsi="Calibri" w:eastAsia="Microsoft YaHei"/>
                  <w:color w:val="008C95"/>
                  <w:u w:val="single"/>
                </w:rPr>
                <w:t>打开原始来源 ↗</w:t>
              </w:r>
            </w:hyperlink>
          </w:p>
        </w:tc>
      </w:tr>
    </w:tbl>
    <w:p>
      <w:pPr>
        <w:spacing w:before="0" w:after="60"/>
      </w:pPr>
    </w:p>
    <w:p>
      <w:pPr>
        <w:pStyle w:val="Heading2"/>
      </w:pPr>
      <w:r>
        <w:t>17.13  MAST Upgrade</w:t>
      </w:r>
    </w:p>
    <w:tbl>
      <w:tblPr>
        <w:tblStyle w:val="TableGrid"/>
        <w:tblW w:type="dxa" w:w="9360"/>
        <w:jc w:val="left"/>
        <w:tblLayout w:type="fixed"/>
        <w:tblLook w:firstColumn="1" w:firstRow="1" w:lastColumn="0" w:lastRow="0" w:noHBand="0" w:noVBand="1" w:val="04A0"/>
        <w:tblInd w:w="120" w:type="dxa"/>
      </w:tblPr>
      <w:tblGrid>
        <w:gridCol w:w="1100"/>
        <w:gridCol w:w="1100"/>
        <w:gridCol w:w="2400"/>
        <w:gridCol w:w="1900"/>
        <w:gridCol w:w="2860"/>
      </w:tblGrid>
      <w:tr>
        <w:trPr>
          <w:tblHeader w:val="true"/>
        </w:trPr>
        <w:tc>
          <w:tcPr>
            <w:tcW w:type="dxa" w:w="11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类型</w:t>
            </w:r>
          </w:p>
        </w:tc>
        <w:tc>
          <w:tcPr>
            <w:tcW w:type="dxa" w:w="11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国家/地区</w:t>
            </w:r>
          </w:p>
        </w:tc>
        <w:tc>
          <w:tcPr>
            <w:tcW w:type="dxa" w:w="24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运营方</w:t>
            </w:r>
          </w:p>
        </w:tc>
        <w:tc>
          <w:tcPr>
            <w:tcW w:type="dxa" w:w="19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状态</w:t>
            </w:r>
          </w:p>
        </w:tc>
        <w:tc>
          <w:tcPr>
            <w:tcW w:type="dxa" w:w="286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覆盖任务</w:t>
            </w:r>
          </w:p>
        </w:tc>
      </w:tr>
      <w:tr>
        <w:trPr>
          <w:cantSplit/>
        </w:trPr>
        <w:tc>
          <w:tcPr>
            <w:tcW w:type="dxa" w:w="1100"/>
          </w:tcPr>
          <w:p>
            <w:pPr>
              <w:keepLines/>
              <w:spacing w:after="0" w:line="276" w:lineRule="auto"/>
            </w:pPr>
            <w:r>
              <w:rPr>
                <w:rFonts w:ascii="Calibri" w:hAnsi="Calibri" w:eastAsia="Microsoft YaHei"/>
                <w:color w:val="0B2545"/>
                <w:sz w:val="15"/>
              </w:rPr>
              <w:t>球形托卡马克</w:t>
            </w:r>
          </w:p>
        </w:tc>
        <w:tc>
          <w:tcPr>
            <w:tcW w:type="dxa" w:w="1100"/>
          </w:tcPr>
          <w:p>
            <w:pPr>
              <w:keepLines/>
              <w:spacing w:after="0" w:line="276" w:lineRule="auto"/>
            </w:pPr>
            <w:r>
              <w:rPr>
                <w:rFonts w:ascii="Calibri" w:hAnsi="Calibri" w:eastAsia="Microsoft YaHei"/>
                <w:color w:val="0B2545"/>
                <w:sz w:val="15"/>
              </w:rPr>
              <w:t>英国</w:t>
            </w:r>
          </w:p>
        </w:tc>
        <w:tc>
          <w:tcPr>
            <w:tcW w:type="dxa" w:w="2400"/>
          </w:tcPr>
          <w:p>
            <w:pPr>
              <w:keepLines/>
              <w:spacing w:after="0" w:line="276" w:lineRule="auto"/>
            </w:pPr>
            <w:r>
              <w:rPr>
                <w:rFonts w:ascii="Calibri" w:hAnsi="Calibri" w:eastAsia="Microsoft YaHei"/>
                <w:color w:val="0B2545"/>
                <w:sz w:val="15"/>
              </w:rPr>
              <w:t>UKAEA</w:t>
            </w:r>
          </w:p>
        </w:tc>
        <w:tc>
          <w:tcPr>
            <w:tcW w:type="dxa" w:w="1900"/>
          </w:tcPr>
          <w:p>
            <w:pPr>
              <w:keepLines/>
              <w:spacing w:after="0" w:line="276" w:lineRule="auto"/>
            </w:pPr>
            <w:r>
              <w:rPr>
                <w:rFonts w:ascii="Calibri" w:hAnsi="Calibri" w:eastAsia="Microsoft YaHei"/>
                <w:color w:val="0B2545"/>
                <w:sz w:val="15"/>
              </w:rPr>
              <w:t>运行中的研究装置</w:t>
            </w:r>
          </w:p>
        </w:tc>
        <w:tc>
          <w:tcPr>
            <w:tcW w:type="dxa" w:w="2860"/>
          </w:tcPr>
          <w:p>
            <w:pPr>
              <w:keepLines/>
              <w:spacing w:after="0" w:line="276" w:lineRule="auto"/>
            </w:pPr>
            <w:r>
              <w:rPr>
                <w:rFonts w:ascii="Calibri" w:hAnsi="Calibri" w:eastAsia="Microsoft YaHei"/>
                <w:color w:val="0B2545"/>
                <w:sz w:val="15"/>
              </w:rPr>
              <w:t>DG0；DG1；DG2；DG3；DG4；DG5；DG6；DG7；DG9；DG11</w:t>
            </w:r>
          </w:p>
        </w:tc>
      </w:tr>
    </w:tbl>
    <w:p>
      <w:pPr>
        <w:spacing w:before="0" w:after="60"/>
      </w:pPr>
    </w:p>
    <w:p>
      <w:pPr>
        <w:widowControl/>
      </w:pPr>
      <w:r>
        <w:rPr>
          <w:rFonts w:ascii="Calibri" w:hAnsi="Calibri" w:eastAsia="Microsoft YaHei"/>
          <w:b/>
          <w:color w:val="1F4D78"/>
        </w:rPr>
        <w:t>诊断概况：</w:t>
      </w:r>
      <w:r>
        <w:rPr>
          <w:rFonts w:ascii="Calibri" w:hAnsi="Calibri" w:eastAsia="Microsoft YaHei"/>
        </w:rPr>
        <w:t>MAST-U 诊断围绕 Super-X/先进偏滤器、球形环 MHD、快离子和高空间分辨剖面展开。磁诊断在升级后重建并完成 in-situ 标定；foil bolometer 使用 FPGA 采集并以合成诊断评估二维反演；Thomson、BES、CXRS、IR/可见、光谱和边界探针构成主要物理链。</w:t>
      </w:r>
    </w:p>
    <w:p>
      <w:pPr>
        <w:widowControl/>
      </w:pPr>
      <w:r>
        <w:rPr>
          <w:rFonts w:ascii="Calibri" w:hAnsi="Calibri" w:eastAsia="Microsoft YaHei"/>
          <w:b/>
          <w:color w:val="1F4D78"/>
        </w:rPr>
        <w:t>主要系统：</w:t>
      </w:r>
      <w:r>
        <w:rPr>
          <w:rFonts w:ascii="Calibri" w:hAnsi="Calibri" w:eastAsia="Microsoft YaHei"/>
        </w:rPr>
        <w:t>family: magnetic；systems: flux loops；pickup coils；Rogowski coils；instability arrays；measuredQuantities: equilibrium/current；MHD；evidence: E4/D4；realTimeUse: 机器保护、PCS 和物理；family: radiation-divertor；systems: foil bolometer arrays；divertor spectroscopy/imaging；IR thermography；Langmuir/reciprocating probes；measuredQuantities: radiation emissivity；detachment/front；heat load/edge state；evidence: E3-E4/D3-D4；realTimeUse: 实时前沿/排热研究逐步集成；family: profiles-fast-ion；systems: Thomson；BES；CXRS；FIDA/FILD；measuredQuantities: ne/Te；turbulence；Ti/rotation；fast ions；evidence: E3-E4/D3-D4；realTimeUse: system dependent</w:t>
      </w:r>
    </w:p>
    <w:p>
      <w:pPr>
        <w:widowControl/>
      </w:pPr>
      <w:r>
        <w:rPr>
          <w:rFonts w:ascii="Calibri" w:hAnsi="Calibri" w:eastAsia="Microsoft YaHei"/>
          <w:b/>
          <w:color w:val="1F4D78"/>
        </w:rPr>
        <w:t>测量/传感：</w:t>
      </w:r>
      <w:r>
        <w:rPr>
          <w:rFonts w:ascii="Calibri" w:hAnsi="Calibri" w:eastAsia="Microsoft YaHei"/>
        </w:rPr>
        <w:t>magnetic coils；foil bolometers and FPGA electronics；Thomson lasers/polychromators；spectrometers；IR/visible cameras；edge/fast-ion probes</w:t>
      </w:r>
    </w:p>
    <w:p>
      <w:pPr>
        <w:widowControl/>
      </w:pPr>
      <w:r>
        <w:rPr>
          <w:rFonts w:ascii="Calibri" w:hAnsi="Calibri" w:eastAsia="Microsoft YaHei"/>
          <w:b/>
          <w:color w:val="1F4D78"/>
        </w:rPr>
        <w:t>实时与 PCS 接口：</w:t>
      </w:r>
      <w:r>
        <w:rPr>
          <w:rFonts w:ascii="Calibri" w:hAnsi="Calibri" w:eastAsia="Microsoft YaHei"/>
        </w:rPr>
        <w:t>GA PCS branch and MAST-U control；FPGA bolometer processing；UDA/MDSplus-like multi-machine access through collaboration</w:t>
      </w:r>
    </w:p>
    <w:p>
      <w:pPr>
        <w:widowControl/>
      </w:pPr>
      <w:r>
        <w:rPr>
          <w:rFonts w:ascii="Calibri" w:hAnsi="Calibri" w:eastAsia="Microsoft YaHei"/>
          <w:b/>
          <w:color w:val="1F4D78"/>
        </w:rPr>
        <w:t>数据平台：</w:t>
      </w:r>
      <w:r>
        <w:rPr>
          <w:rFonts w:ascii="Calibri" w:hAnsi="Calibri" w:eastAsia="Microsoft YaHei"/>
        </w:rPr>
        <w:t>systems: UDA；MAST-U facility archive；access: UKAEA collaboration; selected papers/data products public；evidence: UKAEA publications and research plan</w:t>
      </w:r>
    </w:p>
    <w:p>
      <w:pPr>
        <w:widowControl/>
      </w:pPr>
      <w:r>
        <w:rPr>
          <w:rFonts w:ascii="Calibri" w:hAnsi="Calibri" w:eastAsia="Microsoft YaHei"/>
          <w:b/>
          <w:color w:val="1F4D78"/>
        </w:rPr>
        <w:t>代表工作概述：</w:t>
      </w:r>
      <w:r>
        <w:rPr>
          <w:rFonts w:ascii="Calibri" w:hAnsi="Calibri" w:eastAsia="Microsoft YaHei"/>
        </w:rPr>
        <w:t>102 个 flux loops 与 pickup/Rogowski 的磁诊断重建和不确定度标定；main-chamber/divertor foil bolometers + FPGA；bolometer synthetic diagnostic 与 2D reconstruction UQ；Super-X 辐射前沿、光谱、IR 和探针</w:t>
      </w:r>
    </w:p>
    <w:p>
      <w:pPr>
        <w:widowControl/>
      </w:pPr>
      <w:r>
        <w:rPr>
          <w:rFonts w:ascii="Calibri" w:hAnsi="Calibri" w:eastAsia="Microsoft YaHei"/>
          <w:b/>
          <w:color w:val="1F4D78"/>
        </w:rPr>
        <w:t>证据边界：</w:t>
      </w:r>
      <w:r>
        <w:rPr>
          <w:rFonts w:ascii="Calibri" w:hAnsi="Calibri" w:eastAsia="Microsoft YaHei"/>
        </w:rPr>
        <w:t>第一轮运行暴露 bolometer 电噪声和探测器失效机制；磁标定不确定度必须随硬件/维修版本保留；先进偏滤器诊断变量与反应堆尺度热通量间仍需模型外推</w:t>
      </w:r>
    </w:p>
    <w:tbl>
      <w:tblPr>
        <w:tblStyle w:val="TableGrid"/>
        <w:tblW w:type="dxa" w:w="9360"/>
        <w:jc w:val="left"/>
        <w:tblLayout w:type="fixed"/>
        <w:tblLook w:firstColumn="1" w:firstRow="1" w:lastColumn="0" w:lastRow="0" w:noHBand="0" w:noVBand="1" w:val="04A0"/>
        <w:tblInd w:w="120" w:type="dxa"/>
      </w:tblPr>
      <w:tblGrid>
        <w:gridCol w:w="1200"/>
        <w:gridCol w:w="750"/>
        <w:gridCol w:w="5300"/>
        <w:gridCol w:w="950"/>
        <w:gridCol w:w="1160"/>
      </w:tblGrid>
      <w:tr>
        <w:trPr>
          <w:tblHeader w:val="true"/>
        </w:trPr>
        <w:tc>
          <w:tcPr>
            <w:tcW w:type="dxa" w:w="12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工作 ID</w:t>
            </w:r>
          </w:p>
        </w:tc>
        <w:tc>
          <w:tcPr>
            <w:tcW w:type="dxa" w:w="7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任务</w:t>
            </w:r>
          </w:p>
        </w:tc>
        <w:tc>
          <w:tcPr>
            <w:tcW w:type="dxa" w:w="53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代表工作</w:t>
            </w:r>
          </w:p>
        </w:tc>
        <w:tc>
          <w:tcPr>
            <w:tcW w:type="dxa" w:w="9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证据</w:t>
            </w:r>
          </w:p>
        </w:tc>
        <w:tc>
          <w:tcPr>
            <w:tcW w:type="dxa" w:w="116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部署</w:t>
            </w:r>
          </w:p>
        </w:tc>
      </w:tr>
      <w:tr>
        <w:trPr>
          <w:cantSplit/>
        </w:trPr>
        <w:tc>
          <w:tcPr>
            <w:tcW w:type="dxa" w:w="1200"/>
          </w:tcPr>
          <w:p>
            <w:pPr>
              <w:keepLines/>
              <w:spacing w:after="0" w:line="276" w:lineRule="auto"/>
            </w:pPr>
            <w:r>
              <w:rPr>
                <w:rFonts w:ascii="Calibri" w:hAnsi="Calibri" w:eastAsia="Microsoft YaHei"/>
                <w:color w:val="0B2545"/>
                <w:sz w:val="15"/>
              </w:rPr>
              <w:t>DG5-026</w:t>
            </w:r>
          </w:p>
        </w:tc>
        <w:tc>
          <w:tcPr>
            <w:tcW w:type="dxa" w:w="750"/>
          </w:tcPr>
          <w:p>
            <w:pPr>
              <w:keepLines/>
              <w:spacing w:after="0" w:line="276" w:lineRule="auto"/>
            </w:pPr>
            <w:r>
              <w:rPr>
                <w:rFonts w:ascii="Calibri" w:hAnsi="Calibri" w:eastAsia="Microsoft YaHei"/>
                <w:color w:val="0B2545"/>
                <w:sz w:val="15"/>
              </w:rPr>
              <w:t>DG5</w:t>
            </w:r>
          </w:p>
        </w:tc>
        <w:tc>
          <w:tcPr>
            <w:tcW w:type="dxa" w:w="5300"/>
          </w:tcPr>
          <w:p>
            <w:pPr>
              <w:keepLines/>
              <w:spacing w:after="0" w:line="276" w:lineRule="auto"/>
            </w:pPr>
            <w:r>
              <w:rPr>
                <w:rFonts w:ascii="Calibri" w:hAnsi="Calibri" w:eastAsia="Microsoft YaHei"/>
                <w:color w:val="0B2545"/>
                <w:sz w:val="15"/>
              </w:rPr>
              <w:t>FIDA与成像FIDA：快离子相空间</w:t>
            </w:r>
          </w:p>
        </w:tc>
        <w:tc>
          <w:tcPr>
            <w:tcW w:type="dxa" w:w="950"/>
          </w:tcPr>
          <w:p>
            <w:pPr>
              <w:keepLines/>
              <w:spacing w:after="0" w:line="276" w:lineRule="auto"/>
            </w:pPr>
            <w:r>
              <w:rPr>
                <w:rFonts w:ascii="Calibri" w:hAnsi="Calibri" w:eastAsia="Microsoft YaHei"/>
                <w:color w:val="0B2545"/>
                <w:sz w:val="15"/>
              </w:rPr>
              <w:t>E4</w:t>
            </w:r>
          </w:p>
        </w:tc>
        <w:tc>
          <w:tcPr>
            <w:tcW w:type="dxa" w:w="1160"/>
          </w:tcPr>
          <w:p>
            <w:pPr>
              <w:keepLines/>
              <w:spacing w:after="0" w:line="276" w:lineRule="auto"/>
            </w:pPr>
            <w:r>
              <w:rPr>
                <w:rFonts w:ascii="Calibri" w:hAnsi="Calibri" w:eastAsia="Microsoft YaHei"/>
                <w:color w:val="0B2545"/>
                <w:sz w:val="15"/>
              </w:rPr>
              <w:t>D4</w:t>
            </w:r>
          </w:p>
        </w:tc>
      </w:tr>
      <w:tr>
        <w:trPr>
          <w:cantSplit/>
        </w:trPr>
        <w:tc>
          <w:tcPr>
            <w:tcW w:type="dxa" w:w="1200"/>
          </w:tcPr>
          <w:p>
            <w:pPr>
              <w:keepLines/>
              <w:spacing w:after="0" w:line="276" w:lineRule="auto"/>
            </w:pPr>
            <w:r>
              <w:rPr>
                <w:rFonts w:ascii="Calibri" w:hAnsi="Calibri" w:eastAsia="Microsoft YaHei"/>
                <w:color w:val="0B2545"/>
                <w:sz w:val="15"/>
              </w:rPr>
              <w:t>DG5-028</w:t>
            </w:r>
          </w:p>
        </w:tc>
        <w:tc>
          <w:tcPr>
            <w:tcW w:type="dxa" w:w="750"/>
          </w:tcPr>
          <w:p>
            <w:pPr>
              <w:keepLines/>
              <w:spacing w:after="0" w:line="276" w:lineRule="auto"/>
            </w:pPr>
            <w:r>
              <w:rPr>
                <w:rFonts w:ascii="Calibri" w:hAnsi="Calibri" w:eastAsia="Microsoft YaHei"/>
                <w:color w:val="0B2545"/>
                <w:sz w:val="15"/>
              </w:rPr>
              <w:t>DG5</w:t>
            </w:r>
          </w:p>
        </w:tc>
        <w:tc>
          <w:tcPr>
            <w:tcW w:type="dxa" w:w="5300"/>
          </w:tcPr>
          <w:p>
            <w:pPr>
              <w:keepLines/>
              <w:spacing w:after="0" w:line="276" w:lineRule="auto"/>
            </w:pPr>
            <w:r>
              <w:rPr>
                <w:rFonts w:ascii="Calibri" w:hAnsi="Calibri" w:eastAsia="Microsoft YaHei"/>
                <w:color w:val="0B2545"/>
                <w:sz w:val="15"/>
              </w:rPr>
              <w:t>快离子损失探测器：轨道损失与MHD再分布</w:t>
            </w:r>
          </w:p>
        </w:tc>
        <w:tc>
          <w:tcPr>
            <w:tcW w:type="dxa" w:w="950"/>
          </w:tcPr>
          <w:p>
            <w:pPr>
              <w:keepLines/>
              <w:spacing w:after="0" w:line="276" w:lineRule="auto"/>
            </w:pPr>
            <w:r>
              <w:rPr>
                <w:rFonts w:ascii="Calibri" w:hAnsi="Calibri" w:eastAsia="Microsoft YaHei"/>
                <w:color w:val="0B2545"/>
                <w:sz w:val="15"/>
              </w:rPr>
              <w:t>E4</w:t>
            </w:r>
          </w:p>
        </w:tc>
        <w:tc>
          <w:tcPr>
            <w:tcW w:type="dxa" w:w="1160"/>
          </w:tcPr>
          <w:p>
            <w:pPr>
              <w:keepLines/>
              <w:spacing w:after="0" w:line="276" w:lineRule="auto"/>
            </w:pPr>
            <w:r>
              <w:rPr>
                <w:rFonts w:ascii="Calibri" w:hAnsi="Calibri" w:eastAsia="Microsoft YaHei"/>
                <w:color w:val="0B2545"/>
                <w:sz w:val="15"/>
              </w:rPr>
              <w:t>D4</w:t>
            </w:r>
          </w:p>
        </w:tc>
      </w:tr>
      <w:tr>
        <w:trPr>
          <w:cantSplit/>
        </w:trPr>
        <w:tc>
          <w:tcPr>
            <w:tcW w:type="dxa" w:w="1200"/>
          </w:tcPr>
          <w:p>
            <w:pPr>
              <w:keepLines/>
              <w:spacing w:after="0" w:line="276" w:lineRule="auto"/>
            </w:pPr>
            <w:r>
              <w:rPr>
                <w:rFonts w:ascii="Calibri" w:hAnsi="Calibri" w:eastAsia="Microsoft YaHei"/>
                <w:color w:val="0B2545"/>
                <w:sz w:val="15"/>
              </w:rPr>
              <w:t>DG6-029</w:t>
            </w:r>
          </w:p>
        </w:tc>
        <w:tc>
          <w:tcPr>
            <w:tcW w:type="dxa" w:w="750"/>
          </w:tcPr>
          <w:p>
            <w:pPr>
              <w:keepLines/>
              <w:spacing w:after="0" w:line="276" w:lineRule="auto"/>
            </w:pPr>
            <w:r>
              <w:rPr>
                <w:rFonts w:ascii="Calibri" w:hAnsi="Calibri" w:eastAsia="Microsoft YaHei"/>
                <w:color w:val="0B2545"/>
                <w:sz w:val="15"/>
              </w:rPr>
              <w:t>DG6</w:t>
            </w:r>
          </w:p>
        </w:tc>
        <w:tc>
          <w:tcPr>
            <w:tcW w:type="dxa" w:w="5300"/>
          </w:tcPr>
          <w:p>
            <w:pPr>
              <w:keepLines/>
              <w:spacing w:after="0" w:line="276" w:lineRule="auto"/>
            </w:pPr>
            <w:r>
              <w:rPr>
                <w:rFonts w:ascii="Calibri" w:hAnsi="Calibri" w:eastAsia="Microsoft YaHei"/>
                <w:color w:val="0B2545"/>
                <w:sz w:val="15"/>
              </w:rPr>
              <w:t>Mirnov线圈阵列：MHD模态与锁模</w:t>
            </w:r>
          </w:p>
        </w:tc>
        <w:tc>
          <w:tcPr>
            <w:tcW w:type="dxa" w:w="950"/>
          </w:tcPr>
          <w:p>
            <w:pPr>
              <w:keepLines/>
              <w:spacing w:after="0" w:line="276" w:lineRule="auto"/>
            </w:pPr>
            <w:r>
              <w:rPr>
                <w:rFonts w:ascii="Calibri" w:hAnsi="Calibri" w:eastAsia="Microsoft YaHei"/>
                <w:color w:val="0B2545"/>
                <w:sz w:val="15"/>
              </w:rPr>
              <w:t>E4</w:t>
            </w:r>
          </w:p>
        </w:tc>
        <w:tc>
          <w:tcPr>
            <w:tcW w:type="dxa" w:w="1160"/>
          </w:tcPr>
          <w:p>
            <w:pPr>
              <w:keepLines/>
              <w:spacing w:after="0" w:line="276" w:lineRule="auto"/>
            </w:pPr>
            <w:r>
              <w:rPr>
                <w:rFonts w:ascii="Calibri" w:hAnsi="Calibri" w:eastAsia="Microsoft YaHei"/>
                <w:color w:val="0B2545"/>
                <w:sz w:val="15"/>
              </w:rPr>
              <w:t>D4</w:t>
            </w:r>
          </w:p>
        </w:tc>
      </w:tr>
      <w:tr>
        <w:trPr>
          <w:cantSplit/>
        </w:trPr>
        <w:tc>
          <w:tcPr>
            <w:tcW w:type="dxa" w:w="1200"/>
          </w:tcPr>
          <w:p>
            <w:pPr>
              <w:keepLines/>
              <w:spacing w:after="0" w:line="276" w:lineRule="auto"/>
            </w:pPr>
            <w:r>
              <w:rPr>
                <w:rFonts w:ascii="Calibri" w:hAnsi="Calibri" w:eastAsia="Microsoft YaHei"/>
                <w:color w:val="0B2545"/>
                <w:sz w:val="15"/>
              </w:rPr>
              <w:t>DG6-031</w:t>
            </w:r>
          </w:p>
        </w:tc>
        <w:tc>
          <w:tcPr>
            <w:tcW w:type="dxa" w:w="750"/>
          </w:tcPr>
          <w:p>
            <w:pPr>
              <w:keepLines/>
              <w:spacing w:after="0" w:line="276" w:lineRule="auto"/>
            </w:pPr>
            <w:r>
              <w:rPr>
                <w:rFonts w:ascii="Calibri" w:hAnsi="Calibri" w:eastAsia="Microsoft YaHei"/>
                <w:color w:val="0B2545"/>
                <w:sz w:val="15"/>
              </w:rPr>
              <w:t>DG6</w:t>
            </w:r>
          </w:p>
        </w:tc>
        <w:tc>
          <w:tcPr>
            <w:tcW w:type="dxa" w:w="5300"/>
          </w:tcPr>
          <w:p>
            <w:pPr>
              <w:keepLines/>
              <w:spacing w:after="0" w:line="276" w:lineRule="auto"/>
            </w:pPr>
            <w:r>
              <w:rPr>
                <w:rFonts w:ascii="Calibri" w:hAnsi="Calibri" w:eastAsia="Microsoft YaHei"/>
                <w:color w:val="0B2545"/>
                <w:sz w:val="15"/>
              </w:rPr>
              <w:t>束发射光谱：密度湍流与径向相关</w:t>
            </w:r>
          </w:p>
        </w:tc>
        <w:tc>
          <w:tcPr>
            <w:tcW w:type="dxa" w:w="950"/>
          </w:tcPr>
          <w:p>
            <w:pPr>
              <w:keepLines/>
              <w:spacing w:after="0" w:line="276" w:lineRule="auto"/>
            </w:pPr>
            <w:r>
              <w:rPr>
                <w:rFonts w:ascii="Calibri" w:hAnsi="Calibri" w:eastAsia="Microsoft YaHei"/>
                <w:color w:val="0B2545"/>
                <w:sz w:val="15"/>
              </w:rPr>
              <w:t>E4</w:t>
            </w:r>
          </w:p>
        </w:tc>
        <w:tc>
          <w:tcPr>
            <w:tcW w:type="dxa" w:w="1160"/>
          </w:tcPr>
          <w:p>
            <w:pPr>
              <w:keepLines/>
              <w:spacing w:after="0" w:line="276" w:lineRule="auto"/>
            </w:pPr>
            <w:r>
              <w:rPr>
                <w:rFonts w:ascii="Calibri" w:hAnsi="Calibri" w:eastAsia="Microsoft YaHei"/>
                <w:color w:val="0B2545"/>
                <w:sz w:val="15"/>
              </w:rPr>
              <w:t>D4</w:t>
            </w:r>
          </w:p>
        </w:tc>
      </w:tr>
      <w:tr>
        <w:trPr>
          <w:cantSplit/>
        </w:trPr>
        <w:tc>
          <w:tcPr>
            <w:tcW w:type="dxa" w:w="1200"/>
          </w:tcPr>
          <w:p>
            <w:pPr>
              <w:keepLines/>
              <w:spacing w:after="0" w:line="276" w:lineRule="auto"/>
            </w:pPr>
            <w:r>
              <w:rPr>
                <w:rFonts w:ascii="Calibri" w:hAnsi="Calibri" w:eastAsia="Microsoft YaHei"/>
                <w:color w:val="0B2545"/>
                <w:sz w:val="15"/>
              </w:rPr>
              <w:t>DG7-036</w:t>
            </w:r>
          </w:p>
        </w:tc>
        <w:tc>
          <w:tcPr>
            <w:tcW w:type="dxa" w:w="750"/>
          </w:tcPr>
          <w:p>
            <w:pPr>
              <w:keepLines/>
              <w:spacing w:after="0" w:line="276" w:lineRule="auto"/>
            </w:pPr>
            <w:r>
              <w:rPr>
                <w:rFonts w:ascii="Calibri" w:hAnsi="Calibri" w:eastAsia="Microsoft YaHei"/>
                <w:color w:val="0B2545"/>
                <w:sz w:val="15"/>
              </w:rPr>
              <w:t>DG7</w:t>
            </w:r>
          </w:p>
        </w:tc>
        <w:tc>
          <w:tcPr>
            <w:tcW w:type="dxa" w:w="5300"/>
          </w:tcPr>
          <w:p>
            <w:pPr>
              <w:keepLines/>
              <w:spacing w:after="0" w:line="276" w:lineRule="auto"/>
            </w:pPr>
            <w:r>
              <w:rPr>
                <w:rFonts w:ascii="Calibri" w:hAnsi="Calibri" w:eastAsia="Microsoft YaHei"/>
                <w:color w:val="0B2545"/>
                <w:sz w:val="15"/>
              </w:rPr>
              <w:t>固定/往复式朗缪尔探针：SOL与偏滤器局部参数</w:t>
            </w:r>
          </w:p>
        </w:tc>
        <w:tc>
          <w:tcPr>
            <w:tcW w:type="dxa" w:w="950"/>
          </w:tcPr>
          <w:p>
            <w:pPr>
              <w:keepLines/>
              <w:spacing w:after="0" w:line="276" w:lineRule="auto"/>
            </w:pPr>
            <w:r>
              <w:rPr>
                <w:rFonts w:ascii="Calibri" w:hAnsi="Calibri" w:eastAsia="Microsoft YaHei"/>
                <w:color w:val="0B2545"/>
                <w:sz w:val="15"/>
              </w:rPr>
              <w:t>E4</w:t>
            </w:r>
          </w:p>
        </w:tc>
        <w:tc>
          <w:tcPr>
            <w:tcW w:type="dxa" w:w="1160"/>
          </w:tcPr>
          <w:p>
            <w:pPr>
              <w:keepLines/>
              <w:spacing w:after="0" w:line="276" w:lineRule="auto"/>
            </w:pPr>
            <w:r>
              <w:rPr>
                <w:rFonts w:ascii="Calibri" w:hAnsi="Calibri" w:eastAsia="Microsoft YaHei"/>
                <w:color w:val="0B2545"/>
                <w:sz w:val="15"/>
              </w:rPr>
              <w:t>D4</w:t>
            </w:r>
          </w:p>
        </w:tc>
      </w:tr>
      <w:tr>
        <w:trPr>
          <w:cantSplit/>
        </w:trPr>
        <w:tc>
          <w:tcPr>
            <w:tcW w:type="dxa" w:w="1200"/>
          </w:tcPr>
          <w:p>
            <w:pPr>
              <w:keepLines/>
              <w:spacing w:after="0" w:line="276" w:lineRule="auto"/>
            </w:pPr>
            <w:r>
              <w:rPr>
                <w:rFonts w:ascii="Calibri" w:hAnsi="Calibri" w:eastAsia="Microsoft YaHei"/>
                <w:color w:val="0B2545"/>
                <w:sz w:val="15"/>
              </w:rPr>
              <w:t>DG7-039</w:t>
            </w:r>
          </w:p>
        </w:tc>
        <w:tc>
          <w:tcPr>
            <w:tcW w:type="dxa" w:w="750"/>
          </w:tcPr>
          <w:p>
            <w:pPr>
              <w:keepLines/>
              <w:spacing w:after="0" w:line="276" w:lineRule="auto"/>
            </w:pPr>
            <w:r>
              <w:rPr>
                <w:rFonts w:ascii="Calibri" w:hAnsi="Calibri" w:eastAsia="Microsoft YaHei"/>
                <w:color w:val="0B2545"/>
                <w:sz w:val="15"/>
              </w:rPr>
              <w:t>DG7</w:t>
            </w:r>
          </w:p>
        </w:tc>
        <w:tc>
          <w:tcPr>
            <w:tcW w:type="dxa" w:w="5300"/>
          </w:tcPr>
          <w:p>
            <w:pPr>
              <w:keepLines/>
              <w:spacing w:after="0" w:line="276" w:lineRule="auto"/>
            </w:pPr>
            <w:r>
              <w:rPr>
                <w:rFonts w:ascii="Calibri" w:hAnsi="Calibri" w:eastAsia="Microsoft YaHei"/>
                <w:color w:val="0B2545"/>
                <w:sz w:val="15"/>
              </w:rPr>
              <w:t>Balmer/Stark偏滤器谱：脱靶、再结合与中性压力</w:t>
            </w:r>
          </w:p>
        </w:tc>
        <w:tc>
          <w:tcPr>
            <w:tcW w:type="dxa" w:w="950"/>
          </w:tcPr>
          <w:p>
            <w:pPr>
              <w:keepLines/>
              <w:spacing w:after="0" w:line="276" w:lineRule="auto"/>
            </w:pPr>
            <w:r>
              <w:rPr>
                <w:rFonts w:ascii="Calibri" w:hAnsi="Calibri" w:eastAsia="Microsoft YaHei"/>
                <w:color w:val="0B2545"/>
                <w:sz w:val="15"/>
              </w:rPr>
              <w:t>E4</w:t>
            </w:r>
          </w:p>
        </w:tc>
        <w:tc>
          <w:tcPr>
            <w:tcW w:type="dxa" w:w="1160"/>
          </w:tcPr>
          <w:p>
            <w:pPr>
              <w:keepLines/>
              <w:spacing w:after="0" w:line="276" w:lineRule="auto"/>
            </w:pPr>
            <w:r>
              <w:rPr>
                <w:rFonts w:ascii="Calibri" w:hAnsi="Calibri" w:eastAsia="Microsoft YaHei"/>
                <w:color w:val="0B2545"/>
                <w:sz w:val="15"/>
              </w:rPr>
              <w:t>D4</w:t>
            </w:r>
          </w:p>
        </w:tc>
      </w:tr>
      <w:tr>
        <w:trPr>
          <w:cantSplit/>
        </w:trPr>
        <w:tc>
          <w:tcPr>
            <w:tcW w:type="dxa" w:w="1200"/>
          </w:tcPr>
          <w:p>
            <w:pPr>
              <w:keepLines/>
              <w:spacing w:after="0" w:line="276" w:lineRule="auto"/>
            </w:pPr>
            <w:r>
              <w:rPr>
                <w:rFonts w:ascii="Calibri" w:hAnsi="Calibri" w:eastAsia="Microsoft YaHei"/>
                <w:color w:val="0B2545"/>
                <w:sz w:val="15"/>
              </w:rPr>
              <w:t>DSI-003</w:t>
            </w:r>
          </w:p>
        </w:tc>
        <w:tc>
          <w:tcPr>
            <w:tcW w:type="dxa" w:w="750"/>
          </w:tcPr>
          <w:p>
            <w:pPr>
              <w:keepLines/>
              <w:spacing w:after="0" w:line="276" w:lineRule="auto"/>
            </w:pPr>
            <w:r>
              <w:rPr>
                <w:rFonts w:ascii="Calibri" w:hAnsi="Calibri" w:eastAsia="Microsoft YaHei"/>
                <w:color w:val="0B2545"/>
                <w:sz w:val="15"/>
              </w:rPr>
              <w:t>DG0</w:t>
            </w:r>
          </w:p>
        </w:tc>
        <w:tc>
          <w:tcPr>
            <w:tcW w:type="dxa" w:w="5300"/>
          </w:tcPr>
          <w:p>
            <w:pPr>
              <w:keepLines/>
              <w:spacing w:after="0" w:line="276" w:lineRule="auto"/>
            </w:pPr>
            <w:r>
              <w:rPr>
                <w:rFonts w:ascii="Calibri" w:hAnsi="Calibri" w:eastAsia="Microsoft YaHei"/>
                <w:color w:val="0B2545"/>
                <w:sz w:val="15"/>
              </w:rPr>
              <w:t>UDA 统一数据访问层</w:t>
            </w:r>
          </w:p>
        </w:tc>
        <w:tc>
          <w:tcPr>
            <w:tcW w:type="dxa" w:w="950"/>
          </w:tcPr>
          <w:p>
            <w:pPr>
              <w:keepLines/>
              <w:spacing w:after="0" w:line="276" w:lineRule="auto"/>
            </w:pPr>
            <w:r>
              <w:rPr>
                <w:rFonts w:ascii="Calibri" w:hAnsi="Calibri" w:eastAsia="Microsoft YaHei"/>
                <w:color w:val="0B2545"/>
                <w:sz w:val="15"/>
              </w:rPr>
              <w:t>E3</w:t>
            </w:r>
          </w:p>
        </w:tc>
        <w:tc>
          <w:tcPr>
            <w:tcW w:type="dxa" w:w="1160"/>
          </w:tcPr>
          <w:p>
            <w:pPr>
              <w:keepLines/>
              <w:spacing w:after="0" w:line="276" w:lineRule="auto"/>
            </w:pPr>
            <w:r>
              <w:rPr>
                <w:rFonts w:ascii="Calibri" w:hAnsi="Calibri" w:eastAsia="Microsoft YaHei"/>
                <w:color w:val="0B2545"/>
                <w:sz w:val="15"/>
              </w:rPr>
              <w:t>D3</w:t>
            </w:r>
          </w:p>
        </w:tc>
      </w:tr>
      <w:tr>
        <w:trPr>
          <w:cantSplit/>
        </w:trPr>
        <w:tc>
          <w:tcPr>
            <w:tcW w:type="dxa" w:w="1200"/>
          </w:tcPr>
          <w:p>
            <w:pPr>
              <w:keepLines/>
              <w:spacing w:after="0" w:line="276" w:lineRule="auto"/>
            </w:pPr>
            <w:r>
              <w:rPr>
                <w:rFonts w:ascii="Calibri" w:hAnsi="Calibri" w:eastAsia="Microsoft YaHei"/>
                <w:color w:val="0B2545"/>
                <w:sz w:val="15"/>
              </w:rPr>
              <w:t>DG2-010</w:t>
            </w:r>
          </w:p>
        </w:tc>
        <w:tc>
          <w:tcPr>
            <w:tcW w:type="dxa" w:w="750"/>
          </w:tcPr>
          <w:p>
            <w:pPr>
              <w:keepLines/>
              <w:spacing w:after="0" w:line="276" w:lineRule="auto"/>
            </w:pPr>
            <w:r>
              <w:rPr>
                <w:rFonts w:ascii="Calibri" w:hAnsi="Calibri" w:eastAsia="Microsoft YaHei"/>
                <w:color w:val="0B2545"/>
                <w:sz w:val="15"/>
              </w:rPr>
              <w:t>DG2</w:t>
            </w:r>
          </w:p>
        </w:tc>
        <w:tc>
          <w:tcPr>
            <w:tcW w:type="dxa" w:w="5300"/>
          </w:tcPr>
          <w:p>
            <w:pPr>
              <w:keepLines/>
              <w:spacing w:after="0" w:line="276" w:lineRule="auto"/>
            </w:pPr>
            <w:r>
              <w:rPr>
                <w:rFonts w:ascii="Calibri" w:hAnsi="Calibri" w:eastAsia="Microsoft YaHei"/>
                <w:color w:val="0B2545"/>
                <w:sz w:val="15"/>
              </w:rPr>
              <w:t>扫频/脉冲反射计：密度剖面和实时映射</w:t>
            </w:r>
          </w:p>
        </w:tc>
        <w:tc>
          <w:tcPr>
            <w:tcW w:type="dxa" w:w="950"/>
          </w:tcPr>
          <w:p>
            <w:pPr>
              <w:keepLines/>
              <w:spacing w:after="0" w:line="276" w:lineRule="auto"/>
            </w:pPr>
            <w:r>
              <w:rPr>
                <w:rFonts w:ascii="Calibri" w:hAnsi="Calibri" w:eastAsia="Microsoft YaHei"/>
                <w:color w:val="0B2545"/>
                <w:sz w:val="15"/>
              </w:rPr>
              <w:t>E3</w:t>
            </w:r>
          </w:p>
        </w:tc>
        <w:tc>
          <w:tcPr>
            <w:tcW w:type="dxa" w:w="1160"/>
          </w:tcPr>
          <w:p>
            <w:pPr>
              <w:keepLines/>
              <w:spacing w:after="0" w:line="276" w:lineRule="auto"/>
            </w:pPr>
            <w:r>
              <w:rPr>
                <w:rFonts w:ascii="Calibri" w:hAnsi="Calibri" w:eastAsia="Microsoft YaHei"/>
                <w:color w:val="0B2545"/>
                <w:sz w:val="15"/>
              </w:rPr>
              <w:t>D3</w:t>
            </w:r>
          </w:p>
        </w:tc>
      </w:tr>
      <w:tr>
        <w:trPr>
          <w:cantSplit/>
        </w:trPr>
        <w:tc>
          <w:tcPr>
            <w:tcW w:type="dxa" w:w="1200"/>
          </w:tcPr>
          <w:p>
            <w:pPr>
              <w:keepLines/>
              <w:spacing w:after="0" w:line="276" w:lineRule="auto"/>
            </w:pPr>
            <w:r>
              <w:rPr>
                <w:rFonts w:ascii="Calibri" w:hAnsi="Calibri" w:eastAsia="Microsoft YaHei"/>
                <w:color w:val="0B2545"/>
                <w:sz w:val="15"/>
              </w:rPr>
              <w:t>DSI-011</w:t>
            </w:r>
          </w:p>
        </w:tc>
        <w:tc>
          <w:tcPr>
            <w:tcW w:type="dxa" w:w="750"/>
          </w:tcPr>
          <w:p>
            <w:pPr>
              <w:keepLines/>
              <w:spacing w:after="0" w:line="276" w:lineRule="auto"/>
            </w:pPr>
            <w:r>
              <w:rPr>
                <w:rFonts w:ascii="Calibri" w:hAnsi="Calibri" w:eastAsia="Microsoft YaHei"/>
                <w:color w:val="0B2545"/>
                <w:sz w:val="15"/>
              </w:rPr>
              <w:t>DG9</w:t>
            </w:r>
          </w:p>
        </w:tc>
        <w:tc>
          <w:tcPr>
            <w:tcW w:type="dxa" w:w="5300"/>
          </w:tcPr>
          <w:p>
            <w:pPr>
              <w:keepLines/>
              <w:spacing w:after="0" w:line="276" w:lineRule="auto"/>
            </w:pPr>
            <w:r>
              <w:rPr>
                <w:rFonts w:ascii="Calibri" w:hAnsi="Calibri" w:eastAsia="Microsoft YaHei"/>
                <w:color w:val="0B2545"/>
                <w:sz w:val="15"/>
              </w:rPr>
              <w:t>FIDASIM 快离子 Dα 与中性粒子分析器合成诊断</w:t>
            </w:r>
          </w:p>
        </w:tc>
        <w:tc>
          <w:tcPr>
            <w:tcW w:type="dxa" w:w="950"/>
          </w:tcPr>
          <w:p>
            <w:pPr>
              <w:keepLines/>
              <w:spacing w:after="0" w:line="276" w:lineRule="auto"/>
            </w:pPr>
            <w:r>
              <w:rPr>
                <w:rFonts w:ascii="Calibri" w:hAnsi="Calibri" w:eastAsia="Microsoft YaHei"/>
                <w:color w:val="0B2545"/>
                <w:sz w:val="15"/>
              </w:rPr>
              <w:t>E3</w:t>
            </w:r>
          </w:p>
        </w:tc>
        <w:tc>
          <w:tcPr>
            <w:tcW w:type="dxa" w:w="1160"/>
          </w:tcPr>
          <w:p>
            <w:pPr>
              <w:keepLines/>
              <w:spacing w:after="0" w:line="276" w:lineRule="auto"/>
            </w:pPr>
            <w:r>
              <w:rPr>
                <w:rFonts w:ascii="Calibri" w:hAnsi="Calibri" w:eastAsia="Microsoft YaHei"/>
                <w:color w:val="0B2545"/>
                <w:sz w:val="15"/>
              </w:rPr>
              <w:t>D3</w:t>
            </w:r>
          </w:p>
        </w:tc>
      </w:tr>
      <w:tr>
        <w:trPr>
          <w:cantSplit/>
        </w:trPr>
        <w:tc>
          <w:tcPr>
            <w:tcW w:type="dxa" w:w="1200"/>
          </w:tcPr>
          <w:p>
            <w:pPr>
              <w:keepLines/>
              <w:spacing w:after="0" w:line="276" w:lineRule="auto"/>
            </w:pPr>
            <w:r>
              <w:rPr>
                <w:rFonts w:ascii="Calibri" w:hAnsi="Calibri" w:eastAsia="Microsoft YaHei"/>
                <w:color w:val="0B2545"/>
                <w:sz w:val="15"/>
              </w:rPr>
              <w:t>DSI-030</w:t>
            </w:r>
          </w:p>
        </w:tc>
        <w:tc>
          <w:tcPr>
            <w:tcW w:type="dxa" w:w="750"/>
          </w:tcPr>
          <w:p>
            <w:pPr>
              <w:keepLines/>
              <w:spacing w:after="0" w:line="276" w:lineRule="auto"/>
            </w:pPr>
            <w:r>
              <w:rPr>
                <w:rFonts w:ascii="Calibri" w:hAnsi="Calibri" w:eastAsia="Microsoft YaHei"/>
                <w:color w:val="0B2545"/>
                <w:sz w:val="15"/>
              </w:rPr>
              <w:t>DG10</w:t>
            </w:r>
          </w:p>
        </w:tc>
        <w:tc>
          <w:tcPr>
            <w:tcW w:type="dxa" w:w="5300"/>
          </w:tcPr>
          <w:p>
            <w:pPr>
              <w:keepLines/>
              <w:spacing w:after="0" w:line="276" w:lineRule="auto"/>
            </w:pPr>
            <w:r>
              <w:rPr>
                <w:rFonts w:ascii="Calibri" w:hAnsi="Calibri" w:eastAsia="Microsoft YaHei"/>
                <w:color w:val="0B2545"/>
                <w:sz w:val="15"/>
              </w:rPr>
              <w:t>BEAST/MAST 贝叶斯平衡推断与证据交叉验证</w:t>
            </w:r>
          </w:p>
        </w:tc>
        <w:tc>
          <w:tcPr>
            <w:tcW w:type="dxa" w:w="950"/>
          </w:tcPr>
          <w:p>
            <w:pPr>
              <w:keepLines/>
              <w:spacing w:after="0" w:line="276" w:lineRule="auto"/>
            </w:pPr>
            <w:r>
              <w:rPr>
                <w:rFonts w:ascii="Calibri" w:hAnsi="Calibri" w:eastAsia="Microsoft YaHei"/>
                <w:color w:val="0B2545"/>
                <w:sz w:val="15"/>
              </w:rPr>
              <w:t>E3</w:t>
            </w:r>
          </w:p>
        </w:tc>
        <w:tc>
          <w:tcPr>
            <w:tcW w:type="dxa" w:w="1160"/>
          </w:tcPr>
          <w:p>
            <w:pPr>
              <w:keepLines/>
              <w:spacing w:after="0" w:line="276" w:lineRule="auto"/>
            </w:pPr>
            <w:r>
              <w:rPr>
                <w:rFonts w:ascii="Calibri" w:hAnsi="Calibri" w:eastAsia="Microsoft YaHei"/>
                <w:color w:val="0B2545"/>
                <w:sz w:val="15"/>
              </w:rPr>
              <w:t>D2</w:t>
            </w:r>
          </w:p>
        </w:tc>
      </w:tr>
      <w:tr>
        <w:trPr>
          <w:cantSplit/>
        </w:trPr>
        <w:tc>
          <w:tcPr>
            <w:tcW w:type="dxa" w:w="1200"/>
          </w:tcPr>
          <w:p>
            <w:pPr>
              <w:keepLines/>
              <w:spacing w:after="0" w:line="276" w:lineRule="auto"/>
            </w:pPr>
            <w:r>
              <w:rPr>
                <w:rFonts w:ascii="Calibri" w:hAnsi="Calibri" w:eastAsia="Microsoft YaHei"/>
                <w:color w:val="0B2545"/>
                <w:sz w:val="15"/>
              </w:rPr>
              <w:t>DSI-033</w:t>
            </w:r>
          </w:p>
        </w:tc>
        <w:tc>
          <w:tcPr>
            <w:tcW w:type="dxa" w:w="750"/>
          </w:tcPr>
          <w:p>
            <w:pPr>
              <w:keepLines/>
              <w:spacing w:after="0" w:line="276" w:lineRule="auto"/>
            </w:pPr>
            <w:r>
              <w:rPr>
                <w:rFonts w:ascii="Calibri" w:hAnsi="Calibri" w:eastAsia="Microsoft YaHei"/>
                <w:color w:val="0B2545"/>
                <w:sz w:val="15"/>
              </w:rPr>
              <w:t>DG11</w:t>
            </w:r>
          </w:p>
        </w:tc>
        <w:tc>
          <w:tcPr>
            <w:tcW w:type="dxa" w:w="5300"/>
          </w:tcPr>
          <w:p>
            <w:pPr>
              <w:keepLines/>
              <w:spacing w:after="0" w:line="276" w:lineRule="auto"/>
            </w:pPr>
            <w:r>
              <w:rPr>
                <w:rFonts w:ascii="Calibri" w:hAnsi="Calibri" w:eastAsia="Microsoft YaHei"/>
                <w:color w:val="0B2545"/>
                <w:sz w:val="15"/>
              </w:rPr>
              <w:t>DisruptionPy 多装置破裂特征提取与基准数据流水线</w:t>
            </w:r>
          </w:p>
        </w:tc>
        <w:tc>
          <w:tcPr>
            <w:tcW w:type="dxa" w:w="950"/>
          </w:tcPr>
          <w:p>
            <w:pPr>
              <w:keepLines/>
              <w:spacing w:after="0" w:line="276" w:lineRule="auto"/>
            </w:pPr>
            <w:r>
              <w:rPr>
                <w:rFonts w:ascii="Calibri" w:hAnsi="Calibri" w:eastAsia="Microsoft YaHei"/>
                <w:color w:val="0B2545"/>
                <w:sz w:val="15"/>
              </w:rPr>
              <w:t>E3</w:t>
            </w:r>
          </w:p>
        </w:tc>
        <w:tc>
          <w:tcPr>
            <w:tcW w:type="dxa" w:w="1160"/>
          </w:tcPr>
          <w:p>
            <w:pPr>
              <w:keepLines/>
              <w:spacing w:after="0" w:line="276" w:lineRule="auto"/>
            </w:pPr>
            <w:r>
              <w:rPr>
                <w:rFonts w:ascii="Calibri" w:hAnsi="Calibri" w:eastAsia="Microsoft YaHei"/>
                <w:color w:val="0B2545"/>
                <w:sz w:val="15"/>
              </w:rPr>
              <w:t>D2</w:t>
            </w:r>
          </w:p>
        </w:tc>
      </w:tr>
    </w:tbl>
    <w:p>
      <w:pPr>
        <w:spacing w:before="0" w:after="60"/>
      </w:pPr>
    </w:p>
    <w:tbl>
      <w:tblPr>
        <w:tblStyle w:val="TableGrid"/>
        <w:tblW w:type="dxa" w:w="9360"/>
        <w:jc w:val="left"/>
        <w:tblLayout w:type="fixed"/>
        <w:tblLook w:firstColumn="1" w:firstRow="1" w:lastColumn="0" w:lastRow="0" w:noHBand="0" w:noVBand="1" w:val="04A0"/>
        <w:tblInd w:w="120" w:type="dxa"/>
      </w:tblPr>
      <w:tblGrid>
        <w:gridCol w:w="900"/>
        <w:gridCol w:w="3200"/>
        <w:gridCol w:w="2760"/>
        <w:gridCol w:w="2500"/>
      </w:tblGrid>
      <w:tr>
        <w:trPr>
          <w:tblHeader w:val="true"/>
        </w:trPr>
        <w:tc>
          <w:tcPr>
            <w:tcW w:type="dxa" w:w="9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年份/类型</w:t>
            </w:r>
          </w:p>
        </w:tc>
        <w:tc>
          <w:tcPr>
            <w:tcW w:type="dxa" w:w="32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论文或软件</w:t>
            </w:r>
          </w:p>
        </w:tc>
        <w:tc>
          <w:tcPr>
            <w:tcW w:type="dxa" w:w="276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来源/关系</w:t>
            </w:r>
          </w:p>
        </w:tc>
        <w:tc>
          <w:tcPr>
            <w:tcW w:type="dxa" w:w="25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链接</w:t>
            </w:r>
          </w:p>
        </w:tc>
      </w:tr>
      <w:tr>
        <w:trPr>
          <w:cantSplit/>
        </w:trPr>
        <w:tc>
          <w:tcPr>
            <w:tcW w:type="dxa" w:w="900"/>
          </w:tcPr>
          <w:p>
            <w:pPr>
              <w:keepLines/>
              <w:spacing w:after="0" w:line="276" w:lineRule="auto"/>
            </w:pPr>
            <w:r>
              <w:rPr>
                <w:rFonts w:ascii="Calibri" w:hAnsi="Calibri" w:eastAsia="Microsoft YaHei"/>
                <w:color w:val="0B2545"/>
                <w:sz w:val="14"/>
              </w:rPr>
              <w:t>2023</w:t>
            </w:r>
          </w:p>
        </w:tc>
        <w:tc>
          <w:tcPr>
            <w:tcW w:type="dxa" w:w="3200"/>
          </w:tcPr>
          <w:p>
            <w:pPr>
              <w:keepLines/>
              <w:spacing w:after="0" w:line="276" w:lineRule="auto"/>
            </w:pPr>
            <w:r>
              <w:rPr>
                <w:rFonts w:ascii="Calibri" w:hAnsi="Calibri" w:eastAsia="Microsoft YaHei"/>
                <w:color w:val="0B2545"/>
                <w:sz w:val="14"/>
              </w:rPr>
              <w:t>Initial progress of the magnetic diagnostics of the MAST-U tokamak</w:t>
            </w:r>
          </w:p>
        </w:tc>
        <w:tc>
          <w:tcPr>
            <w:tcW w:type="dxa" w:w="2760"/>
          </w:tcPr>
          <w:p>
            <w:pPr>
              <w:keepLines/>
              <w:spacing w:after="0" w:line="276" w:lineRule="auto"/>
            </w:pPr>
            <w:r>
              <w:rPr>
                <w:rFonts w:ascii="Calibri" w:hAnsi="Calibri" w:eastAsia="Microsoft YaHei"/>
                <w:color w:val="0B2545"/>
                <w:sz w:val="14"/>
              </w:rPr>
              <w:t>Review of Scientific Instruments</w:t>
            </w:r>
          </w:p>
        </w:tc>
        <w:tc>
          <w:tcPr>
            <w:tcW w:type="dxa" w:w="2500"/>
          </w:tcPr>
          <w:p>
            <w:pPr>
              <w:keepLines/>
              <w:spacing w:after="0" w:line="276" w:lineRule="auto"/>
            </w:pPr>
            <w:hyperlink r:id="rId261">
              <w:r>
                <w:rPr>
                  <w:rFonts w:ascii="Calibri" w:hAnsi="Calibri" w:eastAsia="Microsoft YaHei"/>
                  <w:color w:val="008C95"/>
                  <w:u w:val="single"/>
                </w:rPr>
                <w:t>打开原始来源 ↗</w:t>
              </w:r>
            </w:hyperlink>
          </w:p>
        </w:tc>
      </w:tr>
      <w:tr>
        <w:trPr>
          <w:cantSplit/>
        </w:trPr>
        <w:tc>
          <w:tcPr>
            <w:tcW w:type="dxa" w:w="900"/>
          </w:tcPr>
          <w:p>
            <w:pPr>
              <w:keepLines/>
              <w:spacing w:after="0" w:line="276" w:lineRule="auto"/>
            </w:pPr>
            <w:r>
              <w:rPr>
                <w:rFonts w:ascii="Calibri" w:hAnsi="Calibri" w:eastAsia="Microsoft YaHei"/>
                <w:color w:val="0B2545"/>
                <w:sz w:val="14"/>
              </w:rPr>
              <w:t>2023</w:t>
            </w:r>
          </w:p>
        </w:tc>
        <w:tc>
          <w:tcPr>
            <w:tcW w:type="dxa" w:w="3200"/>
          </w:tcPr>
          <w:p>
            <w:pPr>
              <w:keepLines/>
              <w:spacing w:after="0" w:line="276" w:lineRule="auto"/>
            </w:pPr>
            <w:r>
              <w:rPr>
                <w:rFonts w:ascii="Calibri" w:hAnsi="Calibri" w:eastAsia="Microsoft YaHei"/>
                <w:color w:val="0B2545"/>
                <w:sz w:val="14"/>
              </w:rPr>
              <w:t>Overview and first measurements of the MAST Upgrade bolometer diagnostic</w:t>
            </w:r>
          </w:p>
        </w:tc>
        <w:tc>
          <w:tcPr>
            <w:tcW w:type="dxa" w:w="2760"/>
          </w:tcPr>
          <w:p>
            <w:pPr>
              <w:keepLines/>
              <w:spacing w:after="0" w:line="276" w:lineRule="auto"/>
            </w:pPr>
            <w:r>
              <w:rPr>
                <w:rFonts w:ascii="Calibri" w:hAnsi="Calibri" w:eastAsia="Microsoft YaHei"/>
                <w:color w:val="0B2545"/>
                <w:sz w:val="14"/>
              </w:rPr>
              <w:t>原始论文 / 官方来源</w:t>
            </w:r>
          </w:p>
        </w:tc>
        <w:tc>
          <w:tcPr>
            <w:tcW w:type="dxa" w:w="2500"/>
          </w:tcPr>
          <w:p>
            <w:pPr>
              <w:keepLines/>
              <w:spacing w:after="0" w:line="276" w:lineRule="auto"/>
            </w:pPr>
            <w:hyperlink r:id="rId262">
              <w:r>
                <w:rPr>
                  <w:rFonts w:ascii="Calibri" w:hAnsi="Calibri" w:eastAsia="Microsoft YaHei"/>
                  <w:color w:val="008C95"/>
                  <w:u w:val="single"/>
                </w:rPr>
                <w:t>打开原始来源 ↗</w:t>
              </w:r>
            </w:hyperlink>
          </w:p>
        </w:tc>
      </w:tr>
      <w:tr>
        <w:trPr>
          <w:cantSplit/>
        </w:trPr>
        <w:tc>
          <w:tcPr>
            <w:tcW w:type="dxa" w:w="900"/>
          </w:tcPr>
          <w:p>
            <w:pPr>
              <w:keepLines/>
              <w:spacing w:after="0" w:line="276" w:lineRule="auto"/>
            </w:pPr>
            <w:r>
              <w:rPr>
                <w:rFonts w:ascii="Calibri" w:hAnsi="Calibri" w:eastAsia="Microsoft YaHei"/>
                <w:color w:val="0B2545"/>
                <w:sz w:val="14"/>
              </w:rPr>
              <w:t>2019</w:t>
            </w:r>
          </w:p>
        </w:tc>
        <w:tc>
          <w:tcPr>
            <w:tcW w:type="dxa" w:w="3200"/>
          </w:tcPr>
          <w:p>
            <w:pPr>
              <w:keepLines/>
              <w:spacing w:after="0" w:line="276" w:lineRule="auto"/>
            </w:pPr>
            <w:r>
              <w:rPr>
                <w:rFonts w:ascii="Calibri" w:hAnsi="Calibri" w:eastAsia="Microsoft YaHei"/>
                <w:color w:val="0B2545"/>
                <w:sz w:val="14"/>
              </w:rPr>
              <w:t>MAST Upgrade Research Plan</w:t>
            </w:r>
          </w:p>
        </w:tc>
        <w:tc>
          <w:tcPr>
            <w:tcW w:type="dxa" w:w="2760"/>
          </w:tcPr>
          <w:p>
            <w:pPr>
              <w:keepLines/>
              <w:spacing w:after="0" w:line="276" w:lineRule="auto"/>
            </w:pPr>
            <w:r>
              <w:rPr>
                <w:rFonts w:ascii="Calibri" w:hAnsi="Calibri" w:eastAsia="Microsoft YaHei"/>
                <w:color w:val="0B2545"/>
                <w:sz w:val="14"/>
              </w:rPr>
              <w:t>原始论文 / 官方来源</w:t>
            </w:r>
          </w:p>
        </w:tc>
        <w:tc>
          <w:tcPr>
            <w:tcW w:type="dxa" w:w="2500"/>
          </w:tcPr>
          <w:p>
            <w:pPr>
              <w:keepLines/>
              <w:spacing w:after="0" w:line="276" w:lineRule="auto"/>
            </w:pPr>
            <w:hyperlink r:id="rId263">
              <w:r>
                <w:rPr>
                  <w:rFonts w:ascii="Calibri" w:hAnsi="Calibri" w:eastAsia="Microsoft YaHei"/>
                  <w:color w:val="008C95"/>
                  <w:u w:val="single"/>
                </w:rPr>
                <w:t>打开原始来源 ↗</w:t>
              </w:r>
            </w:hyperlink>
          </w:p>
        </w:tc>
      </w:tr>
      <w:tr>
        <w:trPr>
          <w:cantSplit/>
        </w:trPr>
        <w:tc>
          <w:tcPr>
            <w:tcW w:type="dxa" w:w="900"/>
          </w:tcPr>
          <w:p>
            <w:pPr>
              <w:keepLines/>
              <w:spacing w:after="0" w:line="276" w:lineRule="auto"/>
            </w:pPr>
            <w:r>
              <w:rPr>
                <w:rFonts w:ascii="Calibri" w:hAnsi="Calibri" w:eastAsia="Microsoft YaHei"/>
                <w:color w:val="0B2545"/>
                <w:sz w:val="14"/>
              </w:rPr>
              <w:t>软件</w:t>
            </w:r>
          </w:p>
        </w:tc>
        <w:tc>
          <w:tcPr>
            <w:tcW w:type="dxa" w:w="3200"/>
          </w:tcPr>
          <w:p>
            <w:pPr>
              <w:keepLines/>
              <w:spacing w:after="0" w:line="276" w:lineRule="auto"/>
            </w:pPr>
            <w:r>
              <w:rPr>
                <w:rFonts w:ascii="Calibri" w:hAnsi="Calibri" w:eastAsia="Microsoft YaHei"/>
                <w:color w:val="0B2545"/>
                <w:sz w:val="14"/>
              </w:rPr>
              <w:t>MAST-U diagnostic and synthetic-bolometer code</w:t>
            </w:r>
          </w:p>
        </w:tc>
        <w:tc>
          <w:tcPr>
            <w:tcW w:type="dxa" w:w="2760"/>
          </w:tcPr>
          <w:p>
            <w:pPr>
              <w:keepLines/>
              <w:spacing w:after="0" w:line="276" w:lineRule="auto"/>
            </w:pPr>
            <w:r>
              <w:rPr>
                <w:rFonts w:ascii="Calibri" w:hAnsi="Calibri" w:eastAsia="Microsoft YaHei"/>
                <w:color w:val="0B2545"/>
                <w:sz w:val="14"/>
              </w:rPr>
              <w:t>not-public / 论文已在参考文献列出；未找到持续公共生产仓库</w:t>
            </w:r>
          </w:p>
        </w:tc>
        <w:tc>
          <w:tcPr>
            <w:tcW w:type="dxa" w:w="2500"/>
          </w:tcPr>
          <w:p>
            <w:pPr>
              <w:keepLines/>
              <w:spacing w:after="0" w:line="276" w:lineRule="auto"/>
            </w:pPr>
            <w:r>
              <w:rPr>
                <w:rFonts w:ascii="Calibri" w:hAnsi="Calibri" w:eastAsia="Microsoft YaHei"/>
                <w:color w:val="0B2545"/>
                <w:sz w:val="14"/>
              </w:rPr>
              <w:t>未公开</w:t>
            </w:r>
          </w:p>
        </w:tc>
      </w:tr>
      <w:tr>
        <w:trPr>
          <w:cantSplit/>
        </w:trPr>
        <w:tc>
          <w:tcPr>
            <w:tcW w:type="dxa" w:w="900"/>
          </w:tcPr>
          <w:p>
            <w:pPr>
              <w:keepLines/>
              <w:spacing w:after="0" w:line="276" w:lineRule="auto"/>
            </w:pPr>
            <w:r>
              <w:rPr>
                <w:rFonts w:ascii="Calibri" w:hAnsi="Calibri" w:eastAsia="Microsoft YaHei"/>
                <w:color w:val="0B2545"/>
                <w:sz w:val="14"/>
              </w:rPr>
              <w:t>软件</w:t>
            </w:r>
          </w:p>
        </w:tc>
        <w:tc>
          <w:tcPr>
            <w:tcW w:type="dxa" w:w="3200"/>
          </w:tcPr>
          <w:p>
            <w:pPr>
              <w:keepLines/>
              <w:spacing w:after="0" w:line="276" w:lineRule="auto"/>
            </w:pPr>
            <w:r>
              <w:rPr>
                <w:rFonts w:ascii="Calibri" w:hAnsi="Calibri" w:eastAsia="Microsoft YaHei"/>
                <w:color w:val="0B2545"/>
                <w:sz w:val="14"/>
              </w:rPr>
              <w:t>MAST-U data</w:t>
            </w:r>
          </w:p>
        </w:tc>
        <w:tc>
          <w:tcPr>
            <w:tcW w:type="dxa" w:w="2760"/>
          </w:tcPr>
          <w:p>
            <w:pPr>
              <w:keepLines/>
              <w:spacing w:after="0" w:line="276" w:lineRule="auto"/>
            </w:pPr>
            <w:r>
              <w:rPr>
                <w:rFonts w:ascii="Calibri" w:hAnsi="Calibri" w:eastAsia="Microsoft YaHei"/>
                <w:color w:val="0B2545"/>
                <w:sz w:val="14"/>
              </w:rPr>
              <w:t>not-public / 设施主页不是数据 API；需通过 UKAEA/实验团队合作获取</w:t>
            </w:r>
          </w:p>
        </w:tc>
        <w:tc>
          <w:tcPr>
            <w:tcW w:type="dxa" w:w="2500"/>
          </w:tcPr>
          <w:p>
            <w:pPr>
              <w:keepLines/>
              <w:spacing w:after="0" w:line="276" w:lineRule="auto"/>
            </w:pPr>
            <w:r>
              <w:rPr>
                <w:rFonts w:ascii="Calibri" w:hAnsi="Calibri" w:eastAsia="Microsoft YaHei"/>
                <w:color w:val="0B2545"/>
                <w:sz w:val="14"/>
              </w:rPr>
              <w:t>未公开</w:t>
            </w:r>
          </w:p>
        </w:tc>
      </w:tr>
    </w:tbl>
    <w:p>
      <w:pPr>
        <w:spacing w:before="0" w:after="60"/>
      </w:pPr>
    </w:p>
    <w:p>
      <w:pPr>
        <w:pStyle w:val="Heading2"/>
      </w:pPr>
      <w:r>
        <w:t>17.14  NSTX-U</w:t>
      </w:r>
    </w:p>
    <w:tbl>
      <w:tblPr>
        <w:tblStyle w:val="TableGrid"/>
        <w:tblW w:type="dxa" w:w="9360"/>
        <w:jc w:val="left"/>
        <w:tblLayout w:type="fixed"/>
        <w:tblLook w:firstColumn="1" w:firstRow="1" w:lastColumn="0" w:lastRow="0" w:noHBand="0" w:noVBand="1" w:val="04A0"/>
        <w:tblInd w:w="120" w:type="dxa"/>
      </w:tblPr>
      <w:tblGrid>
        <w:gridCol w:w="1100"/>
        <w:gridCol w:w="1100"/>
        <w:gridCol w:w="2400"/>
        <w:gridCol w:w="1900"/>
        <w:gridCol w:w="2860"/>
      </w:tblGrid>
      <w:tr>
        <w:trPr>
          <w:tblHeader w:val="true"/>
        </w:trPr>
        <w:tc>
          <w:tcPr>
            <w:tcW w:type="dxa" w:w="11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类型</w:t>
            </w:r>
          </w:p>
        </w:tc>
        <w:tc>
          <w:tcPr>
            <w:tcW w:type="dxa" w:w="11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国家/地区</w:t>
            </w:r>
          </w:p>
        </w:tc>
        <w:tc>
          <w:tcPr>
            <w:tcW w:type="dxa" w:w="24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运营方</w:t>
            </w:r>
          </w:p>
        </w:tc>
        <w:tc>
          <w:tcPr>
            <w:tcW w:type="dxa" w:w="19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状态</w:t>
            </w:r>
          </w:p>
        </w:tc>
        <w:tc>
          <w:tcPr>
            <w:tcW w:type="dxa" w:w="286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覆盖任务</w:t>
            </w:r>
          </w:p>
        </w:tc>
      </w:tr>
      <w:tr>
        <w:trPr>
          <w:cantSplit/>
        </w:trPr>
        <w:tc>
          <w:tcPr>
            <w:tcW w:type="dxa" w:w="1100"/>
          </w:tcPr>
          <w:p>
            <w:pPr>
              <w:keepLines/>
              <w:spacing w:after="0" w:line="276" w:lineRule="auto"/>
            </w:pPr>
            <w:r>
              <w:rPr>
                <w:rFonts w:ascii="Calibri" w:hAnsi="Calibri" w:eastAsia="Microsoft YaHei"/>
                <w:color w:val="0B2545"/>
                <w:sz w:val="15"/>
              </w:rPr>
              <w:t>球形托卡马克</w:t>
            </w:r>
          </w:p>
        </w:tc>
        <w:tc>
          <w:tcPr>
            <w:tcW w:type="dxa" w:w="1100"/>
          </w:tcPr>
          <w:p>
            <w:pPr>
              <w:keepLines/>
              <w:spacing w:after="0" w:line="276" w:lineRule="auto"/>
            </w:pPr>
            <w:r>
              <w:rPr>
                <w:rFonts w:ascii="Calibri" w:hAnsi="Calibri" w:eastAsia="Microsoft YaHei"/>
                <w:color w:val="0B2545"/>
                <w:sz w:val="15"/>
              </w:rPr>
              <w:t>美国</w:t>
            </w:r>
          </w:p>
        </w:tc>
        <w:tc>
          <w:tcPr>
            <w:tcW w:type="dxa" w:w="2400"/>
          </w:tcPr>
          <w:p>
            <w:pPr>
              <w:keepLines/>
              <w:spacing w:after="0" w:line="276" w:lineRule="auto"/>
            </w:pPr>
            <w:r>
              <w:rPr>
                <w:rFonts w:ascii="Calibri" w:hAnsi="Calibri" w:eastAsia="Microsoft YaHei"/>
                <w:color w:val="0B2545"/>
                <w:sz w:val="15"/>
              </w:rPr>
              <w:t>Princeton Plasma Physics Laboratory / US DOE</w:t>
            </w:r>
          </w:p>
        </w:tc>
        <w:tc>
          <w:tcPr>
            <w:tcW w:type="dxa" w:w="1900"/>
          </w:tcPr>
          <w:p>
            <w:pPr>
              <w:keepLines/>
              <w:spacing w:after="0" w:line="276" w:lineRule="auto"/>
            </w:pPr>
            <w:r>
              <w:rPr>
                <w:rFonts w:ascii="Calibri" w:hAnsi="Calibri" w:eastAsia="Microsoft YaHei"/>
                <w:color w:val="0B2545"/>
                <w:sz w:val="15"/>
              </w:rPr>
              <w:t>升级装置的调试与研究恢复阶段；具体 campaign 状态应查当期官方计划</w:t>
            </w:r>
          </w:p>
        </w:tc>
        <w:tc>
          <w:tcPr>
            <w:tcW w:type="dxa" w:w="2860"/>
          </w:tcPr>
          <w:p>
            <w:pPr>
              <w:keepLines/>
              <w:spacing w:after="0" w:line="276" w:lineRule="auto"/>
            </w:pPr>
            <w:r>
              <w:rPr>
                <w:rFonts w:ascii="Calibri" w:hAnsi="Calibri" w:eastAsia="Microsoft YaHei"/>
                <w:color w:val="0B2545"/>
                <w:sz w:val="15"/>
              </w:rPr>
              <w:t>DG0；DG1；DG2；DG3；DG4；DG5；DG6；DG7；DG10；DG11</w:t>
            </w:r>
          </w:p>
        </w:tc>
      </w:tr>
    </w:tbl>
    <w:p>
      <w:pPr>
        <w:spacing w:before="0" w:after="60"/>
      </w:pPr>
    </w:p>
    <w:p>
      <w:pPr>
        <w:widowControl/>
      </w:pPr>
      <w:r>
        <w:rPr>
          <w:rFonts w:ascii="Calibri" w:hAnsi="Calibri" w:eastAsia="Microsoft YaHei"/>
          <w:b/>
          <w:color w:val="1F4D78"/>
        </w:rPr>
        <w:t>诊断概况：</w:t>
      </w:r>
      <w:r>
        <w:rPr>
          <w:rFonts w:ascii="Calibri" w:hAnsi="Calibri" w:eastAsia="Microsoft YaHei"/>
        </w:rPr>
        <w:t>NSTX/NSTX-U 形成了磁、Thomson、CHERS、MSE、reflectometry、BES、SXR、bolometer、中性粒子/快离子、IR/可见与边界探针数据体系。其突出价值是 MDSplus 同时组织原始、约化、分析和工程数据，并公开数据管理规则与 Web 工具；装置升级后各诊断的 commissioning 状态必须逐项核验。</w:t>
      </w:r>
    </w:p>
    <w:p>
      <w:pPr>
        <w:widowControl/>
      </w:pPr>
      <w:r>
        <w:rPr>
          <w:rFonts w:ascii="Calibri" w:hAnsi="Calibri" w:eastAsia="Microsoft YaHei"/>
          <w:b/>
          <w:color w:val="1F4D78"/>
        </w:rPr>
        <w:t>主要系统：</w:t>
      </w:r>
      <w:r>
        <w:rPr>
          <w:rFonts w:ascii="Calibri" w:hAnsi="Calibri" w:eastAsia="Microsoft YaHei"/>
        </w:rPr>
        <w:t>family: profiles-fast-ion；systems: Thomson；CHERS；MSE；reflectometry；BES；FIDA/NPA/neutron；measuredQuantities: ne/Te/Ti/rotation；q；turbulence；fast ions；evidence: NSTX E4；NSTX-U varies E2-E4；realTimeUse: selected signals to PCS/analysis；family: data-governance；systems: MDSplus physics/engineering trees；EPICS archiver；CAMDATA；Physics Viewer/Web Scope/NERVE；measuredQuantities: raw/reduced/analyzed/engineering data；evidence: E4/D4 infrastructure；realTimeUse: shot cycle and web visualization</w:t>
      </w:r>
    </w:p>
    <w:p>
      <w:pPr>
        <w:widowControl/>
      </w:pPr>
      <w:r>
        <w:rPr>
          <w:rFonts w:ascii="Calibri" w:hAnsi="Calibri" w:eastAsia="Microsoft YaHei"/>
          <w:b/>
          <w:color w:val="1F4D78"/>
        </w:rPr>
        <w:t>测量/传感：</w:t>
      </w:r>
      <w:r>
        <w:rPr>
          <w:rFonts w:ascii="Calibri" w:hAnsi="Calibri" w:eastAsia="Microsoft YaHei"/>
        </w:rPr>
        <w:t>magnetics；laser Thomson；CHERS/MSE optics；microwave receivers；SXR/bolometers；neutron/particle detectors；fast/IR cameras</w:t>
      </w:r>
    </w:p>
    <w:p>
      <w:pPr>
        <w:widowControl/>
      </w:pPr>
      <w:r>
        <w:rPr>
          <w:rFonts w:ascii="Calibri" w:hAnsi="Calibri" w:eastAsia="Microsoft YaHei"/>
          <w:b/>
          <w:color w:val="1F4D78"/>
        </w:rPr>
        <w:t>实时与 PCS 接口：</w:t>
      </w:r>
      <w:r>
        <w:rPr>
          <w:rFonts w:ascii="Calibri" w:hAnsi="Calibri" w:eastAsia="Microsoft YaHei"/>
        </w:rPr>
        <w:t>NSTX-U PCS；MDSplus action nodes/shot cycle；EPICS archiver for engineering operations</w:t>
      </w:r>
    </w:p>
    <w:p>
      <w:pPr>
        <w:widowControl/>
      </w:pPr>
      <w:r>
        <w:rPr>
          <w:rFonts w:ascii="Calibri" w:hAnsi="Calibri" w:eastAsia="Microsoft YaHei"/>
          <w:b/>
          <w:color w:val="1F4D78"/>
        </w:rPr>
        <w:t>数据平台：</w:t>
      </w:r>
      <w:r>
        <w:rPr>
          <w:rFonts w:ascii="Calibri" w:hAnsi="Calibri" w:eastAsia="Microsoft YaHei"/>
        </w:rPr>
        <w:t>systems: MDSplus；EPICS archiver；CAMDATA；NSTX-U Web Tools；Princeton Data Commons for selected publication data；access: team sharing plus public web tools/selected analyzed data; not all raw data anonymous；evidence: official NSTX-U data management plan</w:t>
      </w:r>
    </w:p>
    <w:p>
      <w:pPr>
        <w:widowControl/>
      </w:pPr>
      <w:r>
        <w:rPr>
          <w:rFonts w:ascii="Calibri" w:hAnsi="Calibri" w:eastAsia="Microsoft YaHei"/>
          <w:b/>
          <w:color w:val="1F4D78"/>
        </w:rPr>
        <w:t>代表工作概述：</w:t>
      </w:r>
      <w:r>
        <w:rPr>
          <w:rFonts w:ascii="Calibri" w:hAnsi="Calibri" w:eastAsia="Microsoft YaHei"/>
        </w:rPr>
        <w:t>MDSplus physics/engineering trees and Web Tools；raw-reduced-analyzed data治理与诊断负责人制度；Thomson/CHERS/MSE 和 TRANSP/NUBEAM 集成；fast camera CAMDATA 与 3D 时变影像</w:t>
      </w:r>
    </w:p>
    <w:p>
      <w:pPr>
        <w:widowControl/>
      </w:pPr>
      <w:r>
        <w:rPr>
          <w:rFonts w:ascii="Calibri" w:hAnsi="Calibri" w:eastAsia="Microsoft YaHei"/>
          <w:b/>
          <w:color w:val="1F4D78"/>
        </w:rPr>
        <w:t>证据边界：</w:t>
      </w:r>
      <w:r>
        <w:rPr>
          <w:rFonts w:ascii="Calibri" w:hAnsi="Calibri" w:eastAsia="Microsoft YaHei"/>
        </w:rPr>
        <w:t>NSTX 历史成熟度不能自动转移到 NSTX-U 新硬件；不同数据级别的验证责任和共享条件不同；fast-camera 数据采用独立仓库，跨模态时钟/几何/元数据需额外治理</w:t>
      </w:r>
    </w:p>
    <w:tbl>
      <w:tblPr>
        <w:tblStyle w:val="TableGrid"/>
        <w:tblW w:type="dxa" w:w="9360"/>
        <w:jc w:val="left"/>
        <w:tblLayout w:type="fixed"/>
        <w:tblLook w:firstColumn="1" w:firstRow="1" w:lastColumn="0" w:lastRow="0" w:noHBand="0" w:noVBand="1" w:val="04A0"/>
        <w:tblInd w:w="120" w:type="dxa"/>
      </w:tblPr>
      <w:tblGrid>
        <w:gridCol w:w="1200"/>
        <w:gridCol w:w="750"/>
        <w:gridCol w:w="5300"/>
        <w:gridCol w:w="950"/>
        <w:gridCol w:w="1160"/>
      </w:tblGrid>
      <w:tr>
        <w:trPr>
          <w:tblHeader w:val="true"/>
        </w:trPr>
        <w:tc>
          <w:tcPr>
            <w:tcW w:type="dxa" w:w="12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工作 ID</w:t>
            </w:r>
          </w:p>
        </w:tc>
        <w:tc>
          <w:tcPr>
            <w:tcW w:type="dxa" w:w="7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任务</w:t>
            </w:r>
          </w:p>
        </w:tc>
        <w:tc>
          <w:tcPr>
            <w:tcW w:type="dxa" w:w="53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代表工作</w:t>
            </w:r>
          </w:p>
        </w:tc>
        <w:tc>
          <w:tcPr>
            <w:tcW w:type="dxa" w:w="9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证据</w:t>
            </w:r>
          </w:p>
        </w:tc>
        <w:tc>
          <w:tcPr>
            <w:tcW w:type="dxa" w:w="116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部署</w:t>
            </w:r>
          </w:p>
        </w:tc>
      </w:tr>
      <w:tr>
        <w:trPr>
          <w:cantSplit/>
        </w:trPr>
        <w:tc>
          <w:tcPr>
            <w:tcW w:type="dxa" w:w="1200"/>
          </w:tcPr>
          <w:p>
            <w:pPr>
              <w:keepLines/>
              <w:spacing w:after="0" w:line="276" w:lineRule="auto"/>
            </w:pPr>
            <w:r>
              <w:rPr>
                <w:rFonts w:ascii="Calibri" w:hAnsi="Calibri" w:eastAsia="Microsoft YaHei"/>
                <w:color w:val="0B2545"/>
                <w:sz w:val="15"/>
              </w:rPr>
              <w:t>PDT-019</w:t>
            </w:r>
          </w:p>
        </w:tc>
        <w:tc>
          <w:tcPr>
            <w:tcW w:type="dxa" w:w="750"/>
          </w:tcPr>
          <w:p>
            <w:pPr>
              <w:keepLines/>
              <w:spacing w:after="0" w:line="276" w:lineRule="auto"/>
            </w:pPr>
            <w:r>
              <w:rPr>
                <w:rFonts w:ascii="Calibri" w:hAnsi="Calibri" w:eastAsia="Microsoft YaHei"/>
                <w:color w:val="0B2545"/>
                <w:sz w:val="15"/>
              </w:rPr>
              <w:t>DG8</w:t>
            </w:r>
          </w:p>
        </w:tc>
        <w:tc>
          <w:tcPr>
            <w:tcW w:type="dxa" w:w="5300"/>
          </w:tcPr>
          <w:p>
            <w:pPr>
              <w:keepLines/>
              <w:spacing w:after="0" w:line="276" w:lineRule="auto"/>
            </w:pPr>
            <w:r>
              <w:rPr>
                <w:rFonts w:ascii="Calibri" w:hAnsi="Calibri" w:eastAsia="Microsoft YaHei"/>
                <w:color w:val="0B2545"/>
                <w:sz w:val="15"/>
              </w:rPr>
              <w:t>NSTX-U 物理诊断与工程 EPICS 数据的统一可追溯归档</w:t>
            </w:r>
          </w:p>
        </w:tc>
        <w:tc>
          <w:tcPr>
            <w:tcW w:type="dxa" w:w="950"/>
          </w:tcPr>
          <w:p>
            <w:pPr>
              <w:keepLines/>
              <w:spacing w:after="0" w:line="276" w:lineRule="auto"/>
            </w:pPr>
            <w:r>
              <w:rPr>
                <w:rFonts w:ascii="Calibri" w:hAnsi="Calibri" w:eastAsia="Microsoft YaHei"/>
                <w:color w:val="0B2545"/>
                <w:sz w:val="15"/>
              </w:rPr>
              <w:t>E2</w:t>
            </w:r>
          </w:p>
        </w:tc>
        <w:tc>
          <w:tcPr>
            <w:tcW w:type="dxa" w:w="1160"/>
          </w:tcPr>
          <w:p>
            <w:pPr>
              <w:keepLines/>
              <w:spacing w:after="0" w:line="276" w:lineRule="auto"/>
            </w:pPr>
            <w:r>
              <w:rPr>
                <w:rFonts w:ascii="Calibri" w:hAnsi="Calibri" w:eastAsia="Microsoft YaHei"/>
                <w:color w:val="0B2545"/>
                <w:sz w:val="15"/>
              </w:rPr>
              <w:t>D2</w:t>
            </w:r>
          </w:p>
        </w:tc>
      </w:tr>
      <w:tr>
        <w:trPr>
          <w:cantSplit/>
        </w:trPr>
        <w:tc>
          <w:tcPr>
            <w:tcW w:type="dxa" w:w="1200"/>
          </w:tcPr>
          <w:p>
            <w:pPr>
              <w:keepLines/>
              <w:spacing w:after="0" w:line="276" w:lineRule="auto"/>
            </w:pPr>
            <w:r>
              <w:rPr>
                <w:rFonts w:ascii="Calibri" w:hAnsi="Calibri" w:eastAsia="Microsoft YaHei"/>
                <w:color w:val="0B2545"/>
                <w:sz w:val="15"/>
              </w:rPr>
              <w:t>DSI-002</w:t>
            </w:r>
          </w:p>
        </w:tc>
        <w:tc>
          <w:tcPr>
            <w:tcW w:type="dxa" w:w="750"/>
          </w:tcPr>
          <w:p>
            <w:pPr>
              <w:keepLines/>
              <w:spacing w:after="0" w:line="276" w:lineRule="auto"/>
            </w:pPr>
            <w:r>
              <w:rPr>
                <w:rFonts w:ascii="Calibri" w:hAnsi="Calibri" w:eastAsia="Microsoft YaHei"/>
                <w:color w:val="0B2545"/>
                <w:sz w:val="15"/>
              </w:rPr>
              <w:t>DG0</w:t>
            </w:r>
          </w:p>
        </w:tc>
        <w:tc>
          <w:tcPr>
            <w:tcW w:type="dxa" w:w="5300"/>
          </w:tcPr>
          <w:p>
            <w:pPr>
              <w:keepLines/>
              <w:spacing w:after="0" w:line="276" w:lineRule="auto"/>
            </w:pPr>
            <w:r>
              <w:rPr>
                <w:rFonts w:ascii="Calibri" w:hAnsi="Calibri" w:eastAsia="Microsoft YaHei"/>
                <w:color w:val="0B2545"/>
                <w:sz w:val="15"/>
              </w:rPr>
              <w:t>MDSplus 脉冲树、数据采集与时序数据管理</w:t>
            </w:r>
          </w:p>
        </w:tc>
        <w:tc>
          <w:tcPr>
            <w:tcW w:type="dxa" w:w="950"/>
          </w:tcPr>
          <w:p>
            <w:pPr>
              <w:keepLines/>
              <w:spacing w:after="0" w:line="276" w:lineRule="auto"/>
            </w:pPr>
            <w:r>
              <w:rPr>
                <w:rFonts w:ascii="Calibri" w:hAnsi="Calibri" w:eastAsia="Microsoft YaHei"/>
                <w:color w:val="0B2545"/>
                <w:sz w:val="15"/>
              </w:rPr>
              <w:t>E4</w:t>
            </w:r>
          </w:p>
        </w:tc>
        <w:tc>
          <w:tcPr>
            <w:tcW w:type="dxa" w:w="1160"/>
          </w:tcPr>
          <w:p>
            <w:pPr>
              <w:keepLines/>
              <w:spacing w:after="0" w:line="276" w:lineRule="auto"/>
            </w:pPr>
            <w:r>
              <w:rPr>
                <w:rFonts w:ascii="Calibri" w:hAnsi="Calibri" w:eastAsia="Microsoft YaHei"/>
                <w:color w:val="0B2545"/>
                <w:sz w:val="15"/>
              </w:rPr>
              <w:t>D4</w:t>
            </w:r>
          </w:p>
        </w:tc>
      </w:tr>
      <w:tr>
        <w:trPr>
          <w:cantSplit/>
        </w:trPr>
        <w:tc>
          <w:tcPr>
            <w:tcW w:type="dxa" w:w="1200"/>
          </w:tcPr>
          <w:p>
            <w:pPr>
              <w:keepLines/>
              <w:spacing w:after="0" w:line="276" w:lineRule="auto"/>
            </w:pPr>
            <w:r>
              <w:rPr>
                <w:rFonts w:ascii="Calibri" w:hAnsi="Calibri" w:eastAsia="Microsoft YaHei"/>
                <w:color w:val="0B2545"/>
                <w:sz w:val="15"/>
              </w:rPr>
              <w:t>DG6-031</w:t>
            </w:r>
          </w:p>
        </w:tc>
        <w:tc>
          <w:tcPr>
            <w:tcW w:type="dxa" w:w="750"/>
          </w:tcPr>
          <w:p>
            <w:pPr>
              <w:keepLines/>
              <w:spacing w:after="0" w:line="276" w:lineRule="auto"/>
            </w:pPr>
            <w:r>
              <w:rPr>
                <w:rFonts w:ascii="Calibri" w:hAnsi="Calibri" w:eastAsia="Microsoft YaHei"/>
                <w:color w:val="0B2545"/>
                <w:sz w:val="15"/>
              </w:rPr>
              <w:t>DG6</w:t>
            </w:r>
          </w:p>
        </w:tc>
        <w:tc>
          <w:tcPr>
            <w:tcW w:type="dxa" w:w="5300"/>
          </w:tcPr>
          <w:p>
            <w:pPr>
              <w:keepLines/>
              <w:spacing w:after="0" w:line="276" w:lineRule="auto"/>
            </w:pPr>
            <w:r>
              <w:rPr>
                <w:rFonts w:ascii="Calibri" w:hAnsi="Calibri" w:eastAsia="Microsoft YaHei"/>
                <w:color w:val="0B2545"/>
                <w:sz w:val="15"/>
              </w:rPr>
              <w:t>束发射光谱：密度湍流与径向相关</w:t>
            </w:r>
          </w:p>
        </w:tc>
        <w:tc>
          <w:tcPr>
            <w:tcW w:type="dxa" w:w="950"/>
          </w:tcPr>
          <w:p>
            <w:pPr>
              <w:keepLines/>
              <w:spacing w:after="0" w:line="276" w:lineRule="auto"/>
            </w:pPr>
            <w:r>
              <w:rPr>
                <w:rFonts w:ascii="Calibri" w:hAnsi="Calibri" w:eastAsia="Microsoft YaHei"/>
                <w:color w:val="0B2545"/>
                <w:sz w:val="15"/>
              </w:rPr>
              <w:t>E4</w:t>
            </w:r>
          </w:p>
        </w:tc>
        <w:tc>
          <w:tcPr>
            <w:tcW w:type="dxa" w:w="1160"/>
          </w:tcPr>
          <w:p>
            <w:pPr>
              <w:keepLines/>
              <w:spacing w:after="0" w:line="276" w:lineRule="auto"/>
            </w:pPr>
            <w:r>
              <w:rPr>
                <w:rFonts w:ascii="Calibri" w:hAnsi="Calibri" w:eastAsia="Microsoft YaHei"/>
                <w:color w:val="0B2545"/>
                <w:sz w:val="15"/>
              </w:rPr>
              <w:t>D4</w:t>
            </w:r>
          </w:p>
        </w:tc>
      </w:tr>
      <w:tr>
        <w:trPr>
          <w:cantSplit/>
        </w:trPr>
        <w:tc>
          <w:tcPr>
            <w:tcW w:type="dxa" w:w="1200"/>
          </w:tcPr>
          <w:p>
            <w:pPr>
              <w:keepLines/>
              <w:spacing w:after="0" w:line="276" w:lineRule="auto"/>
            </w:pPr>
            <w:r>
              <w:rPr>
                <w:rFonts w:ascii="Calibri" w:hAnsi="Calibri" w:eastAsia="Microsoft YaHei"/>
                <w:color w:val="0B2545"/>
                <w:sz w:val="15"/>
              </w:rPr>
              <w:t>DG6-035</w:t>
            </w:r>
          </w:p>
        </w:tc>
        <w:tc>
          <w:tcPr>
            <w:tcW w:type="dxa" w:w="750"/>
          </w:tcPr>
          <w:p>
            <w:pPr>
              <w:keepLines/>
              <w:spacing w:after="0" w:line="276" w:lineRule="auto"/>
            </w:pPr>
            <w:r>
              <w:rPr>
                <w:rFonts w:ascii="Calibri" w:hAnsi="Calibri" w:eastAsia="Microsoft YaHei"/>
                <w:color w:val="0B2545"/>
                <w:sz w:val="15"/>
              </w:rPr>
              <w:t>DG6</w:t>
            </w:r>
          </w:p>
        </w:tc>
        <w:tc>
          <w:tcPr>
            <w:tcW w:type="dxa" w:w="5300"/>
          </w:tcPr>
          <w:p>
            <w:pPr>
              <w:keepLines/>
              <w:spacing w:after="0" w:line="276" w:lineRule="auto"/>
            </w:pPr>
            <w:r>
              <w:rPr>
                <w:rFonts w:ascii="Calibri" w:hAnsi="Calibri" w:eastAsia="Microsoft YaHei"/>
                <w:color w:val="0B2545"/>
                <w:sz w:val="15"/>
              </w:rPr>
              <w:t>气体喷注成像：边缘丝状体与湍流</w:t>
            </w:r>
          </w:p>
        </w:tc>
        <w:tc>
          <w:tcPr>
            <w:tcW w:type="dxa" w:w="950"/>
          </w:tcPr>
          <w:p>
            <w:pPr>
              <w:keepLines/>
              <w:spacing w:after="0" w:line="276" w:lineRule="auto"/>
            </w:pPr>
            <w:r>
              <w:rPr>
                <w:rFonts w:ascii="Calibri" w:hAnsi="Calibri" w:eastAsia="Microsoft YaHei"/>
                <w:color w:val="0B2545"/>
                <w:sz w:val="15"/>
              </w:rPr>
              <w:t>E4</w:t>
            </w:r>
          </w:p>
        </w:tc>
        <w:tc>
          <w:tcPr>
            <w:tcW w:type="dxa" w:w="1160"/>
          </w:tcPr>
          <w:p>
            <w:pPr>
              <w:keepLines/>
              <w:spacing w:after="0" w:line="276" w:lineRule="auto"/>
            </w:pPr>
            <w:r>
              <w:rPr>
                <w:rFonts w:ascii="Calibri" w:hAnsi="Calibri" w:eastAsia="Microsoft YaHei"/>
                <w:color w:val="0B2545"/>
                <w:sz w:val="15"/>
              </w:rPr>
              <w:t>D4</w:t>
            </w:r>
          </w:p>
        </w:tc>
      </w:tr>
      <w:tr>
        <w:trPr>
          <w:cantSplit/>
        </w:trPr>
        <w:tc>
          <w:tcPr>
            <w:tcW w:type="dxa" w:w="1200"/>
          </w:tcPr>
          <w:p>
            <w:pPr>
              <w:keepLines/>
              <w:spacing w:after="0" w:line="276" w:lineRule="auto"/>
            </w:pPr>
            <w:r>
              <w:rPr>
                <w:rFonts w:ascii="Calibri" w:hAnsi="Calibri" w:eastAsia="Microsoft YaHei"/>
                <w:color w:val="0B2545"/>
                <w:sz w:val="15"/>
              </w:rPr>
              <w:t>DSI-011</w:t>
            </w:r>
          </w:p>
        </w:tc>
        <w:tc>
          <w:tcPr>
            <w:tcW w:type="dxa" w:w="750"/>
          </w:tcPr>
          <w:p>
            <w:pPr>
              <w:keepLines/>
              <w:spacing w:after="0" w:line="276" w:lineRule="auto"/>
            </w:pPr>
            <w:r>
              <w:rPr>
                <w:rFonts w:ascii="Calibri" w:hAnsi="Calibri" w:eastAsia="Microsoft YaHei"/>
                <w:color w:val="0B2545"/>
                <w:sz w:val="15"/>
              </w:rPr>
              <w:t>DG9</w:t>
            </w:r>
          </w:p>
        </w:tc>
        <w:tc>
          <w:tcPr>
            <w:tcW w:type="dxa" w:w="5300"/>
          </w:tcPr>
          <w:p>
            <w:pPr>
              <w:keepLines/>
              <w:spacing w:after="0" w:line="276" w:lineRule="auto"/>
            </w:pPr>
            <w:r>
              <w:rPr>
                <w:rFonts w:ascii="Calibri" w:hAnsi="Calibri" w:eastAsia="Microsoft YaHei"/>
                <w:color w:val="0B2545"/>
                <w:sz w:val="15"/>
              </w:rPr>
              <w:t>FIDASIM 快离子 Dα 与中性粒子分析器合成诊断</w:t>
            </w:r>
          </w:p>
        </w:tc>
        <w:tc>
          <w:tcPr>
            <w:tcW w:type="dxa" w:w="950"/>
          </w:tcPr>
          <w:p>
            <w:pPr>
              <w:keepLines/>
              <w:spacing w:after="0" w:line="276" w:lineRule="auto"/>
            </w:pPr>
            <w:r>
              <w:rPr>
                <w:rFonts w:ascii="Calibri" w:hAnsi="Calibri" w:eastAsia="Microsoft YaHei"/>
                <w:color w:val="0B2545"/>
                <w:sz w:val="15"/>
              </w:rPr>
              <w:t>E3</w:t>
            </w:r>
          </w:p>
        </w:tc>
        <w:tc>
          <w:tcPr>
            <w:tcW w:type="dxa" w:w="1160"/>
          </w:tcPr>
          <w:p>
            <w:pPr>
              <w:keepLines/>
              <w:spacing w:after="0" w:line="276" w:lineRule="auto"/>
            </w:pPr>
            <w:r>
              <w:rPr>
                <w:rFonts w:ascii="Calibri" w:hAnsi="Calibri" w:eastAsia="Microsoft YaHei"/>
                <w:color w:val="0B2545"/>
                <w:sz w:val="15"/>
              </w:rPr>
              <w:t>D3</w:t>
            </w:r>
          </w:p>
        </w:tc>
      </w:tr>
      <w:tr>
        <w:trPr>
          <w:cantSplit/>
        </w:trPr>
        <w:tc>
          <w:tcPr>
            <w:tcW w:type="dxa" w:w="1200"/>
          </w:tcPr>
          <w:p>
            <w:pPr>
              <w:keepLines/>
              <w:spacing w:after="0" w:line="276" w:lineRule="auto"/>
            </w:pPr>
            <w:r>
              <w:rPr>
                <w:rFonts w:ascii="Calibri" w:hAnsi="Calibri" w:eastAsia="Microsoft YaHei"/>
                <w:color w:val="0B2545"/>
                <w:sz w:val="15"/>
              </w:rPr>
              <w:t>DSI-014</w:t>
            </w:r>
          </w:p>
        </w:tc>
        <w:tc>
          <w:tcPr>
            <w:tcW w:type="dxa" w:w="750"/>
          </w:tcPr>
          <w:p>
            <w:pPr>
              <w:keepLines/>
              <w:spacing w:after="0" w:line="276" w:lineRule="auto"/>
            </w:pPr>
            <w:r>
              <w:rPr>
                <w:rFonts w:ascii="Calibri" w:hAnsi="Calibri" w:eastAsia="Microsoft YaHei"/>
                <w:color w:val="0B2545"/>
                <w:sz w:val="15"/>
              </w:rPr>
              <w:t>DG10</w:t>
            </w:r>
          </w:p>
        </w:tc>
        <w:tc>
          <w:tcPr>
            <w:tcW w:type="dxa" w:w="5300"/>
          </w:tcPr>
          <w:p>
            <w:pPr>
              <w:keepLines/>
              <w:spacing w:after="0" w:line="276" w:lineRule="auto"/>
            </w:pPr>
            <w:r>
              <w:rPr>
                <w:rFonts w:ascii="Calibri" w:hAnsi="Calibri" w:eastAsia="Microsoft YaHei"/>
                <w:color w:val="0B2545"/>
                <w:sz w:val="15"/>
              </w:rPr>
              <w:t>TRIPPy 环形辐射视线与反演协议</w:t>
            </w:r>
          </w:p>
        </w:tc>
        <w:tc>
          <w:tcPr>
            <w:tcW w:type="dxa" w:w="950"/>
          </w:tcPr>
          <w:p>
            <w:pPr>
              <w:keepLines/>
              <w:spacing w:after="0" w:line="276" w:lineRule="auto"/>
            </w:pPr>
            <w:r>
              <w:rPr>
                <w:rFonts w:ascii="Calibri" w:hAnsi="Calibri" w:eastAsia="Microsoft YaHei"/>
                <w:color w:val="0B2545"/>
                <w:sz w:val="15"/>
              </w:rPr>
              <w:t>E3</w:t>
            </w:r>
          </w:p>
        </w:tc>
        <w:tc>
          <w:tcPr>
            <w:tcW w:type="dxa" w:w="1160"/>
          </w:tcPr>
          <w:p>
            <w:pPr>
              <w:keepLines/>
              <w:spacing w:after="0" w:line="276" w:lineRule="auto"/>
            </w:pPr>
            <w:r>
              <w:rPr>
                <w:rFonts w:ascii="Calibri" w:hAnsi="Calibri" w:eastAsia="Microsoft YaHei"/>
                <w:color w:val="0B2545"/>
                <w:sz w:val="15"/>
              </w:rPr>
              <w:t>D2</w:t>
            </w:r>
          </w:p>
        </w:tc>
      </w:tr>
    </w:tbl>
    <w:p>
      <w:pPr>
        <w:spacing w:before="0" w:after="60"/>
      </w:pPr>
    </w:p>
    <w:tbl>
      <w:tblPr>
        <w:tblStyle w:val="TableGrid"/>
        <w:tblW w:type="dxa" w:w="9360"/>
        <w:jc w:val="left"/>
        <w:tblLayout w:type="fixed"/>
        <w:tblLook w:firstColumn="1" w:firstRow="1" w:lastColumn="0" w:lastRow="0" w:noHBand="0" w:noVBand="1" w:val="04A0"/>
        <w:tblInd w:w="120" w:type="dxa"/>
      </w:tblPr>
      <w:tblGrid>
        <w:gridCol w:w="900"/>
        <w:gridCol w:w="3200"/>
        <w:gridCol w:w="2760"/>
        <w:gridCol w:w="2500"/>
      </w:tblGrid>
      <w:tr>
        <w:trPr>
          <w:tblHeader w:val="true"/>
        </w:trPr>
        <w:tc>
          <w:tcPr>
            <w:tcW w:type="dxa" w:w="9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年份/类型</w:t>
            </w:r>
          </w:p>
        </w:tc>
        <w:tc>
          <w:tcPr>
            <w:tcW w:type="dxa" w:w="32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论文或软件</w:t>
            </w:r>
          </w:p>
        </w:tc>
        <w:tc>
          <w:tcPr>
            <w:tcW w:type="dxa" w:w="276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来源/关系</w:t>
            </w:r>
          </w:p>
        </w:tc>
        <w:tc>
          <w:tcPr>
            <w:tcW w:type="dxa" w:w="25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链接</w:t>
            </w:r>
          </w:p>
        </w:tc>
      </w:tr>
      <w:tr>
        <w:trPr>
          <w:cantSplit/>
        </w:trPr>
        <w:tc>
          <w:tcPr>
            <w:tcW w:type="dxa" w:w="900"/>
          </w:tcPr>
          <w:p>
            <w:pPr>
              <w:keepLines/>
              <w:spacing w:after="0" w:line="276" w:lineRule="auto"/>
            </w:pPr>
            <w:r>
              <w:rPr>
                <w:rFonts w:ascii="Calibri" w:hAnsi="Calibri" w:eastAsia="Microsoft YaHei"/>
                <w:color w:val="0B2545"/>
                <w:sz w:val="14"/>
              </w:rPr>
              <w:t>2025</w:t>
            </w:r>
          </w:p>
        </w:tc>
        <w:tc>
          <w:tcPr>
            <w:tcW w:type="dxa" w:w="3200"/>
          </w:tcPr>
          <w:p>
            <w:pPr>
              <w:keepLines/>
              <w:spacing w:after="0" w:line="276" w:lineRule="auto"/>
            </w:pPr>
            <w:r>
              <w:rPr>
                <w:rFonts w:ascii="Calibri" w:hAnsi="Calibri" w:eastAsia="Microsoft YaHei"/>
                <w:color w:val="0B2545"/>
                <w:sz w:val="14"/>
              </w:rPr>
              <w:t>NSTX-U Data Management Plan</w:t>
            </w:r>
          </w:p>
        </w:tc>
        <w:tc>
          <w:tcPr>
            <w:tcW w:type="dxa" w:w="2760"/>
          </w:tcPr>
          <w:p>
            <w:pPr>
              <w:keepLines/>
              <w:spacing w:after="0" w:line="276" w:lineRule="auto"/>
            </w:pPr>
            <w:r>
              <w:rPr>
                <w:rFonts w:ascii="Calibri" w:hAnsi="Calibri" w:eastAsia="Microsoft YaHei"/>
                <w:color w:val="0B2545"/>
                <w:sz w:val="14"/>
              </w:rPr>
              <w:t>原始论文 / 官方来源</w:t>
            </w:r>
          </w:p>
        </w:tc>
        <w:tc>
          <w:tcPr>
            <w:tcW w:type="dxa" w:w="2500"/>
          </w:tcPr>
          <w:p>
            <w:pPr>
              <w:keepLines/>
              <w:spacing w:after="0" w:line="276" w:lineRule="auto"/>
            </w:pPr>
            <w:hyperlink r:id="rId155">
              <w:r>
                <w:rPr>
                  <w:rFonts w:ascii="Calibri" w:hAnsi="Calibri" w:eastAsia="Microsoft YaHei"/>
                  <w:color w:val="008C95"/>
                  <w:u w:val="single"/>
                </w:rPr>
                <w:t>打开原始来源 ↗</w:t>
              </w:r>
            </w:hyperlink>
          </w:p>
        </w:tc>
      </w:tr>
      <w:tr>
        <w:trPr>
          <w:cantSplit/>
        </w:trPr>
        <w:tc>
          <w:tcPr>
            <w:tcW w:type="dxa" w:w="900"/>
          </w:tcPr>
          <w:p>
            <w:pPr>
              <w:keepLines/>
              <w:spacing w:after="0" w:line="276" w:lineRule="auto"/>
            </w:pPr>
            <w:r>
              <w:rPr>
                <w:rFonts w:ascii="Calibri" w:hAnsi="Calibri" w:eastAsia="Microsoft YaHei"/>
                <w:color w:val="0B2545"/>
                <w:sz w:val="14"/>
              </w:rPr>
              <w:t>2026</w:t>
            </w:r>
          </w:p>
        </w:tc>
        <w:tc>
          <w:tcPr>
            <w:tcW w:type="dxa" w:w="3200"/>
          </w:tcPr>
          <w:p>
            <w:pPr>
              <w:keepLines/>
              <w:spacing w:after="0" w:line="276" w:lineRule="auto"/>
            </w:pPr>
            <w:r>
              <w:rPr>
                <w:rFonts w:ascii="Calibri" w:hAnsi="Calibri" w:eastAsia="Microsoft YaHei"/>
                <w:color w:val="0B2545"/>
                <w:sz w:val="14"/>
              </w:rPr>
              <w:t>MDSplus for NSTX-U</w:t>
            </w:r>
          </w:p>
        </w:tc>
        <w:tc>
          <w:tcPr>
            <w:tcW w:type="dxa" w:w="2760"/>
          </w:tcPr>
          <w:p>
            <w:pPr>
              <w:keepLines/>
              <w:spacing w:after="0" w:line="276" w:lineRule="auto"/>
            </w:pPr>
            <w:r>
              <w:rPr>
                <w:rFonts w:ascii="Calibri" w:hAnsi="Calibri" w:eastAsia="Microsoft YaHei"/>
                <w:color w:val="0B2545"/>
                <w:sz w:val="14"/>
              </w:rPr>
              <w:t>原始论文 / 官方来源</w:t>
            </w:r>
          </w:p>
        </w:tc>
        <w:tc>
          <w:tcPr>
            <w:tcW w:type="dxa" w:w="2500"/>
          </w:tcPr>
          <w:p>
            <w:pPr>
              <w:keepLines/>
              <w:spacing w:after="0" w:line="276" w:lineRule="auto"/>
            </w:pPr>
            <w:hyperlink r:id="rId264">
              <w:r>
                <w:rPr>
                  <w:rFonts w:ascii="Calibri" w:hAnsi="Calibri" w:eastAsia="Microsoft YaHei"/>
                  <w:color w:val="008C95"/>
                  <w:u w:val="single"/>
                </w:rPr>
                <w:t>打开原始来源 ↗</w:t>
              </w:r>
            </w:hyperlink>
          </w:p>
        </w:tc>
      </w:tr>
      <w:tr>
        <w:trPr>
          <w:cantSplit/>
        </w:trPr>
        <w:tc>
          <w:tcPr>
            <w:tcW w:type="dxa" w:w="900"/>
          </w:tcPr>
          <w:p>
            <w:pPr>
              <w:keepLines/>
              <w:spacing w:after="0" w:line="276" w:lineRule="auto"/>
            </w:pPr>
            <w:r>
              <w:rPr>
                <w:rFonts w:ascii="Calibri" w:hAnsi="Calibri" w:eastAsia="Microsoft YaHei"/>
                <w:color w:val="0B2545"/>
                <w:sz w:val="14"/>
              </w:rPr>
              <w:t>2013</w:t>
            </w:r>
          </w:p>
        </w:tc>
        <w:tc>
          <w:tcPr>
            <w:tcW w:type="dxa" w:w="3200"/>
          </w:tcPr>
          <w:p>
            <w:pPr>
              <w:keepLines/>
              <w:spacing w:after="0" w:line="276" w:lineRule="auto"/>
            </w:pPr>
            <w:r>
              <w:rPr>
                <w:rFonts w:ascii="Calibri" w:hAnsi="Calibri" w:eastAsia="Microsoft YaHei"/>
                <w:color w:val="0B2545"/>
                <w:sz w:val="14"/>
              </w:rPr>
              <w:t>Overview of NSTX Software and MDSplus</w:t>
            </w:r>
          </w:p>
        </w:tc>
        <w:tc>
          <w:tcPr>
            <w:tcW w:type="dxa" w:w="2760"/>
          </w:tcPr>
          <w:p>
            <w:pPr>
              <w:keepLines/>
              <w:spacing w:after="0" w:line="276" w:lineRule="auto"/>
            </w:pPr>
            <w:r>
              <w:rPr>
                <w:rFonts w:ascii="Calibri" w:hAnsi="Calibri" w:eastAsia="Microsoft YaHei"/>
                <w:color w:val="0B2545"/>
                <w:sz w:val="14"/>
              </w:rPr>
              <w:t>原始论文 / 官方来源</w:t>
            </w:r>
          </w:p>
        </w:tc>
        <w:tc>
          <w:tcPr>
            <w:tcW w:type="dxa" w:w="2500"/>
          </w:tcPr>
          <w:p>
            <w:pPr>
              <w:keepLines/>
              <w:spacing w:after="0" w:line="276" w:lineRule="auto"/>
            </w:pPr>
            <w:hyperlink r:id="rId265">
              <w:r>
                <w:rPr>
                  <w:rFonts w:ascii="Calibri" w:hAnsi="Calibri" w:eastAsia="Microsoft YaHei"/>
                  <w:color w:val="008C95"/>
                  <w:u w:val="single"/>
                </w:rPr>
                <w:t>打开原始来源 ↗</w:t>
              </w:r>
            </w:hyperlink>
          </w:p>
        </w:tc>
      </w:tr>
      <w:tr>
        <w:trPr>
          <w:cantSplit/>
        </w:trPr>
        <w:tc>
          <w:tcPr>
            <w:tcW w:type="dxa" w:w="900"/>
          </w:tcPr>
          <w:p>
            <w:pPr>
              <w:keepLines/>
              <w:spacing w:after="0" w:line="276" w:lineRule="auto"/>
            </w:pPr>
            <w:r>
              <w:rPr>
                <w:rFonts w:ascii="Calibri" w:hAnsi="Calibri" w:eastAsia="Microsoft YaHei"/>
                <w:color w:val="0B2545"/>
                <w:sz w:val="14"/>
              </w:rPr>
              <w:t>软件</w:t>
            </w:r>
          </w:p>
        </w:tc>
        <w:tc>
          <w:tcPr>
            <w:tcW w:type="dxa" w:w="3200"/>
          </w:tcPr>
          <w:p>
            <w:pPr>
              <w:keepLines/>
              <w:spacing w:after="0" w:line="276" w:lineRule="auto"/>
            </w:pPr>
            <w:r>
              <w:rPr>
                <w:rFonts w:ascii="Calibri" w:hAnsi="Calibri" w:eastAsia="Microsoft YaHei"/>
                <w:color w:val="0B2545"/>
                <w:sz w:val="14"/>
              </w:rPr>
              <w:t>NSTX-U Web Tools</w:t>
            </w:r>
          </w:p>
        </w:tc>
        <w:tc>
          <w:tcPr>
            <w:tcW w:type="dxa" w:w="2760"/>
          </w:tcPr>
          <w:p>
            <w:pPr>
              <w:keepLines/>
              <w:spacing w:after="0" w:line="276" w:lineRule="auto"/>
            </w:pPr>
            <w:r>
              <w:rPr>
                <w:rFonts w:ascii="Calibri" w:hAnsi="Calibri" w:eastAsia="Microsoft YaHei"/>
                <w:color w:val="0B2545"/>
                <w:sz w:val="14"/>
              </w:rPr>
              <w:t>official-enabling / 公开入口；后端数据权限因工具/数据级别而异</w:t>
            </w:r>
          </w:p>
        </w:tc>
        <w:tc>
          <w:tcPr>
            <w:tcW w:type="dxa" w:w="2500"/>
          </w:tcPr>
          <w:p>
            <w:pPr>
              <w:keepLines/>
              <w:spacing w:after="0" w:line="276" w:lineRule="auto"/>
            </w:pPr>
            <w:hyperlink r:id="rId156">
              <w:r>
                <w:rPr>
                  <w:rFonts w:ascii="Calibri" w:hAnsi="Calibri" w:eastAsia="Microsoft YaHei"/>
                  <w:color w:val="008C95"/>
                  <w:u w:val="single"/>
                </w:rPr>
                <w:t>打开原始来源 ↗</w:t>
              </w:r>
            </w:hyperlink>
          </w:p>
        </w:tc>
      </w:tr>
      <w:tr>
        <w:trPr>
          <w:cantSplit/>
        </w:trPr>
        <w:tc>
          <w:tcPr>
            <w:tcW w:type="dxa" w:w="900"/>
          </w:tcPr>
          <w:p>
            <w:pPr>
              <w:keepLines/>
              <w:spacing w:after="0" w:line="276" w:lineRule="auto"/>
            </w:pPr>
            <w:r>
              <w:rPr>
                <w:rFonts w:ascii="Calibri" w:hAnsi="Calibri" w:eastAsia="Microsoft YaHei"/>
                <w:color w:val="0B2545"/>
                <w:sz w:val="14"/>
              </w:rPr>
              <w:t>软件</w:t>
            </w:r>
          </w:p>
        </w:tc>
        <w:tc>
          <w:tcPr>
            <w:tcW w:type="dxa" w:w="3200"/>
          </w:tcPr>
          <w:p>
            <w:pPr>
              <w:keepLines/>
              <w:spacing w:after="0" w:line="276" w:lineRule="auto"/>
            </w:pPr>
            <w:r>
              <w:rPr>
                <w:rFonts w:ascii="Calibri" w:hAnsi="Calibri" w:eastAsia="Microsoft YaHei"/>
                <w:color w:val="0B2545"/>
                <w:sz w:val="14"/>
              </w:rPr>
              <w:t>MDSplus</w:t>
            </w:r>
          </w:p>
        </w:tc>
        <w:tc>
          <w:tcPr>
            <w:tcW w:type="dxa" w:w="2760"/>
          </w:tcPr>
          <w:p>
            <w:pPr>
              <w:keepLines/>
              <w:spacing w:after="0" w:line="276" w:lineRule="auto"/>
            </w:pPr>
            <w:r>
              <w:rPr>
                <w:rFonts w:ascii="Calibri" w:hAnsi="Calibri" w:eastAsia="Microsoft YaHei"/>
                <w:color w:val="0B2545"/>
                <w:sz w:val="14"/>
              </w:rPr>
              <w:t>official-enabling / 公共平台，不含 NSTX-U 全量数据和诊断算法</w:t>
            </w:r>
          </w:p>
        </w:tc>
        <w:tc>
          <w:tcPr>
            <w:tcW w:type="dxa" w:w="2500"/>
          </w:tcPr>
          <w:p>
            <w:pPr>
              <w:keepLines/>
              <w:spacing w:after="0" w:line="276" w:lineRule="auto"/>
            </w:pPr>
            <w:hyperlink r:id="rId21">
              <w:r>
                <w:rPr>
                  <w:rFonts w:ascii="Calibri" w:hAnsi="Calibri" w:eastAsia="Microsoft YaHei"/>
                  <w:color w:val="008C95"/>
                  <w:u w:val="single"/>
                </w:rPr>
                <w:t>打开原始来源 ↗</w:t>
              </w:r>
            </w:hyperlink>
          </w:p>
        </w:tc>
      </w:tr>
    </w:tbl>
    <w:p>
      <w:pPr>
        <w:spacing w:before="0" w:after="60"/>
      </w:pPr>
    </w:p>
    <w:p>
      <w:pPr>
        <w:pStyle w:val="Heading2"/>
      </w:pPr>
      <w:r>
        <w:t>17.15  SPARC</w:t>
      </w:r>
    </w:p>
    <w:tbl>
      <w:tblPr>
        <w:tblStyle w:val="TableGrid"/>
        <w:tblW w:type="dxa" w:w="9360"/>
        <w:jc w:val="left"/>
        <w:tblLayout w:type="fixed"/>
        <w:tblLook w:firstColumn="1" w:firstRow="1" w:lastColumn="0" w:lastRow="0" w:noHBand="0" w:noVBand="1" w:val="04A0"/>
        <w:tblInd w:w="120" w:type="dxa"/>
      </w:tblPr>
      <w:tblGrid>
        <w:gridCol w:w="1100"/>
        <w:gridCol w:w="1100"/>
        <w:gridCol w:w="2400"/>
        <w:gridCol w:w="1900"/>
        <w:gridCol w:w="2860"/>
      </w:tblGrid>
      <w:tr>
        <w:trPr>
          <w:tblHeader w:val="true"/>
        </w:trPr>
        <w:tc>
          <w:tcPr>
            <w:tcW w:type="dxa" w:w="11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类型</w:t>
            </w:r>
          </w:p>
        </w:tc>
        <w:tc>
          <w:tcPr>
            <w:tcW w:type="dxa" w:w="11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国家/地区</w:t>
            </w:r>
          </w:p>
        </w:tc>
        <w:tc>
          <w:tcPr>
            <w:tcW w:type="dxa" w:w="24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运营方</w:t>
            </w:r>
          </w:p>
        </w:tc>
        <w:tc>
          <w:tcPr>
            <w:tcW w:type="dxa" w:w="19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状态</w:t>
            </w:r>
          </w:p>
        </w:tc>
        <w:tc>
          <w:tcPr>
            <w:tcW w:type="dxa" w:w="286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覆盖任务</w:t>
            </w:r>
          </w:p>
        </w:tc>
      </w:tr>
      <w:tr>
        <w:trPr>
          <w:cantSplit/>
        </w:trPr>
        <w:tc>
          <w:tcPr>
            <w:tcW w:type="dxa" w:w="1100"/>
          </w:tcPr>
          <w:p>
            <w:pPr>
              <w:keepLines/>
              <w:spacing w:after="0" w:line="276" w:lineRule="auto"/>
            </w:pPr>
            <w:r>
              <w:rPr>
                <w:rFonts w:ascii="Calibri" w:hAnsi="Calibri" w:eastAsia="Microsoft YaHei"/>
                <w:color w:val="0B2545"/>
                <w:sz w:val="15"/>
              </w:rPr>
              <w:t>高场紧凑 D-T 托卡马克（在建）</w:t>
            </w:r>
          </w:p>
        </w:tc>
        <w:tc>
          <w:tcPr>
            <w:tcW w:type="dxa" w:w="1100"/>
          </w:tcPr>
          <w:p>
            <w:pPr>
              <w:keepLines/>
              <w:spacing w:after="0" w:line="276" w:lineRule="auto"/>
            </w:pPr>
            <w:r>
              <w:rPr>
                <w:rFonts w:ascii="Calibri" w:hAnsi="Calibri" w:eastAsia="Microsoft YaHei"/>
                <w:color w:val="0B2545"/>
                <w:sz w:val="15"/>
              </w:rPr>
              <w:t>美国</w:t>
            </w:r>
          </w:p>
        </w:tc>
        <w:tc>
          <w:tcPr>
            <w:tcW w:type="dxa" w:w="2400"/>
          </w:tcPr>
          <w:p>
            <w:pPr>
              <w:keepLines/>
              <w:spacing w:after="0" w:line="276" w:lineRule="auto"/>
            </w:pPr>
            <w:r>
              <w:rPr>
                <w:rFonts w:ascii="Calibri" w:hAnsi="Calibri" w:eastAsia="Microsoft YaHei"/>
                <w:color w:val="0B2545"/>
                <w:sz w:val="15"/>
              </w:rPr>
              <w:t>Commonwealth Fusion Systems / MIT collaboration</w:t>
            </w:r>
          </w:p>
        </w:tc>
        <w:tc>
          <w:tcPr>
            <w:tcW w:type="dxa" w:w="1900"/>
          </w:tcPr>
          <w:p>
            <w:pPr>
              <w:keepLines/>
              <w:spacing w:after="0" w:line="276" w:lineRule="auto"/>
            </w:pPr>
            <w:r>
              <w:rPr>
                <w:rFonts w:ascii="Calibri" w:hAnsi="Calibri" w:eastAsia="Microsoft YaHei"/>
                <w:color w:val="0B2545"/>
                <w:sz w:val="15"/>
              </w:rPr>
              <w:t>建设、诊断制造与样机验证；尚无 SPARC plasma data</w:t>
            </w:r>
          </w:p>
        </w:tc>
        <w:tc>
          <w:tcPr>
            <w:tcW w:type="dxa" w:w="2860"/>
          </w:tcPr>
          <w:p>
            <w:pPr>
              <w:keepLines/>
              <w:spacing w:after="0" w:line="276" w:lineRule="auto"/>
            </w:pPr>
            <w:r>
              <w:rPr>
                <w:rFonts w:ascii="Calibri" w:hAnsi="Calibri" w:eastAsia="Microsoft YaHei"/>
                <w:color w:val="0B2545"/>
                <w:sz w:val="15"/>
              </w:rPr>
              <w:t>DG0；DG1；DG2；DG3；DG4；DG5；DG6；DG7；DG8；DG9；DG11</w:t>
            </w:r>
          </w:p>
        </w:tc>
      </w:tr>
    </w:tbl>
    <w:p>
      <w:pPr>
        <w:spacing w:before="0" w:after="60"/>
      </w:pPr>
    </w:p>
    <w:p>
      <w:pPr>
        <w:widowControl/>
      </w:pPr>
      <w:r>
        <w:rPr>
          <w:rFonts w:ascii="Calibri" w:hAnsi="Calibri" w:eastAsia="Microsoft YaHei"/>
          <w:b/>
          <w:color w:val="1F4D78"/>
        </w:rPr>
        <w:t>诊断概况：</w:t>
      </w:r>
      <w:r>
        <w:rPr>
          <w:rFonts w:ascii="Calibri" w:hAnsi="Calibri" w:eastAsia="Microsoft YaHei"/>
        </w:rPr>
        <w:t>SPARC 以约五十套目标诊断支撑早期 Qfus&gt;1、机器保护和 ARC 降风险。公开细节包括三类 X 射线系统、约四类中子系统、磁、干涉、ECE、光谱、可见/IR、粒子和工程传感；设计强调 12 T 磁场、D-T 中子、混凝土屏蔽、真空/氚边界和远距电子学。</w:t>
      </w:r>
    </w:p>
    <w:p>
      <w:pPr>
        <w:widowControl/>
      </w:pPr>
      <w:r>
        <w:rPr>
          <w:rFonts w:ascii="Calibri" w:hAnsi="Calibri" w:eastAsia="Microsoft YaHei"/>
          <w:b/>
          <w:color w:val="1F4D78"/>
        </w:rPr>
        <w:t>主要系统：</w:t>
      </w:r>
      <w:r>
        <w:rPr>
          <w:rFonts w:ascii="Calibri" w:hAnsi="Calibri" w:eastAsia="Microsoft YaHei"/>
        </w:rPr>
        <w:t>family: xray；systems: in-vessel SXR tomography；ex-vessel HXR scintillators；X-ray crystal spectrometers；measuredQuantities: position/MHD/impurity；runaway electrons；Ti/rotation；evidence: E1-E2/D2-D3；realTimeUse: planned operation/protection roles；family: neutron；systems: ~15 flux monitors；two activation systems；spectrometric radial neutron camera；MPR spectrometer；measuredQuantities: fusion power；fluence；emissivity profile；core spectrum/Ti/fuel/fast ions；evidence: E1-E2/D2-D3 design/prototypes；realTimeUse: 10 ms target for selected measurements; no plasma validation；family: baseline；systems: magnetics；interferometry；ECE；visible/IR；spectroscopy；particle/gas diagnostics；measuredQuantities: equilibrium；ne/Te；wall/plasma state；composition；evidence: E1-E3 by subsystem；realTimeUse: planned PCS/machine protection</w:t>
      </w:r>
    </w:p>
    <w:p>
      <w:pPr>
        <w:widowControl/>
      </w:pPr>
      <w:r>
        <w:rPr>
          <w:rFonts w:ascii="Calibri" w:hAnsi="Calibri" w:eastAsia="Microsoft YaHei"/>
          <w:b/>
          <w:color w:val="1F4D78"/>
        </w:rPr>
        <w:t>测量/传感：</w:t>
      </w:r>
      <w:r>
        <w:rPr>
          <w:rFonts w:ascii="Calibri" w:hAnsi="Calibri" w:eastAsia="Microsoft YaHei"/>
        </w:rPr>
        <w:t>radiation-hard magnetics；X-ray diode/scintillator/crystal spectrometers；fission/ionization/proportional/diamond detectors；activation foils；MPR proton optics；IR/visible cameras</w:t>
      </w:r>
    </w:p>
    <w:p>
      <w:pPr>
        <w:widowControl/>
      </w:pPr>
      <w:r>
        <w:rPr>
          <w:rFonts w:ascii="Calibri" w:hAnsi="Calibri" w:eastAsia="Microsoft YaHei"/>
          <w:b/>
          <w:color w:val="1F4D78"/>
        </w:rPr>
        <w:t>实时与 PCS 接口：</w:t>
      </w:r>
      <w:r>
        <w:rPr>
          <w:rFonts w:ascii="Calibri" w:hAnsi="Calibri" w:eastAsia="Microsoft YaHei"/>
        </w:rPr>
        <w:t>planned SPARC PCS/neutrino framework；diagnostic labs behind shielding；machine protection inputs；no SPARC plasma closed-loop evidence yet</w:t>
      </w:r>
    </w:p>
    <w:p>
      <w:pPr>
        <w:widowControl/>
      </w:pPr>
      <w:r>
        <w:rPr>
          <w:rFonts w:ascii="Calibri" w:hAnsi="Calibri" w:eastAsia="Microsoft YaHei"/>
          <w:b/>
          <w:color w:val="1F4D78"/>
        </w:rPr>
        <w:t>数据平台：</w:t>
      </w:r>
      <w:r>
        <w:rPr>
          <w:rFonts w:ascii="Calibri" w:hAnsi="Calibri" w:eastAsia="Microsoft YaHei"/>
        </w:rPr>
        <w:t>systems: CFS plant/data stack (not public)；publication datasets and modeling repositories；access: production data/configuration private; papers and selected model artifacts public；evidence: SPARC diagnostic overview papers</w:t>
      </w:r>
    </w:p>
    <w:p>
      <w:pPr>
        <w:widowControl/>
      </w:pPr>
      <w:r>
        <w:rPr>
          <w:rFonts w:ascii="Calibri" w:hAnsi="Calibri" w:eastAsia="Microsoft YaHei"/>
          <w:b/>
          <w:color w:val="1F4D78"/>
        </w:rPr>
        <w:t>代表工作概述：</w:t>
      </w:r>
      <w:r>
        <w:rPr>
          <w:rFonts w:ascii="Calibri" w:hAnsi="Calibri" w:eastAsia="Microsoft YaHei"/>
        </w:rPr>
        <w:t>early-campaign diagnostics systems engineering；in-vessel SXR tomography + ex-vessel HXR + XICS；neutron flux/activation/camera/MPR spectrometer；OpenMC diagnostic scoping；radiation/magnetic/thermal/vacuum prototype qualification</w:t>
      </w:r>
    </w:p>
    <w:p>
      <w:pPr>
        <w:widowControl/>
      </w:pPr>
      <w:r>
        <w:rPr>
          <w:rFonts w:ascii="Calibri" w:hAnsi="Calibri" w:eastAsia="Microsoft YaHei"/>
          <w:b/>
          <w:color w:val="1F4D78"/>
        </w:rPr>
        <w:t>证据边界：</w:t>
      </w:r>
      <w:r>
        <w:rPr>
          <w:rFonts w:ascii="Calibri" w:hAnsi="Calibri" w:eastAsia="Microsoft YaHei"/>
        </w:rPr>
        <w:t>所有 SPARC plasma 诊断性能仍待首机验证；强场、D-T 中子、屏蔽和长电缆会改变噪声、增益和维护性；目标时间/空间/精度是设计要求，不是已实现统计</w:t>
      </w:r>
    </w:p>
    <w:tbl>
      <w:tblPr>
        <w:tblStyle w:val="TableGrid"/>
        <w:tblW w:type="dxa" w:w="9360"/>
        <w:jc w:val="left"/>
        <w:tblLayout w:type="fixed"/>
        <w:tblLook w:firstColumn="1" w:firstRow="1" w:lastColumn="0" w:lastRow="0" w:noHBand="0" w:noVBand="1" w:val="04A0"/>
        <w:tblInd w:w="120" w:type="dxa"/>
      </w:tblPr>
      <w:tblGrid>
        <w:gridCol w:w="1200"/>
        <w:gridCol w:w="750"/>
        <w:gridCol w:w="5300"/>
        <w:gridCol w:w="950"/>
        <w:gridCol w:w="1160"/>
      </w:tblGrid>
      <w:tr>
        <w:trPr>
          <w:tblHeader w:val="true"/>
        </w:trPr>
        <w:tc>
          <w:tcPr>
            <w:tcW w:type="dxa" w:w="12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工作 ID</w:t>
            </w:r>
          </w:p>
        </w:tc>
        <w:tc>
          <w:tcPr>
            <w:tcW w:type="dxa" w:w="7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任务</w:t>
            </w:r>
          </w:p>
        </w:tc>
        <w:tc>
          <w:tcPr>
            <w:tcW w:type="dxa" w:w="53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代表工作</w:t>
            </w:r>
          </w:p>
        </w:tc>
        <w:tc>
          <w:tcPr>
            <w:tcW w:type="dxa" w:w="9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证据</w:t>
            </w:r>
          </w:p>
        </w:tc>
        <w:tc>
          <w:tcPr>
            <w:tcW w:type="dxa" w:w="116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部署</w:t>
            </w:r>
          </w:p>
        </w:tc>
      </w:tr>
      <w:tr>
        <w:trPr>
          <w:cantSplit/>
        </w:trPr>
        <w:tc>
          <w:tcPr>
            <w:tcW w:type="dxa" w:w="1200"/>
          </w:tcPr>
          <w:p>
            <w:pPr>
              <w:keepLines/>
              <w:spacing w:after="0" w:line="276" w:lineRule="auto"/>
            </w:pPr>
            <w:r>
              <w:rPr>
                <w:rFonts w:ascii="Calibri" w:hAnsi="Calibri" w:eastAsia="Microsoft YaHei"/>
                <w:color w:val="0B2545"/>
                <w:sz w:val="15"/>
              </w:rPr>
              <w:t>PDT-020</w:t>
            </w:r>
          </w:p>
        </w:tc>
        <w:tc>
          <w:tcPr>
            <w:tcW w:type="dxa" w:w="750"/>
          </w:tcPr>
          <w:p>
            <w:pPr>
              <w:keepLines/>
              <w:spacing w:after="0" w:line="276" w:lineRule="auto"/>
            </w:pPr>
            <w:r>
              <w:rPr>
                <w:rFonts w:ascii="Calibri" w:hAnsi="Calibri" w:eastAsia="Microsoft YaHei"/>
                <w:color w:val="0B2545"/>
                <w:sz w:val="15"/>
              </w:rPr>
              <w:t>DG8</w:t>
            </w:r>
          </w:p>
        </w:tc>
        <w:tc>
          <w:tcPr>
            <w:tcW w:type="dxa" w:w="5300"/>
          </w:tcPr>
          <w:p>
            <w:pPr>
              <w:keepLines/>
              <w:spacing w:after="0" w:line="276" w:lineRule="auto"/>
            </w:pPr>
            <w:r>
              <w:rPr>
                <w:rFonts w:ascii="Calibri" w:hAnsi="Calibri" w:eastAsia="Microsoft YaHei"/>
                <w:color w:val="0B2545"/>
                <w:sz w:val="15"/>
              </w:rPr>
              <w:t>SPARC 诊断电子学与部件的强场、辐照、热、真空环境资格</w:t>
            </w:r>
          </w:p>
        </w:tc>
        <w:tc>
          <w:tcPr>
            <w:tcW w:type="dxa" w:w="950"/>
          </w:tcPr>
          <w:p>
            <w:pPr>
              <w:keepLines/>
              <w:spacing w:after="0" w:line="276" w:lineRule="auto"/>
            </w:pPr>
            <w:r>
              <w:rPr>
                <w:rFonts w:ascii="Calibri" w:hAnsi="Calibri" w:eastAsia="Microsoft YaHei"/>
                <w:color w:val="0B2545"/>
                <w:sz w:val="15"/>
              </w:rPr>
              <w:t>E2</w:t>
            </w:r>
          </w:p>
        </w:tc>
        <w:tc>
          <w:tcPr>
            <w:tcW w:type="dxa" w:w="1160"/>
          </w:tcPr>
          <w:p>
            <w:pPr>
              <w:keepLines/>
              <w:spacing w:after="0" w:line="276" w:lineRule="auto"/>
            </w:pPr>
            <w:r>
              <w:rPr>
                <w:rFonts w:ascii="Calibri" w:hAnsi="Calibri" w:eastAsia="Microsoft YaHei"/>
                <w:color w:val="0B2545"/>
                <w:sz w:val="15"/>
              </w:rPr>
              <w:t>D2</w:t>
            </w:r>
          </w:p>
        </w:tc>
      </w:tr>
      <w:tr>
        <w:trPr>
          <w:cantSplit/>
        </w:trPr>
        <w:tc>
          <w:tcPr>
            <w:tcW w:type="dxa" w:w="1200"/>
          </w:tcPr>
          <w:p>
            <w:pPr>
              <w:keepLines/>
              <w:spacing w:after="0" w:line="276" w:lineRule="auto"/>
            </w:pPr>
            <w:r>
              <w:rPr>
                <w:rFonts w:ascii="Calibri" w:hAnsi="Calibri" w:eastAsia="Microsoft YaHei"/>
                <w:color w:val="0B2545"/>
                <w:sz w:val="15"/>
              </w:rPr>
              <w:t>DSI-007</w:t>
            </w:r>
          </w:p>
        </w:tc>
        <w:tc>
          <w:tcPr>
            <w:tcW w:type="dxa" w:w="750"/>
          </w:tcPr>
          <w:p>
            <w:pPr>
              <w:keepLines/>
              <w:spacing w:after="0" w:line="276" w:lineRule="auto"/>
            </w:pPr>
            <w:r>
              <w:rPr>
                <w:rFonts w:ascii="Calibri" w:hAnsi="Calibri" w:eastAsia="Microsoft YaHei"/>
                <w:color w:val="0B2545"/>
                <w:sz w:val="15"/>
              </w:rPr>
              <w:t>DG0</w:t>
            </w:r>
          </w:p>
        </w:tc>
        <w:tc>
          <w:tcPr>
            <w:tcW w:type="dxa" w:w="5300"/>
          </w:tcPr>
          <w:p>
            <w:pPr>
              <w:keepLines/>
              <w:spacing w:after="0" w:line="276" w:lineRule="auto"/>
            </w:pPr>
            <w:r>
              <w:rPr>
                <w:rFonts w:ascii="Calibri" w:hAnsi="Calibri" w:eastAsia="Microsoft YaHei"/>
                <w:color w:val="0B2545"/>
                <w:sz w:val="15"/>
              </w:rPr>
              <w:t>MARTe2–MDSplus 实时采集、配置与归档一体化</w:t>
            </w:r>
          </w:p>
        </w:tc>
        <w:tc>
          <w:tcPr>
            <w:tcW w:type="dxa" w:w="950"/>
          </w:tcPr>
          <w:p>
            <w:pPr>
              <w:keepLines/>
              <w:spacing w:after="0" w:line="276" w:lineRule="auto"/>
            </w:pPr>
            <w:r>
              <w:rPr>
                <w:rFonts w:ascii="Calibri" w:hAnsi="Calibri" w:eastAsia="Microsoft YaHei"/>
                <w:color w:val="0B2545"/>
                <w:sz w:val="15"/>
              </w:rPr>
              <w:t>E4</w:t>
            </w:r>
          </w:p>
        </w:tc>
        <w:tc>
          <w:tcPr>
            <w:tcW w:type="dxa" w:w="1160"/>
          </w:tcPr>
          <w:p>
            <w:pPr>
              <w:keepLines/>
              <w:spacing w:after="0" w:line="276" w:lineRule="auto"/>
            </w:pPr>
            <w:r>
              <w:rPr>
                <w:rFonts w:ascii="Calibri" w:hAnsi="Calibri" w:eastAsia="Microsoft YaHei"/>
                <w:color w:val="0B2545"/>
                <w:sz w:val="15"/>
              </w:rPr>
              <w:t>D4</w:t>
            </w:r>
          </w:p>
        </w:tc>
      </w:tr>
      <w:tr>
        <w:trPr>
          <w:cantSplit/>
        </w:trPr>
        <w:tc>
          <w:tcPr>
            <w:tcW w:type="dxa" w:w="1200"/>
          </w:tcPr>
          <w:p>
            <w:pPr>
              <w:keepLines/>
              <w:spacing w:after="0" w:line="276" w:lineRule="auto"/>
            </w:pPr>
            <w:r>
              <w:rPr>
                <w:rFonts w:ascii="Calibri" w:hAnsi="Calibri" w:eastAsia="Microsoft YaHei"/>
                <w:color w:val="0B2545"/>
                <w:sz w:val="15"/>
              </w:rPr>
              <w:t>DG3-012</w:t>
            </w:r>
          </w:p>
        </w:tc>
        <w:tc>
          <w:tcPr>
            <w:tcW w:type="dxa" w:w="750"/>
          </w:tcPr>
          <w:p>
            <w:pPr>
              <w:keepLines/>
              <w:spacing w:after="0" w:line="276" w:lineRule="auto"/>
            </w:pPr>
            <w:r>
              <w:rPr>
                <w:rFonts w:ascii="Calibri" w:hAnsi="Calibri" w:eastAsia="Microsoft YaHei"/>
                <w:color w:val="0B2545"/>
                <w:sz w:val="15"/>
              </w:rPr>
              <w:t>DG3</w:t>
            </w:r>
          </w:p>
        </w:tc>
        <w:tc>
          <w:tcPr>
            <w:tcW w:type="dxa" w:w="5300"/>
          </w:tcPr>
          <w:p>
            <w:pPr>
              <w:keepLines/>
              <w:spacing w:after="0" w:line="276" w:lineRule="auto"/>
            </w:pPr>
            <w:r>
              <w:rPr>
                <w:rFonts w:ascii="Calibri" w:hAnsi="Calibri" w:eastAsia="Microsoft YaHei"/>
                <w:color w:val="0B2545"/>
                <w:sz w:val="15"/>
              </w:rPr>
              <w:t>成像X射线晶体谱：二维离子温度、流速与杂质</w:t>
            </w:r>
          </w:p>
        </w:tc>
        <w:tc>
          <w:tcPr>
            <w:tcW w:type="dxa" w:w="950"/>
          </w:tcPr>
          <w:p>
            <w:pPr>
              <w:keepLines/>
              <w:spacing w:after="0" w:line="276" w:lineRule="auto"/>
            </w:pPr>
            <w:r>
              <w:rPr>
                <w:rFonts w:ascii="Calibri" w:hAnsi="Calibri" w:eastAsia="Microsoft YaHei"/>
                <w:color w:val="0B2545"/>
                <w:sz w:val="15"/>
              </w:rPr>
              <w:t>E4</w:t>
            </w:r>
          </w:p>
        </w:tc>
        <w:tc>
          <w:tcPr>
            <w:tcW w:type="dxa" w:w="1160"/>
          </w:tcPr>
          <w:p>
            <w:pPr>
              <w:keepLines/>
              <w:spacing w:after="0" w:line="276" w:lineRule="auto"/>
            </w:pPr>
            <w:r>
              <w:rPr>
                <w:rFonts w:ascii="Calibri" w:hAnsi="Calibri" w:eastAsia="Microsoft YaHei"/>
                <w:color w:val="0B2545"/>
                <w:sz w:val="15"/>
              </w:rPr>
              <w:t>D4</w:t>
            </w:r>
          </w:p>
        </w:tc>
      </w:tr>
      <w:tr>
        <w:trPr>
          <w:cantSplit/>
        </w:trPr>
        <w:tc>
          <w:tcPr>
            <w:tcW w:type="dxa" w:w="1200"/>
          </w:tcPr>
          <w:p>
            <w:pPr>
              <w:keepLines/>
              <w:spacing w:after="0" w:line="276" w:lineRule="auto"/>
            </w:pPr>
            <w:r>
              <w:rPr>
                <w:rFonts w:ascii="Calibri" w:hAnsi="Calibri" w:eastAsia="Microsoft YaHei"/>
                <w:color w:val="0B2545"/>
                <w:sz w:val="15"/>
              </w:rPr>
              <w:t>DG4-017</w:t>
            </w:r>
          </w:p>
        </w:tc>
        <w:tc>
          <w:tcPr>
            <w:tcW w:type="dxa" w:w="750"/>
          </w:tcPr>
          <w:p>
            <w:pPr>
              <w:keepLines/>
              <w:spacing w:after="0" w:line="276" w:lineRule="auto"/>
            </w:pPr>
            <w:r>
              <w:rPr>
                <w:rFonts w:ascii="Calibri" w:hAnsi="Calibri" w:eastAsia="Microsoft YaHei"/>
                <w:color w:val="0B2545"/>
                <w:sz w:val="15"/>
              </w:rPr>
              <w:t>DG4</w:t>
            </w:r>
          </w:p>
        </w:tc>
        <w:tc>
          <w:tcPr>
            <w:tcW w:type="dxa" w:w="5300"/>
          </w:tcPr>
          <w:p>
            <w:pPr>
              <w:keepLines/>
              <w:spacing w:after="0" w:line="276" w:lineRule="auto"/>
            </w:pPr>
            <w:r>
              <w:rPr>
                <w:rFonts w:ascii="Calibri" w:hAnsi="Calibri" w:eastAsia="Microsoft YaHei"/>
                <w:color w:val="0B2545"/>
                <w:sz w:val="15"/>
              </w:rPr>
              <w:t>软X射线阵列与快速层析</w:t>
            </w:r>
          </w:p>
        </w:tc>
        <w:tc>
          <w:tcPr>
            <w:tcW w:type="dxa" w:w="950"/>
          </w:tcPr>
          <w:p>
            <w:pPr>
              <w:keepLines/>
              <w:spacing w:after="0" w:line="276" w:lineRule="auto"/>
            </w:pPr>
            <w:r>
              <w:rPr>
                <w:rFonts w:ascii="Calibri" w:hAnsi="Calibri" w:eastAsia="Microsoft YaHei"/>
                <w:color w:val="0B2545"/>
                <w:sz w:val="15"/>
              </w:rPr>
              <w:t>E4</w:t>
            </w:r>
          </w:p>
        </w:tc>
        <w:tc>
          <w:tcPr>
            <w:tcW w:type="dxa" w:w="1160"/>
          </w:tcPr>
          <w:p>
            <w:pPr>
              <w:keepLines/>
              <w:spacing w:after="0" w:line="276" w:lineRule="auto"/>
            </w:pPr>
            <w:r>
              <w:rPr>
                <w:rFonts w:ascii="Calibri" w:hAnsi="Calibri" w:eastAsia="Microsoft YaHei"/>
                <w:color w:val="0B2545"/>
                <w:sz w:val="15"/>
              </w:rPr>
              <w:t>D4</w:t>
            </w:r>
          </w:p>
        </w:tc>
      </w:tr>
      <w:tr>
        <w:trPr>
          <w:cantSplit/>
        </w:trPr>
        <w:tc>
          <w:tcPr>
            <w:tcW w:type="dxa" w:w="1200"/>
          </w:tcPr>
          <w:p>
            <w:pPr>
              <w:keepLines/>
              <w:spacing w:after="0" w:line="276" w:lineRule="auto"/>
            </w:pPr>
            <w:r>
              <w:rPr>
                <w:rFonts w:ascii="Calibri" w:hAnsi="Calibri" w:eastAsia="Microsoft YaHei"/>
                <w:color w:val="0B2545"/>
                <w:sz w:val="15"/>
              </w:rPr>
              <w:t>DG2-010</w:t>
            </w:r>
          </w:p>
        </w:tc>
        <w:tc>
          <w:tcPr>
            <w:tcW w:type="dxa" w:w="750"/>
          </w:tcPr>
          <w:p>
            <w:pPr>
              <w:keepLines/>
              <w:spacing w:after="0" w:line="276" w:lineRule="auto"/>
            </w:pPr>
            <w:r>
              <w:rPr>
                <w:rFonts w:ascii="Calibri" w:hAnsi="Calibri" w:eastAsia="Microsoft YaHei"/>
                <w:color w:val="0B2545"/>
                <w:sz w:val="15"/>
              </w:rPr>
              <w:t>DG2</w:t>
            </w:r>
          </w:p>
        </w:tc>
        <w:tc>
          <w:tcPr>
            <w:tcW w:type="dxa" w:w="5300"/>
          </w:tcPr>
          <w:p>
            <w:pPr>
              <w:keepLines/>
              <w:spacing w:after="0" w:line="276" w:lineRule="auto"/>
            </w:pPr>
            <w:r>
              <w:rPr>
                <w:rFonts w:ascii="Calibri" w:hAnsi="Calibri" w:eastAsia="Microsoft YaHei"/>
                <w:color w:val="0B2545"/>
                <w:sz w:val="15"/>
              </w:rPr>
              <w:t>扫频/脉冲反射计：密度剖面和实时映射</w:t>
            </w:r>
          </w:p>
        </w:tc>
        <w:tc>
          <w:tcPr>
            <w:tcW w:type="dxa" w:w="950"/>
          </w:tcPr>
          <w:p>
            <w:pPr>
              <w:keepLines/>
              <w:spacing w:after="0" w:line="276" w:lineRule="auto"/>
            </w:pPr>
            <w:r>
              <w:rPr>
                <w:rFonts w:ascii="Calibri" w:hAnsi="Calibri" w:eastAsia="Microsoft YaHei"/>
                <w:color w:val="0B2545"/>
                <w:sz w:val="15"/>
              </w:rPr>
              <w:t>E3</w:t>
            </w:r>
          </w:p>
        </w:tc>
        <w:tc>
          <w:tcPr>
            <w:tcW w:type="dxa" w:w="1160"/>
          </w:tcPr>
          <w:p>
            <w:pPr>
              <w:keepLines/>
              <w:spacing w:after="0" w:line="276" w:lineRule="auto"/>
            </w:pPr>
            <w:r>
              <w:rPr>
                <w:rFonts w:ascii="Calibri" w:hAnsi="Calibri" w:eastAsia="Microsoft YaHei"/>
                <w:color w:val="0B2545"/>
                <w:sz w:val="15"/>
              </w:rPr>
              <w:t>D3</w:t>
            </w:r>
          </w:p>
        </w:tc>
      </w:tr>
      <w:tr>
        <w:trPr>
          <w:cantSplit/>
        </w:trPr>
        <w:tc>
          <w:tcPr>
            <w:tcW w:type="dxa" w:w="1200"/>
          </w:tcPr>
          <w:p>
            <w:pPr>
              <w:keepLines/>
              <w:spacing w:after="0" w:line="276" w:lineRule="auto"/>
            </w:pPr>
            <w:r>
              <w:rPr>
                <w:rFonts w:ascii="Calibri" w:hAnsi="Calibri" w:eastAsia="Microsoft YaHei"/>
                <w:color w:val="0B2545"/>
                <w:sz w:val="15"/>
              </w:rPr>
              <w:t>DG4-020</w:t>
            </w:r>
          </w:p>
        </w:tc>
        <w:tc>
          <w:tcPr>
            <w:tcW w:type="dxa" w:w="750"/>
          </w:tcPr>
          <w:p>
            <w:pPr>
              <w:keepLines/>
              <w:spacing w:after="0" w:line="276" w:lineRule="auto"/>
            </w:pPr>
            <w:r>
              <w:rPr>
                <w:rFonts w:ascii="Calibri" w:hAnsi="Calibri" w:eastAsia="Microsoft YaHei"/>
                <w:color w:val="0B2545"/>
                <w:sz w:val="15"/>
              </w:rPr>
              <w:t>DG5</w:t>
            </w:r>
          </w:p>
        </w:tc>
        <w:tc>
          <w:tcPr>
            <w:tcW w:type="dxa" w:w="5300"/>
          </w:tcPr>
          <w:p>
            <w:pPr>
              <w:keepLines/>
              <w:spacing w:after="0" w:line="276" w:lineRule="auto"/>
            </w:pPr>
            <w:r>
              <w:rPr>
                <w:rFonts w:ascii="Calibri" w:hAnsi="Calibri" w:eastAsia="Microsoft YaHei"/>
                <w:color w:val="0B2545"/>
                <w:sz w:val="15"/>
              </w:rPr>
              <w:t>硬X射线：逃逸电子制动辐射监测</w:t>
            </w:r>
          </w:p>
        </w:tc>
        <w:tc>
          <w:tcPr>
            <w:tcW w:type="dxa" w:w="950"/>
          </w:tcPr>
          <w:p>
            <w:pPr>
              <w:keepLines/>
              <w:spacing w:after="0" w:line="276" w:lineRule="auto"/>
            </w:pPr>
            <w:r>
              <w:rPr>
                <w:rFonts w:ascii="Calibri" w:hAnsi="Calibri" w:eastAsia="Microsoft YaHei"/>
                <w:color w:val="0B2545"/>
                <w:sz w:val="15"/>
              </w:rPr>
              <w:t>E3</w:t>
            </w:r>
          </w:p>
        </w:tc>
        <w:tc>
          <w:tcPr>
            <w:tcW w:type="dxa" w:w="1160"/>
          </w:tcPr>
          <w:p>
            <w:pPr>
              <w:keepLines/>
              <w:spacing w:after="0" w:line="276" w:lineRule="auto"/>
            </w:pPr>
            <w:r>
              <w:rPr>
                <w:rFonts w:ascii="Calibri" w:hAnsi="Calibri" w:eastAsia="Microsoft YaHei"/>
                <w:color w:val="0B2545"/>
                <w:sz w:val="15"/>
              </w:rPr>
              <w:t>D3</w:t>
            </w:r>
          </w:p>
        </w:tc>
      </w:tr>
      <w:tr>
        <w:trPr>
          <w:cantSplit/>
        </w:trPr>
        <w:tc>
          <w:tcPr>
            <w:tcW w:type="dxa" w:w="1200"/>
          </w:tcPr>
          <w:p>
            <w:pPr>
              <w:keepLines/>
              <w:spacing w:after="0" w:line="276" w:lineRule="auto"/>
            </w:pPr>
            <w:r>
              <w:rPr>
                <w:rFonts w:ascii="Calibri" w:hAnsi="Calibri" w:eastAsia="Microsoft YaHei"/>
                <w:color w:val="0B2545"/>
                <w:sz w:val="15"/>
              </w:rPr>
              <w:t>DSI-012</w:t>
            </w:r>
          </w:p>
        </w:tc>
        <w:tc>
          <w:tcPr>
            <w:tcW w:type="dxa" w:w="750"/>
          </w:tcPr>
          <w:p>
            <w:pPr>
              <w:keepLines/>
              <w:spacing w:after="0" w:line="276" w:lineRule="auto"/>
            </w:pPr>
            <w:r>
              <w:rPr>
                <w:rFonts w:ascii="Calibri" w:hAnsi="Calibri" w:eastAsia="Microsoft YaHei"/>
                <w:color w:val="0B2545"/>
                <w:sz w:val="15"/>
              </w:rPr>
              <w:t>DG9</w:t>
            </w:r>
          </w:p>
        </w:tc>
        <w:tc>
          <w:tcPr>
            <w:tcW w:type="dxa" w:w="5300"/>
          </w:tcPr>
          <w:p>
            <w:pPr>
              <w:keepLines/>
              <w:spacing w:after="0" w:line="276" w:lineRule="auto"/>
            </w:pPr>
            <w:r>
              <w:rPr>
                <w:rFonts w:ascii="Calibri" w:hAnsi="Calibri" w:eastAsia="Microsoft YaHei"/>
                <w:color w:val="0B2545"/>
                <w:sz w:val="15"/>
              </w:rPr>
              <w:t>SOFT 逃逸电子同步辐射合成诊断</w:t>
            </w:r>
          </w:p>
        </w:tc>
        <w:tc>
          <w:tcPr>
            <w:tcW w:type="dxa" w:w="950"/>
          </w:tcPr>
          <w:p>
            <w:pPr>
              <w:keepLines/>
              <w:spacing w:after="0" w:line="276" w:lineRule="auto"/>
            </w:pPr>
            <w:r>
              <w:rPr>
                <w:rFonts w:ascii="Calibri" w:hAnsi="Calibri" w:eastAsia="Microsoft YaHei"/>
                <w:color w:val="0B2545"/>
                <w:sz w:val="15"/>
              </w:rPr>
              <w:t>E3</w:t>
            </w:r>
          </w:p>
        </w:tc>
        <w:tc>
          <w:tcPr>
            <w:tcW w:type="dxa" w:w="1160"/>
          </w:tcPr>
          <w:p>
            <w:pPr>
              <w:keepLines/>
              <w:spacing w:after="0" w:line="276" w:lineRule="auto"/>
            </w:pPr>
            <w:r>
              <w:rPr>
                <w:rFonts w:ascii="Calibri" w:hAnsi="Calibri" w:eastAsia="Microsoft YaHei"/>
                <w:color w:val="0B2545"/>
                <w:sz w:val="15"/>
              </w:rPr>
              <w:t>D2</w:t>
            </w:r>
          </w:p>
        </w:tc>
      </w:tr>
    </w:tbl>
    <w:p>
      <w:pPr>
        <w:spacing w:before="0" w:after="60"/>
      </w:pPr>
    </w:p>
    <w:tbl>
      <w:tblPr>
        <w:tblStyle w:val="TableGrid"/>
        <w:tblW w:type="dxa" w:w="9360"/>
        <w:jc w:val="left"/>
        <w:tblLayout w:type="fixed"/>
        <w:tblLook w:firstColumn="1" w:firstRow="1" w:lastColumn="0" w:lastRow="0" w:noHBand="0" w:noVBand="1" w:val="04A0"/>
        <w:tblInd w:w="120" w:type="dxa"/>
      </w:tblPr>
      <w:tblGrid>
        <w:gridCol w:w="900"/>
        <w:gridCol w:w="3200"/>
        <w:gridCol w:w="2760"/>
        <w:gridCol w:w="2500"/>
      </w:tblGrid>
      <w:tr>
        <w:trPr>
          <w:tblHeader w:val="true"/>
        </w:trPr>
        <w:tc>
          <w:tcPr>
            <w:tcW w:type="dxa" w:w="9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年份/类型</w:t>
            </w:r>
          </w:p>
        </w:tc>
        <w:tc>
          <w:tcPr>
            <w:tcW w:type="dxa" w:w="32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论文或软件</w:t>
            </w:r>
          </w:p>
        </w:tc>
        <w:tc>
          <w:tcPr>
            <w:tcW w:type="dxa" w:w="276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来源/关系</w:t>
            </w:r>
          </w:p>
        </w:tc>
        <w:tc>
          <w:tcPr>
            <w:tcW w:type="dxa" w:w="25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链接</w:t>
            </w:r>
          </w:p>
        </w:tc>
      </w:tr>
      <w:tr>
        <w:trPr>
          <w:cantSplit/>
        </w:trPr>
        <w:tc>
          <w:tcPr>
            <w:tcW w:type="dxa" w:w="900"/>
          </w:tcPr>
          <w:p>
            <w:pPr>
              <w:keepLines/>
              <w:spacing w:after="0" w:line="276" w:lineRule="auto"/>
            </w:pPr>
            <w:r>
              <w:rPr>
                <w:rFonts w:ascii="Calibri" w:hAnsi="Calibri" w:eastAsia="Microsoft YaHei"/>
                <w:color w:val="0B2545"/>
                <w:sz w:val="14"/>
              </w:rPr>
              <w:t>2024</w:t>
            </w:r>
          </w:p>
        </w:tc>
        <w:tc>
          <w:tcPr>
            <w:tcW w:type="dxa" w:w="3200"/>
          </w:tcPr>
          <w:p>
            <w:pPr>
              <w:keepLines/>
              <w:spacing w:after="0" w:line="276" w:lineRule="auto"/>
            </w:pPr>
            <w:r>
              <w:rPr>
                <w:rFonts w:ascii="Calibri" w:hAnsi="Calibri" w:eastAsia="Microsoft YaHei"/>
                <w:color w:val="0B2545"/>
                <w:sz w:val="14"/>
              </w:rPr>
              <w:t>Overview of the early campaign diagnostics for the SPARC tokamak (invited)</w:t>
            </w:r>
          </w:p>
        </w:tc>
        <w:tc>
          <w:tcPr>
            <w:tcW w:type="dxa" w:w="2760"/>
          </w:tcPr>
          <w:p>
            <w:pPr>
              <w:keepLines/>
              <w:spacing w:after="0" w:line="276" w:lineRule="auto"/>
            </w:pPr>
            <w:r>
              <w:rPr>
                <w:rFonts w:ascii="Calibri" w:hAnsi="Calibri" w:eastAsia="Microsoft YaHei"/>
                <w:color w:val="0B2545"/>
                <w:sz w:val="14"/>
              </w:rPr>
              <w:t>Review of Scientific Instruments</w:t>
            </w:r>
          </w:p>
        </w:tc>
        <w:tc>
          <w:tcPr>
            <w:tcW w:type="dxa" w:w="2500"/>
          </w:tcPr>
          <w:p>
            <w:pPr>
              <w:keepLines/>
              <w:spacing w:after="0" w:line="276" w:lineRule="auto"/>
            </w:pPr>
            <w:hyperlink r:id="rId157">
              <w:r>
                <w:rPr>
                  <w:rFonts w:ascii="Calibri" w:hAnsi="Calibri" w:eastAsia="Microsoft YaHei"/>
                  <w:color w:val="008C95"/>
                  <w:u w:val="single"/>
                </w:rPr>
                <w:t>打开原始来源 ↗</w:t>
              </w:r>
            </w:hyperlink>
          </w:p>
        </w:tc>
      </w:tr>
      <w:tr>
        <w:trPr>
          <w:cantSplit/>
        </w:trPr>
        <w:tc>
          <w:tcPr>
            <w:tcW w:type="dxa" w:w="900"/>
          </w:tcPr>
          <w:p>
            <w:pPr>
              <w:keepLines/>
              <w:spacing w:after="0" w:line="276" w:lineRule="auto"/>
            </w:pPr>
            <w:r>
              <w:rPr>
                <w:rFonts w:ascii="Calibri" w:hAnsi="Calibri" w:eastAsia="Microsoft YaHei"/>
                <w:color w:val="0B2545"/>
                <w:sz w:val="14"/>
              </w:rPr>
              <w:t>2024</w:t>
            </w:r>
          </w:p>
        </w:tc>
        <w:tc>
          <w:tcPr>
            <w:tcW w:type="dxa" w:w="3200"/>
          </w:tcPr>
          <w:p>
            <w:pPr>
              <w:keepLines/>
              <w:spacing w:after="0" w:line="276" w:lineRule="auto"/>
            </w:pPr>
            <w:r>
              <w:rPr>
                <w:rFonts w:ascii="Calibri" w:hAnsi="Calibri" w:eastAsia="Microsoft YaHei"/>
                <w:color w:val="0B2545"/>
                <w:sz w:val="14"/>
              </w:rPr>
              <w:t>SPARC x-ray diagnostics: Technical and functional overview</w:t>
            </w:r>
          </w:p>
        </w:tc>
        <w:tc>
          <w:tcPr>
            <w:tcW w:type="dxa" w:w="2760"/>
          </w:tcPr>
          <w:p>
            <w:pPr>
              <w:keepLines/>
              <w:spacing w:after="0" w:line="276" w:lineRule="auto"/>
            </w:pPr>
            <w:r>
              <w:rPr>
                <w:rFonts w:ascii="Calibri" w:hAnsi="Calibri" w:eastAsia="Microsoft YaHei"/>
                <w:color w:val="0B2545"/>
                <w:sz w:val="14"/>
              </w:rPr>
              <w:t>Review of Scientific Instruments</w:t>
            </w:r>
          </w:p>
        </w:tc>
        <w:tc>
          <w:tcPr>
            <w:tcW w:type="dxa" w:w="2500"/>
          </w:tcPr>
          <w:p>
            <w:pPr>
              <w:keepLines/>
              <w:spacing w:after="0" w:line="276" w:lineRule="auto"/>
            </w:pPr>
            <w:hyperlink r:id="rId78">
              <w:r>
                <w:rPr>
                  <w:rFonts w:ascii="Calibri" w:hAnsi="Calibri" w:eastAsia="Microsoft YaHei"/>
                  <w:color w:val="008C95"/>
                  <w:u w:val="single"/>
                </w:rPr>
                <w:t>打开原始来源 ↗</w:t>
              </w:r>
            </w:hyperlink>
          </w:p>
        </w:tc>
      </w:tr>
      <w:tr>
        <w:trPr>
          <w:cantSplit/>
        </w:trPr>
        <w:tc>
          <w:tcPr>
            <w:tcW w:type="dxa" w:w="900"/>
          </w:tcPr>
          <w:p>
            <w:pPr>
              <w:keepLines/>
              <w:spacing w:after="0" w:line="276" w:lineRule="auto"/>
            </w:pPr>
            <w:r>
              <w:rPr>
                <w:rFonts w:ascii="Calibri" w:hAnsi="Calibri" w:eastAsia="Microsoft YaHei"/>
                <w:color w:val="0B2545"/>
                <w:sz w:val="14"/>
              </w:rPr>
              <w:t>2024</w:t>
            </w:r>
          </w:p>
        </w:tc>
        <w:tc>
          <w:tcPr>
            <w:tcW w:type="dxa" w:w="3200"/>
          </w:tcPr>
          <w:p>
            <w:pPr>
              <w:keepLines/>
              <w:spacing w:after="0" w:line="276" w:lineRule="auto"/>
            </w:pPr>
            <w:r>
              <w:rPr>
                <w:rFonts w:ascii="Calibri" w:hAnsi="Calibri" w:eastAsia="Microsoft YaHei"/>
                <w:color w:val="0B2545"/>
                <w:sz w:val="14"/>
              </w:rPr>
              <w:t>Overview of the neutron diagnostic systems for the SPARC tokamak</w:t>
            </w:r>
          </w:p>
        </w:tc>
        <w:tc>
          <w:tcPr>
            <w:tcW w:type="dxa" w:w="2760"/>
          </w:tcPr>
          <w:p>
            <w:pPr>
              <w:keepLines/>
              <w:spacing w:after="0" w:line="276" w:lineRule="auto"/>
            </w:pPr>
            <w:r>
              <w:rPr>
                <w:rFonts w:ascii="Calibri" w:hAnsi="Calibri" w:eastAsia="Microsoft YaHei"/>
                <w:color w:val="0B2545"/>
                <w:sz w:val="14"/>
              </w:rPr>
              <w:t>Review of Scientific Instruments</w:t>
            </w:r>
          </w:p>
        </w:tc>
        <w:tc>
          <w:tcPr>
            <w:tcW w:type="dxa" w:w="2500"/>
          </w:tcPr>
          <w:p>
            <w:pPr>
              <w:keepLines/>
              <w:spacing w:after="0" w:line="276" w:lineRule="auto"/>
            </w:pPr>
            <w:hyperlink r:id="rId266">
              <w:r>
                <w:rPr>
                  <w:rFonts w:ascii="Calibri" w:hAnsi="Calibri" w:eastAsia="Microsoft YaHei"/>
                  <w:color w:val="008C95"/>
                  <w:u w:val="single"/>
                </w:rPr>
                <w:t>打开原始来源 ↗</w:t>
              </w:r>
            </w:hyperlink>
          </w:p>
        </w:tc>
      </w:tr>
      <w:tr>
        <w:trPr>
          <w:cantSplit/>
        </w:trPr>
        <w:tc>
          <w:tcPr>
            <w:tcW w:type="dxa" w:w="900"/>
          </w:tcPr>
          <w:p>
            <w:pPr>
              <w:keepLines/>
              <w:spacing w:after="0" w:line="276" w:lineRule="auto"/>
            </w:pPr>
            <w:r>
              <w:rPr>
                <w:rFonts w:ascii="Calibri" w:hAnsi="Calibri" w:eastAsia="Microsoft YaHei"/>
                <w:color w:val="0B2545"/>
                <w:sz w:val="14"/>
              </w:rPr>
              <w:t>软件</w:t>
            </w:r>
          </w:p>
        </w:tc>
        <w:tc>
          <w:tcPr>
            <w:tcW w:type="dxa" w:w="3200"/>
          </w:tcPr>
          <w:p>
            <w:pPr>
              <w:keepLines/>
              <w:spacing w:after="0" w:line="276" w:lineRule="auto"/>
            </w:pPr>
            <w:r>
              <w:rPr>
                <w:rFonts w:ascii="Calibri" w:hAnsi="Calibri" w:eastAsia="Microsoft YaHei"/>
                <w:color w:val="0B2545"/>
                <w:sz w:val="14"/>
              </w:rPr>
              <w:t>OpenMC</w:t>
            </w:r>
          </w:p>
        </w:tc>
        <w:tc>
          <w:tcPr>
            <w:tcW w:type="dxa" w:w="2760"/>
          </w:tcPr>
          <w:p>
            <w:pPr>
              <w:keepLines/>
              <w:spacing w:after="0" w:line="276" w:lineRule="auto"/>
            </w:pPr>
            <w:r>
              <w:rPr>
                <w:rFonts w:ascii="Calibri" w:hAnsi="Calibri" w:eastAsia="Microsoft YaHei"/>
                <w:color w:val="0B2545"/>
                <w:sz w:val="14"/>
              </w:rPr>
              <w:t>official-enabling / SPARC 诊断 scoping 使用的通用代码；SPARC detailed model may be controlled</w:t>
            </w:r>
          </w:p>
        </w:tc>
        <w:tc>
          <w:tcPr>
            <w:tcW w:type="dxa" w:w="2500"/>
          </w:tcPr>
          <w:p>
            <w:pPr>
              <w:keepLines/>
              <w:spacing w:after="0" w:line="276" w:lineRule="auto"/>
            </w:pPr>
            <w:hyperlink r:id="rId35">
              <w:r>
                <w:rPr>
                  <w:rFonts w:ascii="Calibri" w:hAnsi="Calibri" w:eastAsia="Microsoft YaHei"/>
                  <w:color w:val="008C95"/>
                  <w:u w:val="single"/>
                </w:rPr>
                <w:t>打开原始来源 ↗</w:t>
              </w:r>
            </w:hyperlink>
          </w:p>
        </w:tc>
      </w:tr>
      <w:tr>
        <w:trPr>
          <w:cantSplit/>
        </w:trPr>
        <w:tc>
          <w:tcPr>
            <w:tcW w:type="dxa" w:w="900"/>
          </w:tcPr>
          <w:p>
            <w:pPr>
              <w:keepLines/>
              <w:spacing w:after="0" w:line="276" w:lineRule="auto"/>
            </w:pPr>
            <w:r>
              <w:rPr>
                <w:rFonts w:ascii="Calibri" w:hAnsi="Calibri" w:eastAsia="Microsoft YaHei"/>
                <w:color w:val="0B2545"/>
                <w:sz w:val="14"/>
              </w:rPr>
              <w:t>软件</w:t>
            </w:r>
          </w:p>
        </w:tc>
        <w:tc>
          <w:tcPr>
            <w:tcW w:type="dxa" w:w="3200"/>
          </w:tcPr>
          <w:p>
            <w:pPr>
              <w:keepLines/>
              <w:spacing w:after="0" w:line="276" w:lineRule="auto"/>
            </w:pPr>
            <w:r>
              <w:rPr>
                <w:rFonts w:ascii="Calibri" w:hAnsi="Calibri" w:eastAsia="Microsoft YaHei"/>
                <w:color w:val="0B2545"/>
                <w:sz w:val="14"/>
              </w:rPr>
              <w:t>SPARC diagnostic production stack/data</w:t>
            </w:r>
          </w:p>
        </w:tc>
        <w:tc>
          <w:tcPr>
            <w:tcW w:type="dxa" w:w="2760"/>
          </w:tcPr>
          <w:p>
            <w:pPr>
              <w:keepLines/>
              <w:spacing w:after="0" w:line="276" w:lineRule="auto"/>
            </w:pPr>
            <w:r>
              <w:rPr>
                <w:rFonts w:ascii="Calibri" w:hAnsi="Calibri" w:eastAsia="Microsoft YaHei"/>
                <w:color w:val="0B2545"/>
                <w:sz w:val="14"/>
              </w:rPr>
              <w:t>not-public / 未发现生产诊断与数据平台公共仓库</w:t>
            </w:r>
          </w:p>
        </w:tc>
        <w:tc>
          <w:tcPr>
            <w:tcW w:type="dxa" w:w="2500"/>
          </w:tcPr>
          <w:p>
            <w:pPr>
              <w:keepLines/>
              <w:spacing w:after="0" w:line="276" w:lineRule="auto"/>
            </w:pPr>
            <w:r>
              <w:rPr>
                <w:rFonts w:ascii="Calibri" w:hAnsi="Calibri" w:eastAsia="Microsoft YaHei"/>
                <w:color w:val="0B2545"/>
                <w:sz w:val="14"/>
              </w:rPr>
              <w:t>未公开</w:t>
            </w:r>
          </w:p>
        </w:tc>
      </w:tr>
    </w:tbl>
    <w:p>
      <w:pPr>
        <w:spacing w:before="0" w:after="60"/>
      </w:pPr>
    </w:p>
    <w:p>
      <w:pPr>
        <w:pStyle w:val="Heading2"/>
      </w:pPr>
      <w:r>
        <w:t>17.16  TCV</w:t>
      </w:r>
    </w:p>
    <w:tbl>
      <w:tblPr>
        <w:tblStyle w:val="TableGrid"/>
        <w:tblW w:type="dxa" w:w="9360"/>
        <w:jc w:val="left"/>
        <w:tblLayout w:type="fixed"/>
        <w:tblLook w:firstColumn="1" w:firstRow="1" w:lastColumn="0" w:lastRow="0" w:noHBand="0" w:noVBand="1" w:val="04A0"/>
        <w:tblInd w:w="120" w:type="dxa"/>
      </w:tblPr>
      <w:tblGrid>
        <w:gridCol w:w="1100"/>
        <w:gridCol w:w="1100"/>
        <w:gridCol w:w="2400"/>
        <w:gridCol w:w="1900"/>
        <w:gridCol w:w="2860"/>
      </w:tblGrid>
      <w:tr>
        <w:trPr>
          <w:tblHeader w:val="true"/>
        </w:trPr>
        <w:tc>
          <w:tcPr>
            <w:tcW w:type="dxa" w:w="11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类型</w:t>
            </w:r>
          </w:p>
        </w:tc>
        <w:tc>
          <w:tcPr>
            <w:tcW w:type="dxa" w:w="11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国家/地区</w:t>
            </w:r>
          </w:p>
        </w:tc>
        <w:tc>
          <w:tcPr>
            <w:tcW w:type="dxa" w:w="24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运营方</w:t>
            </w:r>
          </w:p>
        </w:tc>
        <w:tc>
          <w:tcPr>
            <w:tcW w:type="dxa" w:w="19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状态</w:t>
            </w:r>
          </w:p>
        </w:tc>
        <w:tc>
          <w:tcPr>
            <w:tcW w:type="dxa" w:w="286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覆盖任务</w:t>
            </w:r>
          </w:p>
        </w:tc>
      </w:tr>
      <w:tr>
        <w:trPr>
          <w:cantSplit/>
        </w:trPr>
        <w:tc>
          <w:tcPr>
            <w:tcW w:type="dxa" w:w="1100"/>
          </w:tcPr>
          <w:p>
            <w:pPr>
              <w:keepLines/>
              <w:spacing w:after="0" w:line="276" w:lineRule="auto"/>
            </w:pPr>
            <w:r>
              <w:rPr>
                <w:rFonts w:ascii="Calibri" w:hAnsi="Calibri" w:eastAsia="Microsoft YaHei"/>
                <w:color w:val="0B2545"/>
                <w:sz w:val="15"/>
              </w:rPr>
              <w:t>高灵活位形托卡马克</w:t>
            </w:r>
          </w:p>
        </w:tc>
        <w:tc>
          <w:tcPr>
            <w:tcW w:type="dxa" w:w="1100"/>
          </w:tcPr>
          <w:p>
            <w:pPr>
              <w:keepLines/>
              <w:spacing w:after="0" w:line="276" w:lineRule="auto"/>
            </w:pPr>
            <w:r>
              <w:rPr>
                <w:rFonts w:ascii="Calibri" w:hAnsi="Calibri" w:eastAsia="Microsoft YaHei"/>
                <w:color w:val="0B2545"/>
                <w:sz w:val="15"/>
              </w:rPr>
              <w:t>瑞士</w:t>
            </w:r>
          </w:p>
        </w:tc>
        <w:tc>
          <w:tcPr>
            <w:tcW w:type="dxa" w:w="2400"/>
          </w:tcPr>
          <w:p>
            <w:pPr>
              <w:keepLines/>
              <w:spacing w:after="0" w:line="276" w:lineRule="auto"/>
            </w:pPr>
            <w:r>
              <w:rPr>
                <w:rFonts w:ascii="Calibri" w:hAnsi="Calibri" w:eastAsia="Microsoft YaHei"/>
                <w:color w:val="0B2545"/>
                <w:sz w:val="15"/>
              </w:rPr>
              <w:t>EPFL Swiss Plasma Center</w:t>
            </w:r>
          </w:p>
        </w:tc>
        <w:tc>
          <w:tcPr>
            <w:tcW w:type="dxa" w:w="1900"/>
          </w:tcPr>
          <w:p>
            <w:pPr>
              <w:keepLines/>
              <w:spacing w:after="0" w:line="276" w:lineRule="auto"/>
            </w:pPr>
            <w:r>
              <w:rPr>
                <w:rFonts w:ascii="Calibri" w:hAnsi="Calibri" w:eastAsia="Microsoft YaHei"/>
                <w:color w:val="0B2545"/>
                <w:sz w:val="15"/>
              </w:rPr>
              <w:t>运行中的研究装置</w:t>
            </w:r>
          </w:p>
        </w:tc>
        <w:tc>
          <w:tcPr>
            <w:tcW w:type="dxa" w:w="2860"/>
          </w:tcPr>
          <w:p>
            <w:pPr>
              <w:keepLines/>
              <w:spacing w:after="0" w:line="276" w:lineRule="auto"/>
            </w:pPr>
            <w:r>
              <w:rPr>
                <w:rFonts w:ascii="Calibri" w:hAnsi="Calibri" w:eastAsia="Microsoft YaHei"/>
                <w:color w:val="0B2545"/>
                <w:sz w:val="15"/>
              </w:rPr>
              <w:t>DG1；DG2；DG3；DG4；DG5；DG6；DG7；DG10；DG11</w:t>
            </w:r>
          </w:p>
        </w:tc>
      </w:tr>
    </w:tbl>
    <w:p>
      <w:pPr>
        <w:spacing w:before="0" w:after="60"/>
      </w:pPr>
    </w:p>
    <w:p>
      <w:pPr>
        <w:widowControl/>
      </w:pPr>
      <w:r>
        <w:rPr>
          <w:rFonts w:ascii="Calibri" w:hAnsi="Calibri" w:eastAsia="Microsoft YaHei"/>
          <w:b/>
          <w:color w:val="1F4D78"/>
        </w:rPr>
        <w:t>诊断概况：</w:t>
      </w:r>
      <w:r>
        <w:rPr>
          <w:rFonts w:ascii="Calibri" w:hAnsi="Calibri" w:eastAsia="Microsoft YaHei"/>
        </w:rPr>
        <w:t>TCV 有四十余套诊断，突出灵活端口、快速维护和与控制的紧耦合。两百余磁探针/磁通环、FIR、实时 Thomson、ECE、MPX、RADCAM/MANTIS、CXRS、DNBI、FIDA、边界探针和高速成像共同支持位形、剖面和先进偏滤器研究。</w:t>
      </w:r>
    </w:p>
    <w:p>
      <w:pPr>
        <w:widowControl/>
      </w:pPr>
      <w:r>
        <w:rPr>
          <w:rFonts w:ascii="Calibri" w:hAnsi="Calibri" w:eastAsia="Microsoft YaHei"/>
          <w:b/>
          <w:color w:val="1F4D78"/>
        </w:rPr>
        <w:t>主要系统：</w:t>
      </w:r>
      <w:r>
        <w:rPr>
          <w:rFonts w:ascii="Calibri" w:hAnsi="Calibri" w:eastAsia="Microsoft YaHei"/>
        </w:rPr>
        <w:t>family: active；systems: FIR interferometer；incoherent Thomson；CXRS with DNBI；FIDA；developing CTS；measuredQuantities: line density；ne/Te；Ti/flow/impurity；fast ions；evidence: E3-E4/D3-D4；CTS 仍在开发；realTimeUse: FIR/TS 等进入实时状态和控制；family: passive；systems: 200+ magnetics；ECE；MPX/SXR；RADCAM/MANTIS；fast cameras；measuredQuantities: shape/MHD；Te；radiation/fronts；edge dynamics；evidence: E4/D4；realTimeUse: 多系统向 MARTe2/PCS 提供参数</w:t>
      </w:r>
    </w:p>
    <w:p>
      <w:pPr>
        <w:widowControl/>
      </w:pPr>
      <w:r>
        <w:rPr>
          <w:rFonts w:ascii="Calibri" w:hAnsi="Calibri" w:eastAsia="Microsoft YaHei"/>
          <w:b/>
          <w:color w:val="1F4D78"/>
        </w:rPr>
        <w:t>测量/传感：</w:t>
      </w:r>
      <w:r>
        <w:rPr>
          <w:rFonts w:ascii="Calibri" w:hAnsi="Calibri" w:eastAsia="Microsoft YaHei"/>
        </w:rPr>
        <w:t>flux loops/pickup coils/LTCC probes；FIR hot-electron bolometers；Nd:YAG Thomson/polychromators；ECE receivers；spectrometers；camera arrays；probes</w:t>
      </w:r>
    </w:p>
    <w:p>
      <w:pPr>
        <w:widowControl/>
      </w:pPr>
      <w:r>
        <w:rPr>
          <w:rFonts w:ascii="Calibri" w:hAnsi="Calibri" w:eastAsia="Microsoft YaHei"/>
          <w:b/>
          <w:color w:val="1F4D78"/>
        </w:rPr>
        <w:t>实时与 PCS 接口：</w:t>
      </w:r>
      <w:r>
        <w:rPr>
          <w:rFonts w:ascii="Calibri" w:hAnsi="Calibri" w:eastAsia="Microsoft YaHei"/>
        </w:rPr>
        <w:t>MARTe2-based TCV control；RAPTOR/RAPDENS observers；MDSplus shot and real-time trees</w:t>
      </w:r>
    </w:p>
    <w:p>
      <w:pPr>
        <w:widowControl/>
      </w:pPr>
      <w:r>
        <w:rPr>
          <w:rFonts w:ascii="Calibri" w:hAnsi="Calibri" w:eastAsia="Microsoft YaHei"/>
          <w:b/>
          <w:color w:val="1F4D78"/>
        </w:rPr>
        <w:t>数据平台：</w:t>
      </w:r>
      <w:r>
        <w:rPr>
          <w:rFonts w:ascii="Calibri" w:hAnsi="Calibri" w:eastAsia="Microsoft YaHei"/>
        </w:rPr>
        <w:t>systems: MDSplus；TCV real-time trees；EPFL analysis routines；access: 合作/教学案例可访问；未发现全量匿名 shot repository；evidence: EPFL official diagnostics/control pages</w:t>
      </w:r>
    </w:p>
    <w:p>
      <w:pPr>
        <w:widowControl/>
      </w:pPr>
      <w:r>
        <w:rPr>
          <w:rFonts w:ascii="Calibri" w:hAnsi="Calibri" w:eastAsia="Microsoft YaHei"/>
          <w:b/>
          <w:color w:val="1F4D78"/>
        </w:rPr>
        <w:t>代表工作概述：</w:t>
      </w:r>
      <w:r>
        <w:rPr>
          <w:rFonts w:ascii="Calibri" w:hAnsi="Calibri" w:eastAsia="Microsoft YaHei"/>
        </w:rPr>
        <w:t>200+ 磁测量用于形状和 MHD；14 弦 FIR 快速密度；百余 polychromator Thomson、分析延迟低于 0.5 ms；RADCAM/MANTIS 辐射/偏滤器成像；诊断输入 RAPTOR/RAPDENS</w:t>
      </w:r>
    </w:p>
    <w:p>
      <w:pPr>
        <w:widowControl/>
      </w:pPr>
      <w:r>
        <w:rPr>
          <w:rFonts w:ascii="Calibri" w:hAnsi="Calibri" w:eastAsia="Microsoft YaHei"/>
          <w:b/>
          <w:color w:val="1F4D78"/>
        </w:rPr>
        <w:t>证据边界：</w:t>
      </w:r>
      <w:r>
        <w:rPr>
          <w:rFonts w:ascii="Calibri" w:hAnsi="Calibri" w:eastAsia="Microsoft YaHei"/>
        </w:rPr>
        <w:t>灵活研究装置端口与维护条件优于电厂；实时诊断的延迟数字不能外推到所有系统；CTS 等系统仍是开发状态，不能写成例行能力</w:t>
      </w:r>
    </w:p>
    <w:tbl>
      <w:tblPr>
        <w:tblStyle w:val="TableGrid"/>
        <w:tblW w:type="dxa" w:w="9360"/>
        <w:jc w:val="left"/>
        <w:tblLayout w:type="fixed"/>
        <w:tblLook w:firstColumn="1" w:firstRow="1" w:lastColumn="0" w:lastRow="0" w:noHBand="0" w:noVBand="1" w:val="04A0"/>
        <w:tblInd w:w="120" w:type="dxa"/>
      </w:tblPr>
      <w:tblGrid>
        <w:gridCol w:w="1200"/>
        <w:gridCol w:w="750"/>
        <w:gridCol w:w="5300"/>
        <w:gridCol w:w="950"/>
        <w:gridCol w:w="1160"/>
      </w:tblGrid>
      <w:tr>
        <w:trPr>
          <w:tblHeader w:val="true"/>
        </w:trPr>
        <w:tc>
          <w:tcPr>
            <w:tcW w:type="dxa" w:w="12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工作 ID</w:t>
            </w:r>
          </w:p>
        </w:tc>
        <w:tc>
          <w:tcPr>
            <w:tcW w:type="dxa" w:w="7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任务</w:t>
            </w:r>
          </w:p>
        </w:tc>
        <w:tc>
          <w:tcPr>
            <w:tcW w:type="dxa" w:w="53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代表工作</w:t>
            </w:r>
          </w:p>
        </w:tc>
        <w:tc>
          <w:tcPr>
            <w:tcW w:type="dxa" w:w="9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证据</w:t>
            </w:r>
          </w:p>
        </w:tc>
        <w:tc>
          <w:tcPr>
            <w:tcW w:type="dxa" w:w="116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部署</w:t>
            </w:r>
          </w:p>
        </w:tc>
      </w:tr>
      <w:tr>
        <w:trPr>
          <w:cantSplit/>
        </w:trPr>
        <w:tc>
          <w:tcPr>
            <w:tcW w:type="dxa" w:w="1200"/>
          </w:tcPr>
          <w:p>
            <w:pPr>
              <w:keepLines/>
              <w:spacing w:after="0" w:line="276" w:lineRule="auto"/>
            </w:pPr>
            <w:r>
              <w:rPr>
                <w:rFonts w:ascii="Calibri" w:hAnsi="Calibri" w:eastAsia="Microsoft YaHei"/>
                <w:color w:val="0B2545"/>
                <w:sz w:val="15"/>
              </w:rPr>
              <w:t>DSI-002</w:t>
            </w:r>
          </w:p>
        </w:tc>
        <w:tc>
          <w:tcPr>
            <w:tcW w:type="dxa" w:w="750"/>
          </w:tcPr>
          <w:p>
            <w:pPr>
              <w:keepLines/>
              <w:spacing w:after="0" w:line="276" w:lineRule="auto"/>
            </w:pPr>
            <w:r>
              <w:rPr>
                <w:rFonts w:ascii="Calibri" w:hAnsi="Calibri" w:eastAsia="Microsoft YaHei"/>
                <w:color w:val="0B2545"/>
                <w:sz w:val="15"/>
              </w:rPr>
              <w:t>DG0</w:t>
            </w:r>
          </w:p>
        </w:tc>
        <w:tc>
          <w:tcPr>
            <w:tcW w:type="dxa" w:w="5300"/>
          </w:tcPr>
          <w:p>
            <w:pPr>
              <w:keepLines/>
              <w:spacing w:after="0" w:line="276" w:lineRule="auto"/>
            </w:pPr>
            <w:r>
              <w:rPr>
                <w:rFonts w:ascii="Calibri" w:hAnsi="Calibri" w:eastAsia="Microsoft YaHei"/>
                <w:color w:val="0B2545"/>
                <w:sz w:val="15"/>
              </w:rPr>
              <w:t>MDSplus 脉冲树、数据采集与时序数据管理</w:t>
            </w:r>
          </w:p>
        </w:tc>
        <w:tc>
          <w:tcPr>
            <w:tcW w:type="dxa" w:w="950"/>
          </w:tcPr>
          <w:p>
            <w:pPr>
              <w:keepLines/>
              <w:spacing w:after="0" w:line="276" w:lineRule="auto"/>
            </w:pPr>
            <w:r>
              <w:rPr>
                <w:rFonts w:ascii="Calibri" w:hAnsi="Calibri" w:eastAsia="Microsoft YaHei"/>
                <w:color w:val="0B2545"/>
                <w:sz w:val="15"/>
              </w:rPr>
              <w:t>E4</w:t>
            </w:r>
          </w:p>
        </w:tc>
        <w:tc>
          <w:tcPr>
            <w:tcW w:type="dxa" w:w="1160"/>
          </w:tcPr>
          <w:p>
            <w:pPr>
              <w:keepLines/>
              <w:spacing w:after="0" w:line="276" w:lineRule="auto"/>
            </w:pPr>
            <w:r>
              <w:rPr>
                <w:rFonts w:ascii="Calibri" w:hAnsi="Calibri" w:eastAsia="Microsoft YaHei"/>
                <w:color w:val="0B2545"/>
                <w:sz w:val="15"/>
              </w:rPr>
              <w:t>D4</w:t>
            </w:r>
          </w:p>
        </w:tc>
      </w:tr>
      <w:tr>
        <w:trPr>
          <w:cantSplit/>
        </w:trPr>
        <w:tc>
          <w:tcPr>
            <w:tcW w:type="dxa" w:w="1200"/>
          </w:tcPr>
          <w:p>
            <w:pPr>
              <w:keepLines/>
              <w:spacing w:after="0" w:line="276" w:lineRule="auto"/>
            </w:pPr>
            <w:r>
              <w:rPr>
                <w:rFonts w:ascii="Calibri" w:hAnsi="Calibri" w:eastAsia="Microsoft YaHei"/>
                <w:color w:val="0B2545"/>
                <w:sz w:val="15"/>
              </w:rPr>
              <w:t>DG6-035</w:t>
            </w:r>
          </w:p>
        </w:tc>
        <w:tc>
          <w:tcPr>
            <w:tcW w:type="dxa" w:w="750"/>
          </w:tcPr>
          <w:p>
            <w:pPr>
              <w:keepLines/>
              <w:spacing w:after="0" w:line="276" w:lineRule="auto"/>
            </w:pPr>
            <w:r>
              <w:rPr>
                <w:rFonts w:ascii="Calibri" w:hAnsi="Calibri" w:eastAsia="Microsoft YaHei"/>
                <w:color w:val="0B2545"/>
                <w:sz w:val="15"/>
              </w:rPr>
              <w:t>DG6</w:t>
            </w:r>
          </w:p>
        </w:tc>
        <w:tc>
          <w:tcPr>
            <w:tcW w:type="dxa" w:w="5300"/>
          </w:tcPr>
          <w:p>
            <w:pPr>
              <w:keepLines/>
              <w:spacing w:after="0" w:line="276" w:lineRule="auto"/>
            </w:pPr>
            <w:r>
              <w:rPr>
                <w:rFonts w:ascii="Calibri" w:hAnsi="Calibri" w:eastAsia="Microsoft YaHei"/>
                <w:color w:val="0B2545"/>
                <w:sz w:val="15"/>
              </w:rPr>
              <w:t>气体喷注成像：边缘丝状体与湍流</w:t>
            </w:r>
          </w:p>
        </w:tc>
        <w:tc>
          <w:tcPr>
            <w:tcW w:type="dxa" w:w="950"/>
          </w:tcPr>
          <w:p>
            <w:pPr>
              <w:keepLines/>
              <w:spacing w:after="0" w:line="276" w:lineRule="auto"/>
            </w:pPr>
            <w:r>
              <w:rPr>
                <w:rFonts w:ascii="Calibri" w:hAnsi="Calibri" w:eastAsia="Microsoft YaHei"/>
                <w:color w:val="0B2545"/>
                <w:sz w:val="15"/>
              </w:rPr>
              <w:t>E4</w:t>
            </w:r>
          </w:p>
        </w:tc>
        <w:tc>
          <w:tcPr>
            <w:tcW w:type="dxa" w:w="1160"/>
          </w:tcPr>
          <w:p>
            <w:pPr>
              <w:keepLines/>
              <w:spacing w:after="0" w:line="276" w:lineRule="auto"/>
            </w:pPr>
            <w:r>
              <w:rPr>
                <w:rFonts w:ascii="Calibri" w:hAnsi="Calibri" w:eastAsia="Microsoft YaHei"/>
                <w:color w:val="0B2545"/>
                <w:sz w:val="15"/>
              </w:rPr>
              <w:t>D4</w:t>
            </w:r>
          </w:p>
        </w:tc>
      </w:tr>
      <w:tr>
        <w:trPr>
          <w:cantSplit/>
        </w:trPr>
        <w:tc>
          <w:tcPr>
            <w:tcW w:type="dxa" w:w="1200"/>
          </w:tcPr>
          <w:p>
            <w:pPr>
              <w:keepLines/>
              <w:spacing w:after="0" w:line="276" w:lineRule="auto"/>
            </w:pPr>
            <w:r>
              <w:rPr>
                <w:rFonts w:ascii="Calibri" w:hAnsi="Calibri" w:eastAsia="Microsoft YaHei"/>
                <w:color w:val="0B2545"/>
                <w:sz w:val="15"/>
              </w:rPr>
              <w:t>DG7-039</w:t>
            </w:r>
          </w:p>
        </w:tc>
        <w:tc>
          <w:tcPr>
            <w:tcW w:type="dxa" w:w="750"/>
          </w:tcPr>
          <w:p>
            <w:pPr>
              <w:keepLines/>
              <w:spacing w:after="0" w:line="276" w:lineRule="auto"/>
            </w:pPr>
            <w:r>
              <w:rPr>
                <w:rFonts w:ascii="Calibri" w:hAnsi="Calibri" w:eastAsia="Microsoft YaHei"/>
                <w:color w:val="0B2545"/>
                <w:sz w:val="15"/>
              </w:rPr>
              <w:t>DG7</w:t>
            </w:r>
          </w:p>
        </w:tc>
        <w:tc>
          <w:tcPr>
            <w:tcW w:type="dxa" w:w="5300"/>
          </w:tcPr>
          <w:p>
            <w:pPr>
              <w:keepLines/>
              <w:spacing w:after="0" w:line="276" w:lineRule="auto"/>
            </w:pPr>
            <w:r>
              <w:rPr>
                <w:rFonts w:ascii="Calibri" w:hAnsi="Calibri" w:eastAsia="Microsoft YaHei"/>
                <w:color w:val="0B2545"/>
                <w:sz w:val="15"/>
              </w:rPr>
              <w:t>Balmer/Stark偏滤器谱：脱靶、再结合与中性压力</w:t>
            </w:r>
          </w:p>
        </w:tc>
        <w:tc>
          <w:tcPr>
            <w:tcW w:type="dxa" w:w="950"/>
          </w:tcPr>
          <w:p>
            <w:pPr>
              <w:keepLines/>
              <w:spacing w:after="0" w:line="276" w:lineRule="auto"/>
            </w:pPr>
            <w:r>
              <w:rPr>
                <w:rFonts w:ascii="Calibri" w:hAnsi="Calibri" w:eastAsia="Microsoft YaHei"/>
                <w:color w:val="0B2545"/>
                <w:sz w:val="15"/>
              </w:rPr>
              <w:t>E4</w:t>
            </w:r>
          </w:p>
        </w:tc>
        <w:tc>
          <w:tcPr>
            <w:tcW w:type="dxa" w:w="1160"/>
          </w:tcPr>
          <w:p>
            <w:pPr>
              <w:keepLines/>
              <w:spacing w:after="0" w:line="276" w:lineRule="auto"/>
            </w:pPr>
            <w:r>
              <w:rPr>
                <w:rFonts w:ascii="Calibri" w:hAnsi="Calibri" w:eastAsia="Microsoft YaHei"/>
                <w:color w:val="0B2545"/>
                <w:sz w:val="15"/>
              </w:rPr>
              <w:t>D4</w:t>
            </w:r>
          </w:p>
        </w:tc>
      </w:tr>
      <w:tr>
        <w:trPr>
          <w:cantSplit/>
        </w:trPr>
        <w:tc>
          <w:tcPr>
            <w:tcW w:type="dxa" w:w="1200"/>
          </w:tcPr>
          <w:p>
            <w:pPr>
              <w:keepLines/>
              <w:spacing w:after="0" w:line="276" w:lineRule="auto"/>
            </w:pPr>
            <w:r>
              <w:rPr>
                <w:rFonts w:ascii="Calibri" w:hAnsi="Calibri" w:eastAsia="Microsoft YaHei"/>
                <w:color w:val="0B2545"/>
                <w:sz w:val="15"/>
              </w:rPr>
              <w:t>DSI-001</w:t>
            </w:r>
          </w:p>
        </w:tc>
        <w:tc>
          <w:tcPr>
            <w:tcW w:type="dxa" w:w="750"/>
          </w:tcPr>
          <w:p>
            <w:pPr>
              <w:keepLines/>
              <w:spacing w:after="0" w:line="276" w:lineRule="auto"/>
            </w:pPr>
            <w:r>
              <w:rPr>
                <w:rFonts w:ascii="Calibri" w:hAnsi="Calibri" w:eastAsia="Microsoft YaHei"/>
                <w:color w:val="0B2545"/>
                <w:sz w:val="15"/>
              </w:rPr>
              <w:t>DG0</w:t>
            </w:r>
          </w:p>
        </w:tc>
        <w:tc>
          <w:tcPr>
            <w:tcW w:type="dxa" w:w="5300"/>
          </w:tcPr>
          <w:p>
            <w:pPr>
              <w:keepLines/>
              <w:spacing w:after="0" w:line="276" w:lineRule="auto"/>
            </w:pPr>
            <w:r>
              <w:rPr>
                <w:rFonts w:ascii="Calibri" w:hAnsi="Calibri" w:eastAsia="Microsoft YaHei"/>
                <w:color w:val="0B2545"/>
                <w:sz w:val="15"/>
              </w:rPr>
              <w:t>IMAS 接口数据结构与数据字典</w:t>
            </w:r>
          </w:p>
        </w:tc>
        <w:tc>
          <w:tcPr>
            <w:tcW w:type="dxa" w:w="950"/>
          </w:tcPr>
          <w:p>
            <w:pPr>
              <w:keepLines/>
              <w:spacing w:after="0" w:line="276" w:lineRule="auto"/>
            </w:pPr>
            <w:r>
              <w:rPr>
                <w:rFonts w:ascii="Calibri" w:hAnsi="Calibri" w:eastAsia="Microsoft YaHei"/>
                <w:color w:val="0B2545"/>
                <w:sz w:val="15"/>
              </w:rPr>
              <w:t>E3</w:t>
            </w:r>
          </w:p>
        </w:tc>
        <w:tc>
          <w:tcPr>
            <w:tcW w:type="dxa" w:w="1160"/>
          </w:tcPr>
          <w:p>
            <w:pPr>
              <w:keepLines/>
              <w:spacing w:after="0" w:line="276" w:lineRule="auto"/>
            </w:pPr>
            <w:r>
              <w:rPr>
                <w:rFonts w:ascii="Calibri" w:hAnsi="Calibri" w:eastAsia="Microsoft YaHei"/>
                <w:color w:val="0B2545"/>
                <w:sz w:val="15"/>
              </w:rPr>
              <w:t>D3</w:t>
            </w:r>
          </w:p>
        </w:tc>
      </w:tr>
      <w:tr>
        <w:trPr>
          <w:cantSplit/>
        </w:trPr>
        <w:tc>
          <w:tcPr>
            <w:tcW w:type="dxa" w:w="1200"/>
          </w:tcPr>
          <w:p>
            <w:pPr>
              <w:keepLines/>
              <w:spacing w:after="0" w:line="276" w:lineRule="auto"/>
            </w:pPr>
            <w:r>
              <w:rPr>
                <w:rFonts w:ascii="Calibri" w:hAnsi="Calibri" w:eastAsia="Microsoft YaHei"/>
                <w:color w:val="0B2545"/>
                <w:sz w:val="15"/>
              </w:rPr>
              <w:t>DSI-016</w:t>
            </w:r>
          </w:p>
        </w:tc>
        <w:tc>
          <w:tcPr>
            <w:tcW w:type="dxa" w:w="750"/>
          </w:tcPr>
          <w:p>
            <w:pPr>
              <w:keepLines/>
              <w:spacing w:after="0" w:line="276" w:lineRule="auto"/>
            </w:pPr>
            <w:r>
              <w:rPr>
                <w:rFonts w:ascii="Calibri" w:hAnsi="Calibri" w:eastAsia="Microsoft YaHei"/>
                <w:color w:val="0B2545"/>
                <w:sz w:val="15"/>
              </w:rPr>
              <w:t>DG9</w:t>
            </w:r>
          </w:p>
        </w:tc>
        <w:tc>
          <w:tcPr>
            <w:tcW w:type="dxa" w:w="5300"/>
          </w:tcPr>
          <w:p>
            <w:pPr>
              <w:keepLines/>
              <w:spacing w:after="0" w:line="276" w:lineRule="auto"/>
            </w:pPr>
            <w:r>
              <w:rPr>
                <w:rFonts w:ascii="Calibri" w:hAnsi="Calibri" w:eastAsia="Microsoft YaHei"/>
                <w:color w:val="0B2545"/>
                <w:sz w:val="15"/>
              </w:rPr>
              <w:t>ECRad 电子回旋辐射输运与 ECE 合成诊断</w:t>
            </w:r>
          </w:p>
        </w:tc>
        <w:tc>
          <w:tcPr>
            <w:tcW w:type="dxa" w:w="950"/>
          </w:tcPr>
          <w:p>
            <w:pPr>
              <w:keepLines/>
              <w:spacing w:after="0" w:line="276" w:lineRule="auto"/>
            </w:pPr>
            <w:r>
              <w:rPr>
                <w:rFonts w:ascii="Calibri" w:hAnsi="Calibri" w:eastAsia="Microsoft YaHei"/>
                <w:color w:val="0B2545"/>
                <w:sz w:val="15"/>
              </w:rPr>
              <w:t>E3</w:t>
            </w:r>
          </w:p>
        </w:tc>
        <w:tc>
          <w:tcPr>
            <w:tcW w:type="dxa" w:w="1160"/>
          </w:tcPr>
          <w:p>
            <w:pPr>
              <w:keepLines/>
              <w:spacing w:after="0" w:line="276" w:lineRule="auto"/>
            </w:pPr>
            <w:r>
              <w:rPr>
                <w:rFonts w:ascii="Calibri" w:hAnsi="Calibri" w:eastAsia="Microsoft YaHei"/>
                <w:color w:val="0B2545"/>
                <w:sz w:val="15"/>
              </w:rPr>
              <w:t>D3</w:t>
            </w:r>
          </w:p>
        </w:tc>
      </w:tr>
      <w:tr>
        <w:trPr>
          <w:cantSplit/>
        </w:trPr>
        <w:tc>
          <w:tcPr>
            <w:tcW w:type="dxa" w:w="1200"/>
          </w:tcPr>
          <w:p>
            <w:pPr>
              <w:keepLines/>
              <w:spacing w:after="0" w:line="276" w:lineRule="auto"/>
            </w:pPr>
            <w:r>
              <w:rPr>
                <w:rFonts w:ascii="Calibri" w:hAnsi="Calibri" w:eastAsia="Microsoft YaHei"/>
                <w:color w:val="0B2545"/>
                <w:sz w:val="15"/>
              </w:rPr>
              <w:t>DSI-031</w:t>
            </w:r>
          </w:p>
        </w:tc>
        <w:tc>
          <w:tcPr>
            <w:tcW w:type="dxa" w:w="750"/>
          </w:tcPr>
          <w:p>
            <w:pPr>
              <w:keepLines/>
              <w:spacing w:after="0" w:line="276" w:lineRule="auto"/>
            </w:pPr>
            <w:r>
              <w:rPr>
                <w:rFonts w:ascii="Calibri" w:hAnsi="Calibri" w:eastAsia="Microsoft YaHei"/>
                <w:color w:val="0B2545"/>
                <w:sz w:val="15"/>
              </w:rPr>
              <w:t>DG11</w:t>
            </w:r>
          </w:p>
        </w:tc>
        <w:tc>
          <w:tcPr>
            <w:tcW w:type="dxa" w:w="5300"/>
          </w:tcPr>
          <w:p>
            <w:pPr>
              <w:keepLines/>
              <w:spacing w:after="0" w:line="276" w:lineRule="auto"/>
            </w:pPr>
            <w:r>
              <w:rPr>
                <w:rFonts w:ascii="Calibri" w:hAnsi="Calibri" w:eastAsia="Microsoft YaHei"/>
                <w:color w:val="0B2545"/>
                <w:sz w:val="15"/>
              </w:rPr>
              <w:t>RAPTOR 实时剖面状态观测器</w:t>
            </w:r>
          </w:p>
        </w:tc>
        <w:tc>
          <w:tcPr>
            <w:tcW w:type="dxa" w:w="950"/>
          </w:tcPr>
          <w:p>
            <w:pPr>
              <w:keepLines/>
              <w:spacing w:after="0" w:line="276" w:lineRule="auto"/>
            </w:pPr>
            <w:r>
              <w:rPr>
                <w:rFonts w:ascii="Calibri" w:hAnsi="Calibri" w:eastAsia="Microsoft YaHei"/>
                <w:color w:val="0B2545"/>
                <w:sz w:val="15"/>
              </w:rPr>
              <w:t>E3</w:t>
            </w:r>
          </w:p>
        </w:tc>
        <w:tc>
          <w:tcPr>
            <w:tcW w:type="dxa" w:w="1160"/>
          </w:tcPr>
          <w:p>
            <w:pPr>
              <w:keepLines/>
              <w:spacing w:after="0" w:line="276" w:lineRule="auto"/>
            </w:pPr>
            <w:r>
              <w:rPr>
                <w:rFonts w:ascii="Calibri" w:hAnsi="Calibri" w:eastAsia="Microsoft YaHei"/>
                <w:color w:val="0B2545"/>
                <w:sz w:val="15"/>
              </w:rPr>
              <w:t>D3</w:t>
            </w:r>
          </w:p>
        </w:tc>
      </w:tr>
    </w:tbl>
    <w:p>
      <w:pPr>
        <w:spacing w:before="0" w:after="60"/>
      </w:pPr>
    </w:p>
    <w:tbl>
      <w:tblPr>
        <w:tblStyle w:val="TableGrid"/>
        <w:tblW w:type="dxa" w:w="9360"/>
        <w:jc w:val="left"/>
        <w:tblLayout w:type="fixed"/>
        <w:tblLook w:firstColumn="1" w:firstRow="1" w:lastColumn="0" w:lastRow="0" w:noHBand="0" w:noVBand="1" w:val="04A0"/>
        <w:tblInd w:w="120" w:type="dxa"/>
      </w:tblPr>
      <w:tblGrid>
        <w:gridCol w:w="900"/>
        <w:gridCol w:w="3200"/>
        <w:gridCol w:w="2760"/>
        <w:gridCol w:w="2500"/>
      </w:tblGrid>
      <w:tr>
        <w:trPr>
          <w:tblHeader w:val="true"/>
        </w:trPr>
        <w:tc>
          <w:tcPr>
            <w:tcW w:type="dxa" w:w="9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年份/类型</w:t>
            </w:r>
          </w:p>
        </w:tc>
        <w:tc>
          <w:tcPr>
            <w:tcW w:type="dxa" w:w="32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论文或软件</w:t>
            </w:r>
          </w:p>
        </w:tc>
        <w:tc>
          <w:tcPr>
            <w:tcW w:type="dxa" w:w="276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来源/关系</w:t>
            </w:r>
          </w:p>
        </w:tc>
        <w:tc>
          <w:tcPr>
            <w:tcW w:type="dxa" w:w="25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链接</w:t>
            </w:r>
          </w:p>
        </w:tc>
      </w:tr>
      <w:tr>
        <w:trPr>
          <w:cantSplit/>
        </w:trPr>
        <w:tc>
          <w:tcPr>
            <w:tcW w:type="dxa" w:w="900"/>
          </w:tcPr>
          <w:p>
            <w:pPr>
              <w:keepLines/>
              <w:spacing w:after="0" w:line="276" w:lineRule="auto"/>
            </w:pPr>
            <w:r>
              <w:rPr>
                <w:rFonts w:ascii="Calibri" w:hAnsi="Calibri" w:eastAsia="Microsoft YaHei"/>
                <w:color w:val="0B2545"/>
                <w:sz w:val="14"/>
              </w:rPr>
              <w:t>2026</w:t>
            </w:r>
          </w:p>
        </w:tc>
        <w:tc>
          <w:tcPr>
            <w:tcW w:type="dxa" w:w="3200"/>
          </w:tcPr>
          <w:p>
            <w:pPr>
              <w:keepLines/>
              <w:spacing w:after="0" w:line="276" w:lineRule="auto"/>
            </w:pPr>
            <w:r>
              <w:rPr>
                <w:rFonts w:ascii="Calibri" w:hAnsi="Calibri" w:eastAsia="Microsoft YaHei"/>
                <w:color w:val="0B2545"/>
                <w:sz w:val="14"/>
              </w:rPr>
              <w:t>TCV Diagnostics</w:t>
            </w:r>
          </w:p>
        </w:tc>
        <w:tc>
          <w:tcPr>
            <w:tcW w:type="dxa" w:w="2760"/>
          </w:tcPr>
          <w:p>
            <w:pPr>
              <w:keepLines/>
              <w:spacing w:after="0" w:line="276" w:lineRule="auto"/>
            </w:pPr>
            <w:r>
              <w:rPr>
                <w:rFonts w:ascii="Calibri" w:hAnsi="Calibri" w:eastAsia="Microsoft YaHei"/>
                <w:color w:val="0B2545"/>
                <w:sz w:val="14"/>
              </w:rPr>
              <w:t>原始论文 / 官方来源</w:t>
            </w:r>
          </w:p>
        </w:tc>
        <w:tc>
          <w:tcPr>
            <w:tcW w:type="dxa" w:w="2500"/>
          </w:tcPr>
          <w:p>
            <w:pPr>
              <w:keepLines/>
              <w:spacing w:after="0" w:line="276" w:lineRule="auto"/>
            </w:pPr>
            <w:hyperlink r:id="rId267">
              <w:r>
                <w:rPr>
                  <w:rFonts w:ascii="Calibri" w:hAnsi="Calibri" w:eastAsia="Microsoft YaHei"/>
                  <w:color w:val="008C95"/>
                  <w:u w:val="single"/>
                </w:rPr>
                <w:t>打开原始来源 ↗</w:t>
              </w:r>
            </w:hyperlink>
          </w:p>
        </w:tc>
      </w:tr>
      <w:tr>
        <w:trPr>
          <w:cantSplit/>
        </w:trPr>
        <w:tc>
          <w:tcPr>
            <w:tcW w:type="dxa" w:w="900"/>
          </w:tcPr>
          <w:p>
            <w:pPr>
              <w:keepLines/>
              <w:spacing w:after="0" w:line="276" w:lineRule="auto"/>
            </w:pPr>
            <w:r>
              <w:rPr>
                <w:rFonts w:ascii="Calibri" w:hAnsi="Calibri" w:eastAsia="Microsoft YaHei"/>
                <w:color w:val="0B2545"/>
                <w:sz w:val="14"/>
              </w:rPr>
              <w:t>2026</w:t>
            </w:r>
          </w:p>
        </w:tc>
        <w:tc>
          <w:tcPr>
            <w:tcW w:type="dxa" w:w="3200"/>
          </w:tcPr>
          <w:p>
            <w:pPr>
              <w:keepLines/>
              <w:spacing w:after="0" w:line="276" w:lineRule="auto"/>
            </w:pPr>
            <w:r>
              <w:rPr>
                <w:rFonts w:ascii="Calibri" w:hAnsi="Calibri" w:eastAsia="Microsoft YaHei"/>
                <w:color w:val="0B2545"/>
                <w:sz w:val="14"/>
              </w:rPr>
              <w:t>TCV Active Diagnostics</w:t>
            </w:r>
          </w:p>
        </w:tc>
        <w:tc>
          <w:tcPr>
            <w:tcW w:type="dxa" w:w="2760"/>
          </w:tcPr>
          <w:p>
            <w:pPr>
              <w:keepLines/>
              <w:spacing w:after="0" w:line="276" w:lineRule="auto"/>
            </w:pPr>
            <w:r>
              <w:rPr>
                <w:rFonts w:ascii="Calibri" w:hAnsi="Calibri" w:eastAsia="Microsoft YaHei"/>
                <w:color w:val="0B2545"/>
                <w:sz w:val="14"/>
              </w:rPr>
              <w:t>原始论文 / 官方来源</w:t>
            </w:r>
          </w:p>
        </w:tc>
        <w:tc>
          <w:tcPr>
            <w:tcW w:type="dxa" w:w="2500"/>
          </w:tcPr>
          <w:p>
            <w:pPr>
              <w:keepLines/>
              <w:spacing w:after="0" w:line="276" w:lineRule="auto"/>
            </w:pPr>
            <w:hyperlink r:id="rId268">
              <w:r>
                <w:rPr>
                  <w:rFonts w:ascii="Calibri" w:hAnsi="Calibri" w:eastAsia="Microsoft YaHei"/>
                  <w:color w:val="008C95"/>
                  <w:u w:val="single"/>
                </w:rPr>
                <w:t>打开原始来源 ↗</w:t>
              </w:r>
            </w:hyperlink>
          </w:p>
        </w:tc>
      </w:tr>
      <w:tr>
        <w:trPr>
          <w:cantSplit/>
        </w:trPr>
        <w:tc>
          <w:tcPr>
            <w:tcW w:type="dxa" w:w="900"/>
          </w:tcPr>
          <w:p>
            <w:pPr>
              <w:keepLines/>
              <w:spacing w:after="0" w:line="276" w:lineRule="auto"/>
            </w:pPr>
            <w:r>
              <w:rPr>
                <w:rFonts w:ascii="Calibri" w:hAnsi="Calibri" w:eastAsia="Microsoft YaHei"/>
                <w:color w:val="0B2545"/>
                <w:sz w:val="14"/>
              </w:rPr>
              <w:t>2026</w:t>
            </w:r>
          </w:p>
        </w:tc>
        <w:tc>
          <w:tcPr>
            <w:tcW w:type="dxa" w:w="3200"/>
          </w:tcPr>
          <w:p>
            <w:pPr>
              <w:keepLines/>
              <w:spacing w:after="0" w:line="276" w:lineRule="auto"/>
            </w:pPr>
            <w:r>
              <w:rPr>
                <w:rFonts w:ascii="Calibri" w:hAnsi="Calibri" w:eastAsia="Microsoft YaHei"/>
                <w:color w:val="0B2545"/>
                <w:sz w:val="14"/>
              </w:rPr>
              <w:t>TCV Passive Diagnostics</w:t>
            </w:r>
          </w:p>
        </w:tc>
        <w:tc>
          <w:tcPr>
            <w:tcW w:type="dxa" w:w="2760"/>
          </w:tcPr>
          <w:p>
            <w:pPr>
              <w:keepLines/>
              <w:spacing w:after="0" w:line="276" w:lineRule="auto"/>
            </w:pPr>
            <w:r>
              <w:rPr>
                <w:rFonts w:ascii="Calibri" w:hAnsi="Calibri" w:eastAsia="Microsoft YaHei"/>
                <w:color w:val="0B2545"/>
                <w:sz w:val="14"/>
              </w:rPr>
              <w:t>原始论文 / 官方来源</w:t>
            </w:r>
          </w:p>
        </w:tc>
        <w:tc>
          <w:tcPr>
            <w:tcW w:type="dxa" w:w="2500"/>
          </w:tcPr>
          <w:p>
            <w:pPr>
              <w:keepLines/>
              <w:spacing w:after="0" w:line="276" w:lineRule="auto"/>
            </w:pPr>
            <w:hyperlink r:id="rId269">
              <w:r>
                <w:rPr>
                  <w:rFonts w:ascii="Calibri" w:hAnsi="Calibri" w:eastAsia="Microsoft YaHei"/>
                  <w:color w:val="008C95"/>
                  <w:u w:val="single"/>
                </w:rPr>
                <w:t>打开原始来源 ↗</w:t>
              </w:r>
            </w:hyperlink>
          </w:p>
        </w:tc>
      </w:tr>
      <w:tr>
        <w:trPr>
          <w:cantSplit/>
        </w:trPr>
        <w:tc>
          <w:tcPr>
            <w:tcW w:type="dxa" w:w="900"/>
          </w:tcPr>
          <w:p>
            <w:pPr>
              <w:keepLines/>
              <w:spacing w:after="0" w:line="276" w:lineRule="auto"/>
            </w:pPr>
            <w:r>
              <w:rPr>
                <w:rFonts w:ascii="Calibri" w:hAnsi="Calibri" w:eastAsia="Microsoft YaHei"/>
                <w:color w:val="0B2545"/>
                <w:sz w:val="14"/>
              </w:rPr>
              <w:t>软件</w:t>
            </w:r>
          </w:p>
        </w:tc>
        <w:tc>
          <w:tcPr>
            <w:tcW w:type="dxa" w:w="3200"/>
          </w:tcPr>
          <w:p>
            <w:pPr>
              <w:keepLines/>
              <w:spacing w:after="0" w:line="276" w:lineRule="auto"/>
            </w:pPr>
            <w:r>
              <w:rPr>
                <w:rFonts w:ascii="Calibri" w:hAnsi="Calibri" w:eastAsia="Microsoft YaHei"/>
                <w:color w:val="0B2545"/>
                <w:sz w:val="14"/>
              </w:rPr>
              <w:t>MARTe2</w:t>
            </w:r>
          </w:p>
        </w:tc>
        <w:tc>
          <w:tcPr>
            <w:tcW w:type="dxa" w:w="2760"/>
          </w:tcPr>
          <w:p>
            <w:pPr>
              <w:keepLines/>
              <w:spacing w:after="0" w:line="276" w:lineRule="auto"/>
            </w:pPr>
            <w:r>
              <w:rPr>
                <w:rFonts w:ascii="Calibri" w:hAnsi="Calibri" w:eastAsia="Microsoft YaHei"/>
                <w:color w:val="0B2545"/>
                <w:sz w:val="14"/>
              </w:rPr>
              <w:t>official-enabling / 运行框架，不包含完整 TCV 诊断配置</w:t>
            </w:r>
          </w:p>
        </w:tc>
        <w:tc>
          <w:tcPr>
            <w:tcW w:type="dxa" w:w="2500"/>
          </w:tcPr>
          <w:p>
            <w:pPr>
              <w:keepLines/>
              <w:spacing w:after="0" w:line="276" w:lineRule="auto"/>
            </w:pPr>
            <w:hyperlink r:id="rId31">
              <w:r>
                <w:rPr>
                  <w:rFonts w:ascii="Calibri" w:hAnsi="Calibri" w:eastAsia="Microsoft YaHei"/>
                  <w:color w:val="008C95"/>
                  <w:u w:val="single"/>
                </w:rPr>
                <w:t>打开原始来源 ↗</w:t>
              </w:r>
            </w:hyperlink>
          </w:p>
        </w:tc>
      </w:tr>
      <w:tr>
        <w:trPr>
          <w:cantSplit/>
        </w:trPr>
        <w:tc>
          <w:tcPr>
            <w:tcW w:type="dxa" w:w="900"/>
          </w:tcPr>
          <w:p>
            <w:pPr>
              <w:keepLines/>
              <w:spacing w:after="0" w:line="276" w:lineRule="auto"/>
            </w:pPr>
            <w:r>
              <w:rPr>
                <w:rFonts w:ascii="Calibri" w:hAnsi="Calibri" w:eastAsia="Microsoft YaHei"/>
                <w:color w:val="0B2545"/>
                <w:sz w:val="14"/>
              </w:rPr>
              <w:t>软件</w:t>
            </w:r>
          </w:p>
        </w:tc>
        <w:tc>
          <w:tcPr>
            <w:tcW w:type="dxa" w:w="3200"/>
          </w:tcPr>
          <w:p>
            <w:pPr>
              <w:keepLines/>
              <w:spacing w:after="0" w:line="276" w:lineRule="auto"/>
            </w:pPr>
            <w:r>
              <w:rPr>
                <w:rFonts w:ascii="Calibri" w:hAnsi="Calibri" w:eastAsia="Microsoft YaHei"/>
                <w:color w:val="0B2545"/>
                <w:sz w:val="14"/>
              </w:rPr>
              <w:t>TCV data and diagnostics routines</w:t>
            </w:r>
          </w:p>
        </w:tc>
        <w:tc>
          <w:tcPr>
            <w:tcW w:type="dxa" w:w="2760"/>
          </w:tcPr>
          <w:p>
            <w:pPr>
              <w:keepLines/>
              <w:spacing w:after="0" w:line="276" w:lineRule="auto"/>
            </w:pPr>
            <w:r>
              <w:rPr>
                <w:rFonts w:ascii="Calibri" w:hAnsi="Calibri" w:eastAsia="Microsoft YaHei"/>
                <w:color w:val="0B2545"/>
                <w:sz w:val="14"/>
              </w:rPr>
              <w:t>not-public / 官方系统介绍页已移入参考来源；生产数据/代码需合作且未发现统一公共仓库</w:t>
            </w:r>
          </w:p>
        </w:tc>
        <w:tc>
          <w:tcPr>
            <w:tcW w:type="dxa" w:w="2500"/>
          </w:tcPr>
          <w:p>
            <w:pPr>
              <w:keepLines/>
              <w:spacing w:after="0" w:line="276" w:lineRule="auto"/>
            </w:pPr>
            <w:r>
              <w:rPr>
                <w:rFonts w:ascii="Calibri" w:hAnsi="Calibri" w:eastAsia="Microsoft YaHei"/>
                <w:color w:val="0B2545"/>
                <w:sz w:val="14"/>
              </w:rPr>
              <w:t>未公开</w:t>
            </w:r>
          </w:p>
        </w:tc>
      </w:tr>
    </w:tbl>
    <w:p>
      <w:pPr>
        <w:spacing w:before="0" w:after="60"/>
      </w:pPr>
    </w:p>
    <w:p>
      <w:pPr>
        <w:pStyle w:val="Heading2"/>
      </w:pPr>
      <w:r>
        <w:t>17.17  Wendelstein 7-X</w:t>
      </w:r>
    </w:p>
    <w:tbl>
      <w:tblPr>
        <w:tblStyle w:val="TableGrid"/>
        <w:tblW w:type="dxa" w:w="9360"/>
        <w:jc w:val="left"/>
        <w:tblLayout w:type="fixed"/>
        <w:tblLook w:firstColumn="1" w:firstRow="1" w:lastColumn="0" w:lastRow="0" w:noHBand="0" w:noVBand="1" w:val="04A0"/>
        <w:tblInd w:w="120" w:type="dxa"/>
      </w:tblPr>
      <w:tblGrid>
        <w:gridCol w:w="1100"/>
        <w:gridCol w:w="1100"/>
        <w:gridCol w:w="2400"/>
        <w:gridCol w:w="1900"/>
        <w:gridCol w:w="2860"/>
      </w:tblGrid>
      <w:tr>
        <w:trPr>
          <w:tblHeader w:val="true"/>
        </w:trPr>
        <w:tc>
          <w:tcPr>
            <w:tcW w:type="dxa" w:w="11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类型</w:t>
            </w:r>
          </w:p>
        </w:tc>
        <w:tc>
          <w:tcPr>
            <w:tcW w:type="dxa" w:w="11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国家/地区</w:t>
            </w:r>
          </w:p>
        </w:tc>
        <w:tc>
          <w:tcPr>
            <w:tcW w:type="dxa" w:w="24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运营方</w:t>
            </w:r>
          </w:p>
        </w:tc>
        <w:tc>
          <w:tcPr>
            <w:tcW w:type="dxa" w:w="19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状态</w:t>
            </w:r>
          </w:p>
        </w:tc>
        <w:tc>
          <w:tcPr>
            <w:tcW w:type="dxa" w:w="286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覆盖任务</w:t>
            </w:r>
          </w:p>
        </w:tc>
      </w:tr>
      <w:tr>
        <w:trPr>
          <w:cantSplit/>
        </w:trPr>
        <w:tc>
          <w:tcPr>
            <w:tcW w:type="dxa" w:w="1100"/>
          </w:tcPr>
          <w:p>
            <w:pPr>
              <w:keepLines/>
              <w:spacing w:after="0" w:line="276" w:lineRule="auto"/>
            </w:pPr>
            <w:r>
              <w:rPr>
                <w:rFonts w:ascii="Calibri" w:hAnsi="Calibri" w:eastAsia="Microsoft YaHei"/>
                <w:color w:val="0B2545"/>
                <w:sz w:val="15"/>
              </w:rPr>
              <w:t>优化仿星器（非托卡马克参照）</w:t>
            </w:r>
          </w:p>
        </w:tc>
        <w:tc>
          <w:tcPr>
            <w:tcW w:type="dxa" w:w="1100"/>
          </w:tcPr>
          <w:p>
            <w:pPr>
              <w:keepLines/>
              <w:spacing w:after="0" w:line="276" w:lineRule="auto"/>
            </w:pPr>
            <w:r>
              <w:rPr>
                <w:rFonts w:ascii="Calibri" w:hAnsi="Calibri" w:eastAsia="Microsoft YaHei"/>
                <w:color w:val="0B2545"/>
                <w:sz w:val="15"/>
              </w:rPr>
              <w:t>德国</w:t>
            </w:r>
          </w:p>
        </w:tc>
        <w:tc>
          <w:tcPr>
            <w:tcW w:type="dxa" w:w="2400"/>
          </w:tcPr>
          <w:p>
            <w:pPr>
              <w:keepLines/>
              <w:spacing w:after="0" w:line="276" w:lineRule="auto"/>
            </w:pPr>
            <w:r>
              <w:rPr>
                <w:rFonts w:ascii="Calibri" w:hAnsi="Calibri" w:eastAsia="Microsoft YaHei"/>
                <w:color w:val="0B2545"/>
                <w:sz w:val="15"/>
              </w:rPr>
              <w:t>Max Planck Institute for Plasma Physics</w:t>
            </w:r>
          </w:p>
        </w:tc>
        <w:tc>
          <w:tcPr>
            <w:tcW w:type="dxa" w:w="1900"/>
          </w:tcPr>
          <w:p>
            <w:pPr>
              <w:keepLines/>
              <w:spacing w:after="0" w:line="276" w:lineRule="auto"/>
            </w:pPr>
            <w:r>
              <w:rPr>
                <w:rFonts w:ascii="Calibri" w:hAnsi="Calibri" w:eastAsia="Microsoft YaHei"/>
                <w:color w:val="0B2545"/>
                <w:sz w:val="15"/>
              </w:rPr>
              <w:t>长脉冲实验、维护与后续 campaign 准备</w:t>
            </w:r>
          </w:p>
        </w:tc>
        <w:tc>
          <w:tcPr>
            <w:tcW w:type="dxa" w:w="2860"/>
          </w:tcPr>
          <w:p>
            <w:pPr>
              <w:keepLines/>
              <w:spacing w:after="0" w:line="276" w:lineRule="auto"/>
            </w:pPr>
            <w:r>
              <w:rPr>
                <w:rFonts w:ascii="Calibri" w:hAnsi="Calibri" w:eastAsia="Microsoft YaHei"/>
                <w:color w:val="0B2545"/>
                <w:sz w:val="15"/>
              </w:rPr>
              <w:t>DG0；DG2；DG3；DG4；DG5；DG6；DG7；DG8；DG10；DG11</w:t>
            </w:r>
          </w:p>
        </w:tc>
      </w:tr>
    </w:tbl>
    <w:p>
      <w:pPr>
        <w:spacing w:before="0" w:after="60"/>
      </w:pPr>
    </w:p>
    <w:p>
      <w:pPr>
        <w:widowControl/>
      </w:pPr>
      <w:r>
        <w:rPr>
          <w:rFonts w:ascii="Calibri" w:hAnsi="Calibri" w:eastAsia="Microsoft YaHei"/>
          <w:b/>
          <w:color w:val="1F4D78"/>
        </w:rPr>
        <w:t>诊断概况：</w:t>
      </w:r>
      <w:r>
        <w:rPr>
          <w:rFonts w:ascii="Calibri" w:hAnsi="Calibri" w:eastAsia="Microsoft YaHei"/>
        </w:rPr>
        <w:t>W7-X 约四十五套诊断利用大量端口和三维磁构型，强调冗余物理原理、长脉冲连续采集和热事件自动识别。磁、Thomson、ECE、干涉、XICS/CXRS、bolometry、SXR、反射计、快离子、IR/visible/EDICAM 与边界探针共同构成长稳态参照；其 ArchiveDB/日志和 Web live monitoring 对数字孪生很有价值。</w:t>
      </w:r>
    </w:p>
    <w:p>
      <w:pPr>
        <w:widowControl/>
      </w:pPr>
      <w:r>
        <w:rPr>
          <w:rFonts w:ascii="Calibri" w:hAnsi="Calibri" w:eastAsia="Microsoft YaHei"/>
          <w:b/>
          <w:color w:val="1F4D78"/>
        </w:rPr>
        <w:t>主要系统：</w:t>
      </w:r>
      <w:r>
        <w:rPr>
          <w:rFonts w:ascii="Calibri" w:hAnsi="Calibri" w:eastAsia="Microsoft YaHei"/>
        </w:rPr>
        <w:t>family: steady-state-plasma；systems: Thomson；ECE；interferometry；XICS/CXRS；bolometry/SXR；reflectometry；magnetics；measuredQuantities: ne/Te/Ti/flow；radiation；MHD/turbulence；configuration；evidence: E4/D4；realTimeUse: selected control/monitoring parameters；family: thermal-machine；systems: IR/visible endoscopes；EDICAM；water/calorimetry signals；superconducting coil protection；measuredQuantities: PFC temperature/thermal events；machine state；magnet health；evidence: E3-E4/D3-D4；realTimeUse: automatic event detection and protection preparation</w:t>
      </w:r>
    </w:p>
    <w:p>
      <w:pPr>
        <w:widowControl/>
      </w:pPr>
      <w:r>
        <w:rPr>
          <w:rFonts w:ascii="Calibri" w:hAnsi="Calibri" w:eastAsia="Microsoft YaHei"/>
          <w:b/>
          <w:color w:val="1F4D78"/>
        </w:rPr>
        <w:t>测量/传感：</w:t>
      </w:r>
      <w:r>
        <w:rPr>
          <w:rFonts w:ascii="Calibri" w:hAnsi="Calibri" w:eastAsia="Microsoft YaHei"/>
        </w:rPr>
        <w:t>laser/microwave diagnostics；X-ray and bolometer arrays；spectrometers；IR/visible cameras；magnetic/edge probes；cryogenic/magnet sensors</w:t>
      </w:r>
    </w:p>
    <w:p>
      <w:pPr>
        <w:widowControl/>
      </w:pPr>
      <w:r>
        <w:rPr>
          <w:rFonts w:ascii="Calibri" w:hAnsi="Calibri" w:eastAsia="Microsoft YaHei"/>
          <w:b/>
          <w:color w:val="1F4D78"/>
        </w:rPr>
        <w:t>实时与 PCS 接口：</w:t>
      </w:r>
      <w:r>
        <w:rPr>
          <w:rFonts w:ascii="Calibri" w:hAnsi="Calibri" w:eastAsia="Microsoft YaHei"/>
        </w:rPr>
        <w:t>W7-X control/safety systems；continuous DAQ and ArchiveDB；web live monitoring；thermal-event algorithms</w:t>
      </w:r>
    </w:p>
    <w:p>
      <w:pPr>
        <w:widowControl/>
      </w:pPr>
      <w:r>
        <w:rPr>
          <w:rFonts w:ascii="Calibri" w:hAnsi="Calibri" w:eastAsia="Microsoft YaHei"/>
          <w:b/>
          <w:color w:val="1F4D78"/>
        </w:rPr>
        <w:t>数据平台：</w:t>
      </w:r>
      <w:r>
        <w:rPr>
          <w:rFonts w:ascii="Calibri" w:hAnsi="Calibri" w:eastAsia="Microsoft YaHei"/>
        </w:rPr>
        <w:t>systems: W7-X ArchiveDB；WebAPI/live monitoring；experiment programs/logbook；access: public APIs/selected datasets and collaboration access; exact product availability varies；evidence: official W7-X and peer-reviewed data-system papers</w:t>
      </w:r>
    </w:p>
    <w:p>
      <w:pPr>
        <w:widowControl/>
      </w:pPr>
      <w:r>
        <w:rPr>
          <w:rFonts w:ascii="Calibri" w:hAnsi="Calibri" w:eastAsia="Microsoft YaHei"/>
          <w:b/>
          <w:color w:val="1F4D78"/>
        </w:rPr>
        <w:t>代表工作概述：</w:t>
      </w:r>
      <w:r>
        <w:rPr>
          <w:rFonts w:ascii="Calibri" w:hAnsi="Calibri" w:eastAsia="Microsoft YaHei"/>
        </w:rPr>
        <w:t>约 45 套诊断、同参数多原理冗余；长脉冲 IR thermography 自动热事件检测；Web-based live data/state/video monitoring；ArchiveDB/连续 DAQ；三维合成诊断/磁构型映射</w:t>
      </w:r>
    </w:p>
    <w:p>
      <w:pPr>
        <w:widowControl/>
      </w:pPr>
      <w:r>
        <w:rPr>
          <w:rFonts w:ascii="Calibri" w:hAnsi="Calibri" w:eastAsia="Microsoft YaHei"/>
          <w:b/>
          <w:color w:val="1F4D78"/>
        </w:rPr>
        <w:t>证据边界：</w:t>
      </w:r>
      <w:r>
        <w:rPr>
          <w:rFonts w:ascii="Calibri" w:hAnsi="Calibri" w:eastAsia="Microsoft YaHei"/>
        </w:rPr>
        <w:t>三维几何使视线和磁面映射比轴对称托卡马克更复杂；长脉冲连续数据要求时间窗、状态段和标定事件可查询；W7-X 无 D-T 中子环境，不能替代燃烧电厂诊断辐照验证</w:t>
      </w:r>
    </w:p>
    <w:tbl>
      <w:tblPr>
        <w:tblStyle w:val="TableGrid"/>
        <w:tblW w:type="dxa" w:w="9360"/>
        <w:jc w:val="left"/>
        <w:tblLayout w:type="fixed"/>
        <w:tblLook w:firstColumn="1" w:firstRow="1" w:lastColumn="0" w:lastRow="0" w:noHBand="0" w:noVBand="1" w:val="04A0"/>
        <w:tblInd w:w="120" w:type="dxa"/>
      </w:tblPr>
      <w:tblGrid>
        <w:gridCol w:w="1200"/>
        <w:gridCol w:w="750"/>
        <w:gridCol w:w="5300"/>
        <w:gridCol w:w="950"/>
        <w:gridCol w:w="1160"/>
      </w:tblGrid>
      <w:tr>
        <w:trPr>
          <w:tblHeader w:val="true"/>
        </w:trPr>
        <w:tc>
          <w:tcPr>
            <w:tcW w:type="dxa" w:w="12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工作 ID</w:t>
            </w:r>
          </w:p>
        </w:tc>
        <w:tc>
          <w:tcPr>
            <w:tcW w:type="dxa" w:w="7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任务</w:t>
            </w:r>
          </w:p>
        </w:tc>
        <w:tc>
          <w:tcPr>
            <w:tcW w:type="dxa" w:w="53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代表工作</w:t>
            </w:r>
          </w:p>
        </w:tc>
        <w:tc>
          <w:tcPr>
            <w:tcW w:type="dxa" w:w="9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证据</w:t>
            </w:r>
          </w:p>
        </w:tc>
        <w:tc>
          <w:tcPr>
            <w:tcW w:type="dxa" w:w="116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部署</w:t>
            </w:r>
          </w:p>
        </w:tc>
      </w:tr>
      <w:tr>
        <w:trPr>
          <w:cantSplit/>
        </w:trPr>
        <w:tc>
          <w:tcPr>
            <w:tcW w:type="dxa" w:w="1200"/>
          </w:tcPr>
          <w:p>
            <w:pPr>
              <w:keepLines/>
              <w:spacing w:after="0" w:line="276" w:lineRule="auto"/>
            </w:pPr>
            <w:r>
              <w:rPr>
                <w:rFonts w:ascii="Calibri" w:hAnsi="Calibri" w:eastAsia="Microsoft YaHei"/>
                <w:color w:val="0B2545"/>
                <w:sz w:val="15"/>
              </w:rPr>
              <w:t>PDT-006</w:t>
            </w:r>
          </w:p>
        </w:tc>
        <w:tc>
          <w:tcPr>
            <w:tcW w:type="dxa" w:w="750"/>
          </w:tcPr>
          <w:p>
            <w:pPr>
              <w:keepLines/>
              <w:spacing w:after="0" w:line="276" w:lineRule="auto"/>
            </w:pPr>
            <w:r>
              <w:rPr>
                <w:rFonts w:ascii="Calibri" w:hAnsi="Calibri" w:eastAsia="Microsoft YaHei"/>
                <w:color w:val="0B2545"/>
                <w:sz w:val="15"/>
              </w:rPr>
              <w:t>DG8</w:t>
            </w:r>
          </w:p>
        </w:tc>
        <w:tc>
          <w:tcPr>
            <w:tcW w:type="dxa" w:w="5300"/>
          </w:tcPr>
          <w:p>
            <w:pPr>
              <w:keepLines/>
              <w:spacing w:after="0" w:line="276" w:lineRule="auto"/>
            </w:pPr>
            <w:r>
              <w:rPr>
                <w:rFonts w:ascii="Calibri" w:hAnsi="Calibri" w:eastAsia="Microsoft YaHei"/>
                <w:color w:val="0B2545"/>
                <w:sz w:val="15"/>
              </w:rPr>
              <w:t>W7-X 长脉冲热事件自动检测与图像数据库</w:t>
            </w:r>
          </w:p>
        </w:tc>
        <w:tc>
          <w:tcPr>
            <w:tcW w:type="dxa" w:w="950"/>
          </w:tcPr>
          <w:p>
            <w:pPr>
              <w:keepLines/>
              <w:spacing w:after="0" w:line="276" w:lineRule="auto"/>
            </w:pPr>
            <w:r>
              <w:rPr>
                <w:rFonts w:ascii="Calibri" w:hAnsi="Calibri" w:eastAsia="Microsoft YaHei"/>
                <w:color w:val="0B2545"/>
                <w:sz w:val="15"/>
              </w:rPr>
              <w:t>E4</w:t>
            </w:r>
          </w:p>
        </w:tc>
        <w:tc>
          <w:tcPr>
            <w:tcW w:type="dxa" w:w="1160"/>
          </w:tcPr>
          <w:p>
            <w:pPr>
              <w:keepLines/>
              <w:spacing w:after="0" w:line="276" w:lineRule="auto"/>
            </w:pPr>
            <w:r>
              <w:rPr>
                <w:rFonts w:ascii="Calibri" w:hAnsi="Calibri" w:eastAsia="Microsoft YaHei"/>
                <w:color w:val="0B2545"/>
                <w:sz w:val="15"/>
              </w:rPr>
              <w:t>D4</w:t>
            </w:r>
          </w:p>
        </w:tc>
      </w:tr>
      <w:tr>
        <w:trPr>
          <w:cantSplit/>
        </w:trPr>
        <w:tc>
          <w:tcPr>
            <w:tcW w:type="dxa" w:w="1200"/>
          </w:tcPr>
          <w:p>
            <w:pPr>
              <w:keepLines/>
              <w:spacing w:after="0" w:line="276" w:lineRule="auto"/>
            </w:pPr>
            <w:r>
              <w:rPr>
                <w:rFonts w:ascii="Calibri" w:hAnsi="Calibri" w:eastAsia="Microsoft YaHei"/>
                <w:color w:val="0B2545"/>
                <w:sz w:val="15"/>
              </w:rPr>
              <w:t>PDT-018</w:t>
            </w:r>
          </w:p>
        </w:tc>
        <w:tc>
          <w:tcPr>
            <w:tcW w:type="dxa" w:w="750"/>
          </w:tcPr>
          <w:p>
            <w:pPr>
              <w:keepLines/>
              <w:spacing w:after="0" w:line="276" w:lineRule="auto"/>
            </w:pPr>
            <w:r>
              <w:rPr>
                <w:rFonts w:ascii="Calibri" w:hAnsi="Calibri" w:eastAsia="Microsoft YaHei"/>
                <w:color w:val="0B2545"/>
                <w:sz w:val="15"/>
              </w:rPr>
              <w:t>DG8</w:t>
            </w:r>
          </w:p>
        </w:tc>
        <w:tc>
          <w:tcPr>
            <w:tcW w:type="dxa" w:w="5300"/>
          </w:tcPr>
          <w:p>
            <w:pPr>
              <w:keepLines/>
              <w:spacing w:after="0" w:line="276" w:lineRule="auto"/>
            </w:pPr>
            <w:r>
              <w:rPr>
                <w:rFonts w:ascii="Calibri" w:hAnsi="Calibri" w:eastAsia="Microsoft YaHei"/>
                <w:color w:val="0B2545"/>
                <w:sz w:val="15"/>
              </w:rPr>
              <w:t>W7-X 超导线圈独立保护与设备状态链</w:t>
            </w:r>
          </w:p>
        </w:tc>
        <w:tc>
          <w:tcPr>
            <w:tcW w:type="dxa" w:w="950"/>
          </w:tcPr>
          <w:p>
            <w:pPr>
              <w:keepLines/>
              <w:spacing w:after="0" w:line="276" w:lineRule="auto"/>
            </w:pPr>
            <w:r>
              <w:rPr>
                <w:rFonts w:ascii="Calibri" w:hAnsi="Calibri" w:eastAsia="Microsoft YaHei"/>
                <w:color w:val="0B2545"/>
                <w:sz w:val="15"/>
              </w:rPr>
              <w:t>E3</w:t>
            </w:r>
          </w:p>
        </w:tc>
        <w:tc>
          <w:tcPr>
            <w:tcW w:type="dxa" w:w="1160"/>
          </w:tcPr>
          <w:p>
            <w:pPr>
              <w:keepLines/>
              <w:spacing w:after="0" w:line="276" w:lineRule="auto"/>
            </w:pPr>
            <w:r>
              <w:rPr>
                <w:rFonts w:ascii="Calibri" w:hAnsi="Calibri" w:eastAsia="Microsoft YaHei"/>
                <w:color w:val="0B2545"/>
                <w:sz w:val="15"/>
              </w:rPr>
              <w:t>D3</w:t>
            </w:r>
          </w:p>
        </w:tc>
      </w:tr>
    </w:tbl>
    <w:p>
      <w:pPr>
        <w:spacing w:before="0" w:after="60"/>
      </w:pPr>
    </w:p>
    <w:tbl>
      <w:tblPr>
        <w:tblStyle w:val="TableGrid"/>
        <w:tblW w:type="dxa" w:w="9360"/>
        <w:jc w:val="left"/>
        <w:tblLayout w:type="fixed"/>
        <w:tblLook w:firstColumn="1" w:firstRow="1" w:lastColumn="0" w:lastRow="0" w:noHBand="0" w:noVBand="1" w:val="04A0"/>
        <w:tblInd w:w="120" w:type="dxa"/>
      </w:tblPr>
      <w:tblGrid>
        <w:gridCol w:w="900"/>
        <w:gridCol w:w="3200"/>
        <w:gridCol w:w="2760"/>
        <w:gridCol w:w="2500"/>
      </w:tblGrid>
      <w:tr>
        <w:trPr>
          <w:tblHeader w:val="true"/>
        </w:trPr>
        <w:tc>
          <w:tcPr>
            <w:tcW w:type="dxa" w:w="9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年份/类型</w:t>
            </w:r>
          </w:p>
        </w:tc>
        <w:tc>
          <w:tcPr>
            <w:tcW w:type="dxa" w:w="32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论文或软件</w:t>
            </w:r>
          </w:p>
        </w:tc>
        <w:tc>
          <w:tcPr>
            <w:tcW w:type="dxa" w:w="276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来源/关系</w:t>
            </w:r>
          </w:p>
        </w:tc>
        <w:tc>
          <w:tcPr>
            <w:tcW w:type="dxa" w:w="25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链接</w:t>
            </w:r>
          </w:p>
        </w:tc>
      </w:tr>
      <w:tr>
        <w:trPr>
          <w:cantSplit/>
        </w:trPr>
        <w:tc>
          <w:tcPr>
            <w:tcW w:type="dxa" w:w="900"/>
          </w:tcPr>
          <w:p>
            <w:pPr>
              <w:keepLines/>
              <w:spacing w:after="0" w:line="276" w:lineRule="auto"/>
            </w:pPr>
            <w:r>
              <w:rPr>
                <w:rFonts w:ascii="Calibri" w:hAnsi="Calibri" w:eastAsia="Microsoft YaHei"/>
                <w:color w:val="0B2545"/>
                <w:sz w:val="14"/>
              </w:rPr>
              <w:t>2016</w:t>
            </w:r>
          </w:p>
        </w:tc>
        <w:tc>
          <w:tcPr>
            <w:tcW w:type="dxa" w:w="3200"/>
          </w:tcPr>
          <w:p>
            <w:pPr>
              <w:keepLines/>
              <w:spacing w:after="0" w:line="276" w:lineRule="auto"/>
            </w:pPr>
            <w:r>
              <w:rPr>
                <w:rFonts w:ascii="Calibri" w:hAnsi="Calibri" w:eastAsia="Microsoft YaHei"/>
                <w:color w:val="0B2545"/>
                <w:sz w:val="14"/>
              </w:rPr>
              <w:t>Overview of diagnostic performance and results for the first operation phase in Wendelstein 7-X (invited)</w:t>
            </w:r>
          </w:p>
        </w:tc>
        <w:tc>
          <w:tcPr>
            <w:tcW w:type="dxa" w:w="2760"/>
          </w:tcPr>
          <w:p>
            <w:pPr>
              <w:keepLines/>
              <w:spacing w:after="0" w:line="276" w:lineRule="auto"/>
            </w:pPr>
            <w:r>
              <w:rPr>
                <w:rFonts w:ascii="Calibri" w:hAnsi="Calibri" w:eastAsia="Microsoft YaHei"/>
                <w:color w:val="0B2545"/>
                <w:sz w:val="14"/>
              </w:rPr>
              <w:t>Review of Scientific Instruments</w:t>
            </w:r>
          </w:p>
        </w:tc>
        <w:tc>
          <w:tcPr>
            <w:tcW w:type="dxa" w:w="2500"/>
          </w:tcPr>
          <w:p>
            <w:pPr>
              <w:keepLines/>
              <w:spacing w:after="0" w:line="276" w:lineRule="auto"/>
            </w:pPr>
            <w:hyperlink r:id="rId270">
              <w:r>
                <w:rPr>
                  <w:rFonts w:ascii="Calibri" w:hAnsi="Calibri" w:eastAsia="Microsoft YaHei"/>
                  <w:color w:val="008C95"/>
                  <w:u w:val="single"/>
                </w:rPr>
                <w:t>打开原始来源 ↗</w:t>
              </w:r>
            </w:hyperlink>
          </w:p>
        </w:tc>
      </w:tr>
      <w:tr>
        <w:trPr>
          <w:cantSplit/>
        </w:trPr>
        <w:tc>
          <w:tcPr>
            <w:tcW w:type="dxa" w:w="900"/>
          </w:tcPr>
          <w:p>
            <w:pPr>
              <w:keepLines/>
              <w:spacing w:after="0" w:line="276" w:lineRule="auto"/>
            </w:pPr>
            <w:r>
              <w:rPr>
                <w:rFonts w:ascii="Calibri" w:hAnsi="Calibri" w:eastAsia="Microsoft YaHei"/>
                <w:color w:val="0B2545"/>
                <w:sz w:val="14"/>
              </w:rPr>
              <w:t>2020</w:t>
            </w:r>
          </w:p>
        </w:tc>
        <w:tc>
          <w:tcPr>
            <w:tcW w:type="dxa" w:w="3200"/>
          </w:tcPr>
          <w:p>
            <w:pPr>
              <w:keepLines/>
              <w:spacing w:after="0" w:line="276" w:lineRule="auto"/>
            </w:pPr>
            <w:r>
              <w:rPr>
                <w:rFonts w:ascii="Calibri" w:hAnsi="Calibri" w:eastAsia="Microsoft YaHei"/>
                <w:color w:val="0B2545"/>
                <w:sz w:val="14"/>
              </w:rPr>
              <w:t>Observation of thermal events on the plasma facing components of Wendelstein 7-X</w:t>
            </w:r>
          </w:p>
        </w:tc>
        <w:tc>
          <w:tcPr>
            <w:tcW w:type="dxa" w:w="2760"/>
          </w:tcPr>
          <w:p>
            <w:pPr>
              <w:keepLines/>
              <w:spacing w:after="0" w:line="276" w:lineRule="auto"/>
            </w:pPr>
            <w:r>
              <w:rPr>
                <w:rFonts w:ascii="Calibri" w:hAnsi="Calibri" w:eastAsia="Microsoft YaHei"/>
                <w:color w:val="0B2545"/>
                <w:sz w:val="14"/>
              </w:rPr>
              <w:t>原始论文 / 官方来源</w:t>
            </w:r>
          </w:p>
        </w:tc>
        <w:tc>
          <w:tcPr>
            <w:tcW w:type="dxa" w:w="2500"/>
          </w:tcPr>
          <w:p>
            <w:pPr>
              <w:keepLines/>
              <w:spacing w:after="0" w:line="276" w:lineRule="auto"/>
            </w:pPr>
            <w:hyperlink r:id="rId137">
              <w:r>
                <w:rPr>
                  <w:rFonts w:ascii="Calibri" w:hAnsi="Calibri" w:eastAsia="Microsoft YaHei"/>
                  <w:color w:val="008C95"/>
                  <w:u w:val="single"/>
                </w:rPr>
                <w:t>打开原始来源 ↗</w:t>
              </w:r>
            </w:hyperlink>
          </w:p>
        </w:tc>
      </w:tr>
      <w:tr>
        <w:trPr>
          <w:cantSplit/>
        </w:trPr>
        <w:tc>
          <w:tcPr>
            <w:tcW w:type="dxa" w:w="900"/>
          </w:tcPr>
          <w:p>
            <w:pPr>
              <w:keepLines/>
              <w:spacing w:after="0" w:line="276" w:lineRule="auto"/>
            </w:pPr>
            <w:r>
              <w:rPr>
                <w:rFonts w:ascii="Calibri" w:hAnsi="Calibri" w:eastAsia="Microsoft YaHei"/>
                <w:color w:val="0B2545"/>
                <w:sz w:val="14"/>
              </w:rPr>
              <w:t>2018</w:t>
            </w:r>
          </w:p>
        </w:tc>
        <w:tc>
          <w:tcPr>
            <w:tcW w:type="dxa" w:w="3200"/>
          </w:tcPr>
          <w:p>
            <w:pPr>
              <w:keepLines/>
              <w:spacing w:after="0" w:line="276" w:lineRule="auto"/>
            </w:pPr>
            <w:r>
              <w:rPr>
                <w:rFonts w:ascii="Calibri" w:hAnsi="Calibri" w:eastAsia="Microsoft YaHei"/>
                <w:color w:val="0B2545"/>
                <w:sz w:val="14"/>
              </w:rPr>
              <w:t>Next generation web based live data monitoring for W7-X</w:t>
            </w:r>
          </w:p>
        </w:tc>
        <w:tc>
          <w:tcPr>
            <w:tcW w:type="dxa" w:w="2760"/>
          </w:tcPr>
          <w:p>
            <w:pPr>
              <w:keepLines/>
              <w:spacing w:after="0" w:line="276" w:lineRule="auto"/>
            </w:pPr>
            <w:r>
              <w:rPr>
                <w:rFonts w:ascii="Calibri" w:hAnsi="Calibri" w:eastAsia="Microsoft YaHei"/>
                <w:color w:val="0B2545"/>
                <w:sz w:val="14"/>
              </w:rPr>
              <w:t>Fusion Engineering and Design</w:t>
            </w:r>
          </w:p>
        </w:tc>
        <w:tc>
          <w:tcPr>
            <w:tcW w:type="dxa" w:w="2500"/>
          </w:tcPr>
          <w:p>
            <w:pPr>
              <w:keepLines/>
              <w:spacing w:after="0" w:line="276" w:lineRule="auto"/>
            </w:pPr>
            <w:hyperlink r:id="rId271">
              <w:r>
                <w:rPr>
                  <w:rFonts w:ascii="Calibri" w:hAnsi="Calibri" w:eastAsia="Microsoft YaHei"/>
                  <w:color w:val="008C95"/>
                  <w:u w:val="single"/>
                </w:rPr>
                <w:t>打开原始来源 ↗</w:t>
              </w:r>
            </w:hyperlink>
          </w:p>
        </w:tc>
      </w:tr>
      <w:tr>
        <w:trPr>
          <w:cantSplit/>
        </w:trPr>
        <w:tc>
          <w:tcPr>
            <w:tcW w:type="dxa" w:w="900"/>
          </w:tcPr>
          <w:p>
            <w:pPr>
              <w:keepLines/>
              <w:spacing w:after="0" w:line="276" w:lineRule="auto"/>
            </w:pPr>
            <w:r>
              <w:rPr>
                <w:rFonts w:ascii="Calibri" w:hAnsi="Calibri" w:eastAsia="Microsoft YaHei"/>
                <w:color w:val="0B2545"/>
                <w:sz w:val="14"/>
              </w:rPr>
              <w:t>软件</w:t>
            </w:r>
          </w:p>
        </w:tc>
        <w:tc>
          <w:tcPr>
            <w:tcW w:type="dxa" w:w="3200"/>
          </w:tcPr>
          <w:p>
            <w:pPr>
              <w:keepLines/>
              <w:spacing w:after="0" w:line="276" w:lineRule="auto"/>
            </w:pPr>
            <w:r>
              <w:rPr>
                <w:rFonts w:ascii="Calibri" w:hAnsi="Calibri" w:eastAsia="Microsoft YaHei"/>
                <w:color w:val="0B2545"/>
                <w:sz w:val="14"/>
              </w:rPr>
              <w:t>W7-X ArchiveDB Web API</w:t>
            </w:r>
          </w:p>
        </w:tc>
        <w:tc>
          <w:tcPr>
            <w:tcW w:type="dxa" w:w="2760"/>
          </w:tcPr>
          <w:p>
            <w:pPr>
              <w:keepLines/>
              <w:spacing w:after="0" w:line="276" w:lineRule="auto"/>
            </w:pPr>
            <w:r>
              <w:rPr>
                <w:rFonts w:ascii="Calibri" w:hAnsi="Calibri" w:eastAsia="Microsoft YaHei"/>
                <w:color w:val="0B2545"/>
                <w:sz w:val="14"/>
              </w:rPr>
              <w:t>official-enabling / 公开接口；数据产品和语义需按文档/合作规则解释</w:t>
            </w:r>
          </w:p>
        </w:tc>
        <w:tc>
          <w:tcPr>
            <w:tcW w:type="dxa" w:w="2500"/>
          </w:tcPr>
          <w:p>
            <w:pPr>
              <w:keepLines/>
              <w:spacing w:after="0" w:line="276" w:lineRule="auto"/>
            </w:pPr>
            <w:hyperlink r:id="rId272">
              <w:r>
                <w:rPr>
                  <w:rFonts w:ascii="Calibri" w:hAnsi="Calibri" w:eastAsia="Microsoft YaHei"/>
                  <w:color w:val="008C95"/>
                  <w:u w:val="single"/>
                </w:rPr>
                <w:t>打开原始来源 ↗</w:t>
              </w:r>
            </w:hyperlink>
          </w:p>
        </w:tc>
      </w:tr>
      <w:tr>
        <w:trPr>
          <w:cantSplit/>
        </w:trPr>
        <w:tc>
          <w:tcPr>
            <w:tcW w:type="dxa" w:w="900"/>
          </w:tcPr>
          <w:p>
            <w:pPr>
              <w:keepLines/>
              <w:spacing w:after="0" w:line="276" w:lineRule="auto"/>
            </w:pPr>
            <w:r>
              <w:rPr>
                <w:rFonts w:ascii="Calibri" w:hAnsi="Calibri" w:eastAsia="Microsoft YaHei"/>
                <w:color w:val="0B2545"/>
                <w:sz w:val="14"/>
              </w:rPr>
              <w:t>软件</w:t>
            </w:r>
          </w:p>
        </w:tc>
        <w:tc>
          <w:tcPr>
            <w:tcW w:type="dxa" w:w="3200"/>
          </w:tcPr>
          <w:p>
            <w:pPr>
              <w:keepLines/>
              <w:spacing w:after="0" w:line="276" w:lineRule="auto"/>
            </w:pPr>
            <w:r>
              <w:rPr>
                <w:rFonts w:ascii="Calibri" w:hAnsi="Calibri" w:eastAsia="Microsoft YaHei"/>
                <w:color w:val="0B2545"/>
                <w:sz w:val="14"/>
              </w:rPr>
              <w:t>W7-X diagnostic production code</w:t>
            </w:r>
          </w:p>
        </w:tc>
        <w:tc>
          <w:tcPr>
            <w:tcW w:type="dxa" w:w="2760"/>
          </w:tcPr>
          <w:p>
            <w:pPr>
              <w:keepLines/>
              <w:spacing w:after="0" w:line="276" w:lineRule="auto"/>
            </w:pPr>
            <w:r>
              <w:rPr>
                <w:rFonts w:ascii="Calibri" w:hAnsi="Calibri" w:eastAsia="Microsoft YaHei"/>
                <w:color w:val="0B2545"/>
                <w:sz w:val="14"/>
              </w:rPr>
              <w:t>not-public / 系统介绍页不是源码；完整生产代码未发现统一公共仓库</w:t>
            </w:r>
          </w:p>
        </w:tc>
        <w:tc>
          <w:tcPr>
            <w:tcW w:type="dxa" w:w="2500"/>
          </w:tcPr>
          <w:p>
            <w:pPr>
              <w:keepLines/>
              <w:spacing w:after="0" w:line="276" w:lineRule="auto"/>
            </w:pPr>
            <w:r>
              <w:rPr>
                <w:rFonts w:ascii="Calibri" w:hAnsi="Calibri" w:eastAsia="Microsoft YaHei"/>
                <w:color w:val="0B2545"/>
                <w:sz w:val="14"/>
              </w:rPr>
              <w:t>未公开</w:t>
            </w:r>
          </w:p>
        </w:tc>
      </w:tr>
    </w:tbl>
    <w:p>
      <w:pPr>
        <w:spacing w:before="0" w:after="60"/>
      </w:pPr>
    </w:p>
    <w:p>
      <w:pPr>
        <w:pStyle w:val="Heading2"/>
      </w:pPr>
      <w:r>
        <w:t>17.18  WEST</w:t>
      </w:r>
    </w:p>
    <w:tbl>
      <w:tblPr>
        <w:tblStyle w:val="TableGrid"/>
        <w:tblW w:type="dxa" w:w="9360"/>
        <w:jc w:val="left"/>
        <w:tblLayout w:type="fixed"/>
        <w:tblLook w:firstColumn="1" w:firstRow="1" w:lastColumn="0" w:lastRow="0" w:noHBand="0" w:noVBand="1" w:val="04A0"/>
        <w:tblInd w:w="120" w:type="dxa"/>
      </w:tblPr>
      <w:tblGrid>
        <w:gridCol w:w="1100"/>
        <w:gridCol w:w="1100"/>
        <w:gridCol w:w="2400"/>
        <w:gridCol w:w="1900"/>
        <w:gridCol w:w="2860"/>
      </w:tblGrid>
      <w:tr>
        <w:trPr>
          <w:tblHeader w:val="true"/>
        </w:trPr>
        <w:tc>
          <w:tcPr>
            <w:tcW w:type="dxa" w:w="11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类型</w:t>
            </w:r>
          </w:p>
        </w:tc>
        <w:tc>
          <w:tcPr>
            <w:tcW w:type="dxa" w:w="11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国家/地区</w:t>
            </w:r>
          </w:p>
        </w:tc>
        <w:tc>
          <w:tcPr>
            <w:tcW w:type="dxa" w:w="24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运营方</w:t>
            </w:r>
          </w:p>
        </w:tc>
        <w:tc>
          <w:tcPr>
            <w:tcW w:type="dxa" w:w="19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状态</w:t>
            </w:r>
          </w:p>
        </w:tc>
        <w:tc>
          <w:tcPr>
            <w:tcW w:type="dxa" w:w="286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覆盖任务</w:t>
            </w:r>
          </w:p>
        </w:tc>
      </w:tr>
      <w:tr>
        <w:trPr>
          <w:cantSplit/>
        </w:trPr>
        <w:tc>
          <w:tcPr>
            <w:tcW w:type="dxa" w:w="1100"/>
          </w:tcPr>
          <w:p>
            <w:pPr>
              <w:keepLines/>
              <w:spacing w:after="0" w:line="276" w:lineRule="auto"/>
            </w:pPr>
            <w:r>
              <w:rPr>
                <w:rFonts w:ascii="Calibri" w:hAnsi="Calibri" w:eastAsia="Microsoft YaHei"/>
                <w:color w:val="0B2545"/>
                <w:sz w:val="15"/>
              </w:rPr>
              <w:t>长脉冲钨环境托卡马克</w:t>
            </w:r>
          </w:p>
        </w:tc>
        <w:tc>
          <w:tcPr>
            <w:tcW w:type="dxa" w:w="1100"/>
          </w:tcPr>
          <w:p>
            <w:pPr>
              <w:keepLines/>
              <w:spacing w:after="0" w:line="276" w:lineRule="auto"/>
            </w:pPr>
            <w:r>
              <w:rPr>
                <w:rFonts w:ascii="Calibri" w:hAnsi="Calibri" w:eastAsia="Microsoft YaHei"/>
                <w:color w:val="0B2545"/>
                <w:sz w:val="15"/>
              </w:rPr>
              <w:t>法国</w:t>
            </w:r>
          </w:p>
        </w:tc>
        <w:tc>
          <w:tcPr>
            <w:tcW w:type="dxa" w:w="2400"/>
          </w:tcPr>
          <w:p>
            <w:pPr>
              <w:keepLines/>
              <w:spacing w:after="0" w:line="276" w:lineRule="auto"/>
            </w:pPr>
            <w:r>
              <w:rPr>
                <w:rFonts w:ascii="Calibri" w:hAnsi="Calibri" w:eastAsia="Microsoft YaHei"/>
                <w:color w:val="0B2545"/>
                <w:sz w:val="15"/>
              </w:rPr>
              <w:t>CEA-IRFM / EUROfusion</w:t>
            </w:r>
          </w:p>
        </w:tc>
        <w:tc>
          <w:tcPr>
            <w:tcW w:type="dxa" w:w="1900"/>
          </w:tcPr>
          <w:p>
            <w:pPr>
              <w:keepLines/>
              <w:spacing w:after="0" w:line="276" w:lineRule="auto"/>
            </w:pPr>
            <w:r>
              <w:rPr>
                <w:rFonts w:ascii="Calibri" w:hAnsi="Calibri" w:eastAsia="Microsoft YaHei"/>
                <w:color w:val="0B2545"/>
                <w:sz w:val="15"/>
              </w:rPr>
              <w:t>运行中的长脉冲研究装置</w:t>
            </w:r>
          </w:p>
        </w:tc>
        <w:tc>
          <w:tcPr>
            <w:tcW w:type="dxa" w:w="2860"/>
          </w:tcPr>
          <w:p>
            <w:pPr>
              <w:keepLines/>
              <w:spacing w:after="0" w:line="276" w:lineRule="auto"/>
            </w:pPr>
            <w:r>
              <w:rPr>
                <w:rFonts w:ascii="Calibri" w:hAnsi="Calibri" w:eastAsia="Microsoft YaHei"/>
                <w:color w:val="0B2545"/>
                <w:sz w:val="15"/>
              </w:rPr>
              <w:t>DG0；DG1；DG2；DG4；DG6；DG7；DG8；DG9；DG11</w:t>
            </w:r>
          </w:p>
        </w:tc>
      </w:tr>
    </w:tbl>
    <w:p>
      <w:pPr>
        <w:spacing w:before="0" w:after="60"/>
      </w:pPr>
    </w:p>
    <w:p>
      <w:pPr>
        <w:widowControl/>
      </w:pPr>
      <w:r>
        <w:rPr>
          <w:rFonts w:ascii="Calibri" w:hAnsi="Calibri" w:eastAsia="Microsoft YaHei"/>
          <w:b/>
          <w:color w:val="1F4D78"/>
        </w:rPr>
        <w:t>诊断概况：</w:t>
      </w:r>
      <w:r>
        <w:rPr>
          <w:rFonts w:ascii="Calibri" w:hAnsi="Calibri" w:eastAsia="Microsoft YaHei"/>
        </w:rPr>
        <w:t>WEST 的诊断重点是主动冷却钨偏滤器、长脉冲壁状态和稳态场景。红外壁监视、超高分辨率热成像、FBG/热电偶、可见/X 射线、ECEI、磁与核心剖面诊断一方面服务物理分析，另一方面通过 Wall Monitoring System 进入实时保护/功率退让。</w:t>
      </w:r>
    </w:p>
    <w:p>
      <w:pPr>
        <w:widowControl/>
      </w:pPr>
      <w:r>
        <w:rPr>
          <w:rFonts w:ascii="Calibri" w:hAnsi="Calibri" w:eastAsia="Microsoft YaHei"/>
          <w:b/>
          <w:color w:val="1F4D78"/>
        </w:rPr>
        <w:t>主要系统：</w:t>
      </w:r>
      <w:r>
        <w:rPr>
          <w:rFonts w:ascii="Calibri" w:hAnsi="Calibri" w:eastAsia="Microsoft YaHei"/>
        </w:rPr>
        <w:t>family: pfc-thermal；systems: wide-angle IR endoscopes；high-resolution IR endoscope；FBG/thermocouple arrays；visible cameras；measuredQuantities: surface temperature；hot spots；heat load/thermal events；evidence: E4/D4；realTimeUse: WMS → PCS/RF actuators；family: plasma；systems: magnetics；interferometry；ECE/ECEI；spectroscopy；X-ray/bolometry；measuredQuantities: equilibrium；ne/Te；MHD/radiation/impurity；evidence: E3-E4/D3-D4；ECEI commissioning history must be versioned；realTimeUse: selected parameters</w:t>
      </w:r>
    </w:p>
    <w:p>
      <w:pPr>
        <w:widowControl/>
      </w:pPr>
      <w:r>
        <w:rPr>
          <w:rFonts w:ascii="Calibri" w:hAnsi="Calibri" w:eastAsia="Microsoft YaHei"/>
          <w:b/>
          <w:color w:val="1F4D78"/>
        </w:rPr>
        <w:t>测量/传感：</w:t>
      </w:r>
      <w:r>
        <w:rPr>
          <w:rFonts w:ascii="Calibri" w:hAnsi="Calibri" w:eastAsia="Microsoft YaHei"/>
        </w:rPr>
        <w:t>IR/visible cameras and endoscopes；FBG and thermocouples；magnetic coils；ECE receivers；CdTe X-ray detector；spectrometers</w:t>
      </w:r>
    </w:p>
    <w:p>
      <w:pPr>
        <w:widowControl/>
      </w:pPr>
      <w:r>
        <w:rPr>
          <w:rFonts w:ascii="Calibri" w:hAnsi="Calibri" w:eastAsia="Microsoft YaHei"/>
          <w:b/>
          <w:color w:val="1F4D78"/>
        </w:rPr>
        <w:t>实时与 PCS 接口：</w:t>
      </w:r>
      <w:r>
        <w:rPr>
          <w:rFonts w:ascii="Calibri" w:hAnsi="Calibri" w:eastAsia="Microsoft YaHei"/>
        </w:rPr>
        <w:t>WMS to central PCS；shared-memory/real-time imaging chain；verified RF command path for thermal protection</w:t>
      </w:r>
    </w:p>
    <w:p>
      <w:pPr>
        <w:widowControl/>
      </w:pPr>
      <w:r>
        <w:rPr>
          <w:rFonts w:ascii="Calibri" w:hAnsi="Calibri" w:eastAsia="Microsoft YaHei"/>
          <w:b/>
          <w:color w:val="1F4D78"/>
        </w:rPr>
        <w:t>数据平台：</w:t>
      </w:r>
      <w:r>
        <w:rPr>
          <w:rFonts w:ascii="Calibri" w:hAnsi="Calibri" w:eastAsia="Microsoft YaHei"/>
        </w:rPr>
        <w:t>systems: WEST facility archive；real-time WMS streams；access: collaboration access; papers/selected data public；evidence: CEA/IRFM primary reports and papers</w:t>
      </w:r>
    </w:p>
    <w:p>
      <w:pPr>
        <w:widowControl/>
      </w:pPr>
      <w:r>
        <w:rPr>
          <w:rFonts w:ascii="Calibri" w:hAnsi="Calibri" w:eastAsia="Microsoft YaHei"/>
          <w:b/>
          <w:color w:val="1F4D78"/>
        </w:rPr>
        <w:t>代表工作概述：</w:t>
      </w:r>
      <w:r>
        <w:rPr>
          <w:rFonts w:ascii="Calibri" w:hAnsi="Calibri" w:eastAsia="Microsoft YaHei"/>
        </w:rPr>
        <w:t>红外 Wall Monitoring System 与 RF 退让；100 µm 级高分辨率 divertor thermography；FBG 在下偏滤器超过 2600 炮的温度数据库；CIVA/IR synthetic diagnostic 支持视线、遮挡和温度反演</w:t>
      </w:r>
    </w:p>
    <w:p>
      <w:pPr>
        <w:widowControl/>
      </w:pPr>
      <w:r>
        <w:rPr>
          <w:rFonts w:ascii="Calibri" w:hAnsi="Calibri" w:eastAsia="Microsoft YaHei"/>
          <w:b/>
          <w:color w:val="1F4D78"/>
        </w:rPr>
        <w:t>证据边界：</w:t>
      </w:r>
      <w:r>
        <w:rPr>
          <w:rFonts w:ascii="Calibri" w:hAnsi="Calibri" w:eastAsia="Microsoft YaHei"/>
        </w:rPr>
        <w:t>IR 温度受发射率、反射、沉积、遮挡和几何映射影响；FBG 需区分温度/应变交叉敏感与高温漂移；特定热保护统计不能代表全机可用率或安全等级</w:t>
      </w:r>
    </w:p>
    <w:tbl>
      <w:tblPr>
        <w:tblStyle w:val="TableGrid"/>
        <w:tblW w:type="dxa" w:w="9360"/>
        <w:jc w:val="left"/>
        <w:tblLayout w:type="fixed"/>
        <w:tblLook w:firstColumn="1" w:firstRow="1" w:lastColumn="0" w:lastRow="0" w:noHBand="0" w:noVBand="1" w:val="04A0"/>
        <w:tblInd w:w="120" w:type="dxa"/>
      </w:tblPr>
      <w:tblGrid>
        <w:gridCol w:w="1200"/>
        <w:gridCol w:w="750"/>
        <w:gridCol w:w="5300"/>
        <w:gridCol w:w="950"/>
        <w:gridCol w:w="1160"/>
      </w:tblGrid>
      <w:tr>
        <w:trPr>
          <w:tblHeader w:val="true"/>
        </w:trPr>
        <w:tc>
          <w:tcPr>
            <w:tcW w:type="dxa" w:w="12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工作 ID</w:t>
            </w:r>
          </w:p>
        </w:tc>
        <w:tc>
          <w:tcPr>
            <w:tcW w:type="dxa" w:w="7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任务</w:t>
            </w:r>
          </w:p>
        </w:tc>
        <w:tc>
          <w:tcPr>
            <w:tcW w:type="dxa" w:w="53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代表工作</w:t>
            </w:r>
          </w:p>
        </w:tc>
        <w:tc>
          <w:tcPr>
            <w:tcW w:type="dxa" w:w="9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证据</w:t>
            </w:r>
          </w:p>
        </w:tc>
        <w:tc>
          <w:tcPr>
            <w:tcW w:type="dxa" w:w="116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5"/>
              </w:rPr>
              <w:t>部署</w:t>
            </w:r>
          </w:p>
        </w:tc>
      </w:tr>
      <w:tr>
        <w:trPr>
          <w:cantSplit/>
        </w:trPr>
        <w:tc>
          <w:tcPr>
            <w:tcW w:type="dxa" w:w="1200"/>
          </w:tcPr>
          <w:p>
            <w:pPr>
              <w:keepLines/>
              <w:spacing w:after="0" w:line="276" w:lineRule="auto"/>
            </w:pPr>
            <w:r>
              <w:rPr>
                <w:rFonts w:ascii="Calibri" w:hAnsi="Calibri" w:eastAsia="Microsoft YaHei"/>
                <w:color w:val="0B2545"/>
                <w:sz w:val="15"/>
              </w:rPr>
              <w:t>PDT-004</w:t>
            </w:r>
          </w:p>
        </w:tc>
        <w:tc>
          <w:tcPr>
            <w:tcW w:type="dxa" w:w="750"/>
          </w:tcPr>
          <w:p>
            <w:pPr>
              <w:keepLines/>
              <w:spacing w:after="0" w:line="276" w:lineRule="auto"/>
            </w:pPr>
            <w:r>
              <w:rPr>
                <w:rFonts w:ascii="Calibri" w:hAnsi="Calibri" w:eastAsia="Microsoft YaHei"/>
                <w:color w:val="0B2545"/>
                <w:sz w:val="15"/>
              </w:rPr>
              <w:t>DG8</w:t>
            </w:r>
          </w:p>
        </w:tc>
        <w:tc>
          <w:tcPr>
            <w:tcW w:type="dxa" w:w="5300"/>
          </w:tcPr>
          <w:p>
            <w:pPr>
              <w:keepLines/>
              <w:spacing w:after="0" w:line="276" w:lineRule="auto"/>
            </w:pPr>
            <w:r>
              <w:rPr>
                <w:rFonts w:ascii="Calibri" w:hAnsi="Calibri" w:eastAsia="Microsoft YaHei"/>
                <w:color w:val="0B2545"/>
                <w:sz w:val="15"/>
              </w:rPr>
              <w:t>WEST 红外壁监视到射频功率退让的实时闭环</w:t>
            </w:r>
          </w:p>
        </w:tc>
        <w:tc>
          <w:tcPr>
            <w:tcW w:type="dxa" w:w="950"/>
          </w:tcPr>
          <w:p>
            <w:pPr>
              <w:keepLines/>
              <w:spacing w:after="0" w:line="276" w:lineRule="auto"/>
            </w:pPr>
            <w:r>
              <w:rPr>
                <w:rFonts w:ascii="Calibri" w:hAnsi="Calibri" w:eastAsia="Microsoft YaHei"/>
                <w:color w:val="0B2545"/>
                <w:sz w:val="15"/>
              </w:rPr>
              <w:t>E4</w:t>
            </w:r>
          </w:p>
        </w:tc>
        <w:tc>
          <w:tcPr>
            <w:tcW w:type="dxa" w:w="1160"/>
          </w:tcPr>
          <w:p>
            <w:pPr>
              <w:keepLines/>
              <w:spacing w:after="0" w:line="276" w:lineRule="auto"/>
            </w:pPr>
            <w:r>
              <w:rPr>
                <w:rFonts w:ascii="Calibri" w:hAnsi="Calibri" w:eastAsia="Microsoft YaHei"/>
                <w:color w:val="0B2545"/>
                <w:sz w:val="15"/>
              </w:rPr>
              <w:t>D4</w:t>
            </w:r>
          </w:p>
        </w:tc>
      </w:tr>
      <w:tr>
        <w:trPr>
          <w:cantSplit/>
        </w:trPr>
        <w:tc>
          <w:tcPr>
            <w:tcW w:type="dxa" w:w="1200"/>
          </w:tcPr>
          <w:p>
            <w:pPr>
              <w:keepLines/>
              <w:spacing w:after="0" w:line="276" w:lineRule="auto"/>
            </w:pPr>
            <w:r>
              <w:rPr>
                <w:rFonts w:ascii="Calibri" w:hAnsi="Calibri" w:eastAsia="Microsoft YaHei"/>
                <w:color w:val="0B2545"/>
                <w:sz w:val="15"/>
              </w:rPr>
              <w:t>PDT-005</w:t>
            </w:r>
          </w:p>
        </w:tc>
        <w:tc>
          <w:tcPr>
            <w:tcW w:type="dxa" w:w="750"/>
          </w:tcPr>
          <w:p>
            <w:pPr>
              <w:keepLines/>
              <w:spacing w:after="0" w:line="276" w:lineRule="auto"/>
            </w:pPr>
            <w:r>
              <w:rPr>
                <w:rFonts w:ascii="Calibri" w:hAnsi="Calibri" w:eastAsia="Microsoft YaHei"/>
                <w:color w:val="0B2545"/>
                <w:sz w:val="15"/>
              </w:rPr>
              <w:t>DG8</w:t>
            </w:r>
          </w:p>
        </w:tc>
        <w:tc>
          <w:tcPr>
            <w:tcW w:type="dxa" w:w="5300"/>
          </w:tcPr>
          <w:p>
            <w:pPr>
              <w:keepLines/>
              <w:spacing w:after="0" w:line="276" w:lineRule="auto"/>
            </w:pPr>
            <w:r>
              <w:rPr>
                <w:rFonts w:ascii="Calibri" w:hAnsi="Calibri" w:eastAsia="Microsoft YaHei"/>
                <w:color w:val="0B2545"/>
                <w:sz w:val="15"/>
              </w:rPr>
              <w:t>WEST 下偏滤器 FBG 多点温度长期监测</w:t>
            </w:r>
          </w:p>
        </w:tc>
        <w:tc>
          <w:tcPr>
            <w:tcW w:type="dxa" w:w="950"/>
          </w:tcPr>
          <w:p>
            <w:pPr>
              <w:keepLines/>
              <w:spacing w:after="0" w:line="276" w:lineRule="auto"/>
            </w:pPr>
            <w:r>
              <w:rPr>
                <w:rFonts w:ascii="Calibri" w:hAnsi="Calibri" w:eastAsia="Microsoft YaHei"/>
                <w:color w:val="0B2545"/>
                <w:sz w:val="15"/>
              </w:rPr>
              <w:t>E4</w:t>
            </w:r>
          </w:p>
        </w:tc>
        <w:tc>
          <w:tcPr>
            <w:tcW w:type="dxa" w:w="1160"/>
          </w:tcPr>
          <w:p>
            <w:pPr>
              <w:keepLines/>
              <w:spacing w:after="0" w:line="276" w:lineRule="auto"/>
            </w:pPr>
            <w:r>
              <w:rPr>
                <w:rFonts w:ascii="Calibri" w:hAnsi="Calibri" w:eastAsia="Microsoft YaHei"/>
                <w:color w:val="0B2545"/>
                <w:sz w:val="15"/>
              </w:rPr>
              <w:t>D4</w:t>
            </w:r>
          </w:p>
        </w:tc>
      </w:tr>
      <w:tr>
        <w:trPr>
          <w:cantSplit/>
        </w:trPr>
        <w:tc>
          <w:tcPr>
            <w:tcW w:type="dxa" w:w="1200"/>
          </w:tcPr>
          <w:p>
            <w:pPr>
              <w:keepLines/>
              <w:spacing w:after="0" w:line="276" w:lineRule="auto"/>
            </w:pPr>
            <w:r>
              <w:rPr>
                <w:rFonts w:ascii="Calibri" w:hAnsi="Calibri" w:eastAsia="Microsoft YaHei"/>
                <w:color w:val="0B2545"/>
                <w:sz w:val="15"/>
              </w:rPr>
              <w:t>DSI-001</w:t>
            </w:r>
          </w:p>
        </w:tc>
        <w:tc>
          <w:tcPr>
            <w:tcW w:type="dxa" w:w="750"/>
          </w:tcPr>
          <w:p>
            <w:pPr>
              <w:keepLines/>
              <w:spacing w:after="0" w:line="276" w:lineRule="auto"/>
            </w:pPr>
            <w:r>
              <w:rPr>
                <w:rFonts w:ascii="Calibri" w:hAnsi="Calibri" w:eastAsia="Microsoft YaHei"/>
                <w:color w:val="0B2545"/>
                <w:sz w:val="15"/>
              </w:rPr>
              <w:t>DG0</w:t>
            </w:r>
          </w:p>
        </w:tc>
        <w:tc>
          <w:tcPr>
            <w:tcW w:type="dxa" w:w="5300"/>
          </w:tcPr>
          <w:p>
            <w:pPr>
              <w:keepLines/>
              <w:spacing w:after="0" w:line="276" w:lineRule="auto"/>
            </w:pPr>
            <w:r>
              <w:rPr>
                <w:rFonts w:ascii="Calibri" w:hAnsi="Calibri" w:eastAsia="Microsoft YaHei"/>
                <w:color w:val="0B2545"/>
                <w:sz w:val="15"/>
              </w:rPr>
              <w:t>IMAS 接口数据结构与数据字典</w:t>
            </w:r>
          </w:p>
        </w:tc>
        <w:tc>
          <w:tcPr>
            <w:tcW w:type="dxa" w:w="950"/>
          </w:tcPr>
          <w:p>
            <w:pPr>
              <w:keepLines/>
              <w:spacing w:after="0" w:line="276" w:lineRule="auto"/>
            </w:pPr>
            <w:r>
              <w:rPr>
                <w:rFonts w:ascii="Calibri" w:hAnsi="Calibri" w:eastAsia="Microsoft YaHei"/>
                <w:color w:val="0B2545"/>
                <w:sz w:val="15"/>
              </w:rPr>
              <w:t>E3</w:t>
            </w:r>
          </w:p>
        </w:tc>
        <w:tc>
          <w:tcPr>
            <w:tcW w:type="dxa" w:w="1160"/>
          </w:tcPr>
          <w:p>
            <w:pPr>
              <w:keepLines/>
              <w:spacing w:after="0" w:line="276" w:lineRule="auto"/>
            </w:pPr>
            <w:r>
              <w:rPr>
                <w:rFonts w:ascii="Calibri" w:hAnsi="Calibri" w:eastAsia="Microsoft YaHei"/>
                <w:color w:val="0B2545"/>
                <w:sz w:val="15"/>
              </w:rPr>
              <w:t>D3</w:t>
            </w:r>
          </w:p>
        </w:tc>
      </w:tr>
      <w:tr>
        <w:trPr>
          <w:cantSplit/>
        </w:trPr>
        <w:tc>
          <w:tcPr>
            <w:tcW w:type="dxa" w:w="1200"/>
          </w:tcPr>
          <w:p>
            <w:pPr>
              <w:keepLines/>
              <w:spacing w:after="0" w:line="276" w:lineRule="auto"/>
            </w:pPr>
            <w:r>
              <w:rPr>
                <w:rFonts w:ascii="Calibri" w:hAnsi="Calibri" w:eastAsia="Microsoft YaHei"/>
                <w:color w:val="0B2545"/>
                <w:sz w:val="15"/>
              </w:rPr>
              <w:t>DG2-010</w:t>
            </w:r>
          </w:p>
        </w:tc>
        <w:tc>
          <w:tcPr>
            <w:tcW w:type="dxa" w:w="750"/>
          </w:tcPr>
          <w:p>
            <w:pPr>
              <w:keepLines/>
              <w:spacing w:after="0" w:line="276" w:lineRule="auto"/>
            </w:pPr>
            <w:r>
              <w:rPr>
                <w:rFonts w:ascii="Calibri" w:hAnsi="Calibri" w:eastAsia="Microsoft YaHei"/>
                <w:color w:val="0B2545"/>
                <w:sz w:val="15"/>
              </w:rPr>
              <w:t>DG2</w:t>
            </w:r>
          </w:p>
        </w:tc>
        <w:tc>
          <w:tcPr>
            <w:tcW w:type="dxa" w:w="5300"/>
          </w:tcPr>
          <w:p>
            <w:pPr>
              <w:keepLines/>
              <w:spacing w:after="0" w:line="276" w:lineRule="auto"/>
            </w:pPr>
            <w:r>
              <w:rPr>
                <w:rFonts w:ascii="Calibri" w:hAnsi="Calibri" w:eastAsia="Microsoft YaHei"/>
                <w:color w:val="0B2545"/>
                <w:sz w:val="15"/>
              </w:rPr>
              <w:t>扫频/脉冲反射计：密度剖面和实时映射</w:t>
            </w:r>
          </w:p>
        </w:tc>
        <w:tc>
          <w:tcPr>
            <w:tcW w:type="dxa" w:w="950"/>
          </w:tcPr>
          <w:p>
            <w:pPr>
              <w:keepLines/>
              <w:spacing w:after="0" w:line="276" w:lineRule="auto"/>
            </w:pPr>
            <w:r>
              <w:rPr>
                <w:rFonts w:ascii="Calibri" w:hAnsi="Calibri" w:eastAsia="Microsoft YaHei"/>
                <w:color w:val="0B2545"/>
                <w:sz w:val="15"/>
              </w:rPr>
              <w:t>E3</w:t>
            </w:r>
          </w:p>
        </w:tc>
        <w:tc>
          <w:tcPr>
            <w:tcW w:type="dxa" w:w="1160"/>
          </w:tcPr>
          <w:p>
            <w:pPr>
              <w:keepLines/>
              <w:spacing w:after="0" w:line="276" w:lineRule="auto"/>
            </w:pPr>
            <w:r>
              <w:rPr>
                <w:rFonts w:ascii="Calibri" w:hAnsi="Calibri" w:eastAsia="Microsoft YaHei"/>
                <w:color w:val="0B2545"/>
                <w:sz w:val="15"/>
              </w:rPr>
              <w:t>D3</w:t>
            </w:r>
          </w:p>
        </w:tc>
      </w:tr>
      <w:tr>
        <w:trPr>
          <w:cantSplit/>
        </w:trPr>
        <w:tc>
          <w:tcPr>
            <w:tcW w:type="dxa" w:w="1200"/>
          </w:tcPr>
          <w:p>
            <w:pPr>
              <w:keepLines/>
              <w:spacing w:after="0" w:line="276" w:lineRule="auto"/>
            </w:pPr>
            <w:r>
              <w:rPr>
                <w:rFonts w:ascii="Calibri" w:hAnsi="Calibri" w:eastAsia="Microsoft YaHei"/>
                <w:color w:val="0B2545"/>
                <w:sz w:val="15"/>
              </w:rPr>
              <w:t>DG7-037</w:t>
            </w:r>
          </w:p>
        </w:tc>
        <w:tc>
          <w:tcPr>
            <w:tcW w:type="dxa" w:w="750"/>
          </w:tcPr>
          <w:p>
            <w:pPr>
              <w:keepLines/>
              <w:spacing w:after="0" w:line="276" w:lineRule="auto"/>
            </w:pPr>
            <w:r>
              <w:rPr>
                <w:rFonts w:ascii="Calibri" w:hAnsi="Calibri" w:eastAsia="Microsoft YaHei"/>
                <w:color w:val="0B2545"/>
                <w:sz w:val="15"/>
              </w:rPr>
              <w:t>DG7</w:t>
            </w:r>
          </w:p>
        </w:tc>
        <w:tc>
          <w:tcPr>
            <w:tcW w:type="dxa" w:w="5300"/>
          </w:tcPr>
          <w:p>
            <w:pPr>
              <w:keepLines/>
              <w:spacing w:after="0" w:line="276" w:lineRule="auto"/>
            </w:pPr>
            <w:r>
              <w:rPr>
                <w:rFonts w:ascii="Calibri" w:hAnsi="Calibri" w:eastAsia="Microsoft YaHei"/>
                <w:color w:val="0B2545"/>
                <w:sz w:val="15"/>
              </w:rPr>
              <w:t>红外热成像：PFC表面温度与热流</w:t>
            </w:r>
          </w:p>
        </w:tc>
        <w:tc>
          <w:tcPr>
            <w:tcW w:type="dxa" w:w="950"/>
          </w:tcPr>
          <w:p>
            <w:pPr>
              <w:keepLines/>
              <w:spacing w:after="0" w:line="276" w:lineRule="auto"/>
            </w:pPr>
            <w:r>
              <w:rPr>
                <w:rFonts w:ascii="Calibri" w:hAnsi="Calibri" w:eastAsia="Microsoft YaHei"/>
                <w:color w:val="0B2545"/>
                <w:sz w:val="15"/>
              </w:rPr>
              <w:t>E2</w:t>
            </w:r>
          </w:p>
        </w:tc>
        <w:tc>
          <w:tcPr>
            <w:tcW w:type="dxa" w:w="1160"/>
          </w:tcPr>
          <w:p>
            <w:pPr>
              <w:keepLines/>
              <w:spacing w:after="0" w:line="276" w:lineRule="auto"/>
            </w:pPr>
            <w:r>
              <w:rPr>
                <w:rFonts w:ascii="Calibri" w:hAnsi="Calibri" w:eastAsia="Microsoft YaHei"/>
                <w:color w:val="0B2545"/>
                <w:sz w:val="15"/>
              </w:rPr>
              <w:t>D2</w:t>
            </w:r>
          </w:p>
        </w:tc>
      </w:tr>
      <w:tr>
        <w:trPr>
          <w:cantSplit/>
        </w:trPr>
        <w:tc>
          <w:tcPr>
            <w:tcW w:type="dxa" w:w="1200"/>
          </w:tcPr>
          <w:p>
            <w:pPr>
              <w:keepLines/>
              <w:spacing w:after="0" w:line="276" w:lineRule="auto"/>
            </w:pPr>
            <w:r>
              <w:rPr>
                <w:rFonts w:ascii="Calibri" w:hAnsi="Calibri" w:eastAsia="Microsoft YaHei"/>
                <w:color w:val="0B2545"/>
                <w:sz w:val="15"/>
              </w:rPr>
              <w:t>DSI-013</w:t>
            </w:r>
          </w:p>
        </w:tc>
        <w:tc>
          <w:tcPr>
            <w:tcW w:type="dxa" w:w="750"/>
          </w:tcPr>
          <w:p>
            <w:pPr>
              <w:keepLines/>
              <w:spacing w:after="0" w:line="276" w:lineRule="auto"/>
            </w:pPr>
            <w:r>
              <w:rPr>
                <w:rFonts w:ascii="Calibri" w:hAnsi="Calibri" w:eastAsia="Microsoft YaHei"/>
                <w:color w:val="0B2545"/>
                <w:sz w:val="15"/>
              </w:rPr>
              <w:t>DG9</w:t>
            </w:r>
          </w:p>
        </w:tc>
        <w:tc>
          <w:tcPr>
            <w:tcW w:type="dxa" w:w="5300"/>
          </w:tcPr>
          <w:p>
            <w:pPr>
              <w:keepLines/>
              <w:spacing w:after="0" w:line="276" w:lineRule="auto"/>
            </w:pPr>
            <w:r>
              <w:rPr>
                <w:rFonts w:ascii="Calibri" w:hAnsi="Calibri" w:eastAsia="Microsoft YaHei"/>
                <w:color w:val="0B2545"/>
                <w:sz w:val="15"/>
              </w:rPr>
              <w:t>ToFu 三维几何、辐射前向模型与层析工具箱</w:t>
            </w:r>
          </w:p>
        </w:tc>
        <w:tc>
          <w:tcPr>
            <w:tcW w:type="dxa" w:w="950"/>
          </w:tcPr>
          <w:p>
            <w:pPr>
              <w:keepLines/>
              <w:spacing w:after="0" w:line="276" w:lineRule="auto"/>
            </w:pPr>
            <w:r>
              <w:rPr>
                <w:rFonts w:ascii="Calibri" w:hAnsi="Calibri" w:eastAsia="Microsoft YaHei"/>
                <w:color w:val="0B2545"/>
                <w:sz w:val="15"/>
              </w:rPr>
              <w:t>E2</w:t>
            </w:r>
          </w:p>
        </w:tc>
        <w:tc>
          <w:tcPr>
            <w:tcW w:type="dxa" w:w="1160"/>
          </w:tcPr>
          <w:p>
            <w:pPr>
              <w:keepLines/>
              <w:spacing w:after="0" w:line="276" w:lineRule="auto"/>
            </w:pPr>
            <w:r>
              <w:rPr>
                <w:rFonts w:ascii="Calibri" w:hAnsi="Calibri" w:eastAsia="Microsoft YaHei"/>
                <w:color w:val="0B2545"/>
                <w:sz w:val="15"/>
              </w:rPr>
              <w:t>D2</w:t>
            </w:r>
          </w:p>
        </w:tc>
      </w:tr>
    </w:tbl>
    <w:p>
      <w:pPr>
        <w:spacing w:before="0" w:after="60"/>
      </w:pPr>
    </w:p>
    <w:tbl>
      <w:tblPr>
        <w:tblStyle w:val="TableGrid"/>
        <w:tblW w:type="dxa" w:w="9360"/>
        <w:jc w:val="left"/>
        <w:tblLayout w:type="fixed"/>
        <w:tblLook w:firstColumn="1" w:firstRow="1" w:lastColumn="0" w:lastRow="0" w:noHBand="0" w:noVBand="1" w:val="04A0"/>
        <w:tblInd w:w="120" w:type="dxa"/>
      </w:tblPr>
      <w:tblGrid>
        <w:gridCol w:w="900"/>
        <w:gridCol w:w="3200"/>
        <w:gridCol w:w="2760"/>
        <w:gridCol w:w="2500"/>
      </w:tblGrid>
      <w:tr>
        <w:trPr>
          <w:tblHeader w:val="true"/>
        </w:trPr>
        <w:tc>
          <w:tcPr>
            <w:tcW w:type="dxa" w:w="9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年份/类型</w:t>
            </w:r>
          </w:p>
        </w:tc>
        <w:tc>
          <w:tcPr>
            <w:tcW w:type="dxa" w:w="32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论文或软件</w:t>
            </w:r>
          </w:p>
        </w:tc>
        <w:tc>
          <w:tcPr>
            <w:tcW w:type="dxa" w:w="276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来源/关系</w:t>
            </w:r>
          </w:p>
        </w:tc>
        <w:tc>
          <w:tcPr>
            <w:tcW w:type="dxa" w:w="25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4"/>
              </w:rPr>
              <w:t>链接</w:t>
            </w:r>
          </w:p>
        </w:tc>
      </w:tr>
      <w:tr>
        <w:trPr>
          <w:cantSplit/>
        </w:trPr>
        <w:tc>
          <w:tcPr>
            <w:tcW w:type="dxa" w:w="900"/>
          </w:tcPr>
          <w:p>
            <w:pPr>
              <w:keepLines/>
              <w:spacing w:after="0" w:line="276" w:lineRule="auto"/>
            </w:pPr>
            <w:r>
              <w:rPr>
                <w:rFonts w:ascii="Calibri" w:hAnsi="Calibri" w:eastAsia="Microsoft YaHei"/>
                <w:color w:val="0B2545"/>
                <w:sz w:val="14"/>
              </w:rPr>
              <w:t>2021</w:t>
            </w:r>
          </w:p>
        </w:tc>
        <w:tc>
          <w:tcPr>
            <w:tcW w:type="dxa" w:w="3200"/>
          </w:tcPr>
          <w:p>
            <w:pPr>
              <w:keepLines/>
              <w:spacing w:after="0" w:line="276" w:lineRule="auto"/>
            </w:pPr>
            <w:r>
              <w:rPr>
                <w:rFonts w:ascii="Calibri" w:hAnsi="Calibri" w:eastAsia="Microsoft YaHei"/>
                <w:color w:val="0B2545"/>
                <w:sz w:val="14"/>
              </w:rPr>
              <w:t>WEST operation with real time feed back control based on wall component temperature toward machine protection in a steady state tungsten environment</w:t>
            </w:r>
          </w:p>
        </w:tc>
        <w:tc>
          <w:tcPr>
            <w:tcW w:type="dxa" w:w="2760"/>
          </w:tcPr>
          <w:p>
            <w:pPr>
              <w:keepLines/>
              <w:spacing w:after="0" w:line="276" w:lineRule="auto"/>
            </w:pPr>
            <w:r>
              <w:rPr>
                <w:rFonts w:ascii="Calibri" w:hAnsi="Calibri" w:eastAsia="Microsoft YaHei"/>
                <w:color w:val="0B2545"/>
                <w:sz w:val="14"/>
              </w:rPr>
              <w:t>原始论文 / 官方来源</w:t>
            </w:r>
          </w:p>
        </w:tc>
        <w:tc>
          <w:tcPr>
            <w:tcW w:type="dxa" w:w="2500"/>
          </w:tcPr>
          <w:p>
            <w:pPr>
              <w:keepLines/>
              <w:spacing w:after="0" w:line="276" w:lineRule="auto"/>
            </w:pPr>
            <w:hyperlink r:id="rId135">
              <w:r>
                <w:rPr>
                  <w:rFonts w:ascii="Calibri" w:hAnsi="Calibri" w:eastAsia="Microsoft YaHei"/>
                  <w:color w:val="008C95"/>
                  <w:u w:val="single"/>
                </w:rPr>
                <w:t>打开原始来源 ↗</w:t>
              </w:r>
            </w:hyperlink>
          </w:p>
        </w:tc>
      </w:tr>
      <w:tr>
        <w:trPr>
          <w:cantSplit/>
        </w:trPr>
        <w:tc>
          <w:tcPr>
            <w:tcW w:type="dxa" w:w="900"/>
          </w:tcPr>
          <w:p>
            <w:pPr>
              <w:keepLines/>
              <w:spacing w:after="0" w:line="276" w:lineRule="auto"/>
            </w:pPr>
            <w:r>
              <w:rPr>
                <w:rFonts w:ascii="Calibri" w:hAnsi="Calibri" w:eastAsia="Microsoft YaHei"/>
                <w:color w:val="0B2545"/>
                <w:sz w:val="14"/>
              </w:rPr>
              <w:t>2021</w:t>
            </w:r>
          </w:p>
        </w:tc>
        <w:tc>
          <w:tcPr>
            <w:tcW w:type="dxa" w:w="3200"/>
          </w:tcPr>
          <w:p>
            <w:pPr>
              <w:keepLines/>
              <w:spacing w:after="0" w:line="276" w:lineRule="auto"/>
            </w:pPr>
            <w:r>
              <w:rPr>
                <w:rFonts w:ascii="Calibri" w:hAnsi="Calibri" w:eastAsia="Microsoft YaHei"/>
                <w:color w:val="0B2545"/>
                <w:sz w:val="14"/>
              </w:rPr>
              <w:t>First temperature database achieved with Fiber Bragg Grating sensors in uncooled plasma facing components of the WEST lower divertor</w:t>
            </w:r>
          </w:p>
        </w:tc>
        <w:tc>
          <w:tcPr>
            <w:tcW w:type="dxa" w:w="2760"/>
          </w:tcPr>
          <w:p>
            <w:pPr>
              <w:keepLines/>
              <w:spacing w:after="0" w:line="276" w:lineRule="auto"/>
            </w:pPr>
            <w:r>
              <w:rPr>
                <w:rFonts w:ascii="Calibri" w:hAnsi="Calibri" w:eastAsia="Microsoft YaHei"/>
                <w:color w:val="0B2545"/>
                <w:sz w:val="14"/>
              </w:rPr>
              <w:t>Fusion Engineering and Design</w:t>
            </w:r>
          </w:p>
        </w:tc>
        <w:tc>
          <w:tcPr>
            <w:tcW w:type="dxa" w:w="2500"/>
          </w:tcPr>
          <w:p>
            <w:pPr>
              <w:keepLines/>
              <w:spacing w:after="0" w:line="276" w:lineRule="auto"/>
            </w:pPr>
            <w:hyperlink r:id="rId136">
              <w:r>
                <w:rPr>
                  <w:rFonts w:ascii="Calibri" w:hAnsi="Calibri" w:eastAsia="Microsoft YaHei"/>
                  <w:color w:val="008C95"/>
                  <w:u w:val="single"/>
                </w:rPr>
                <w:t>打开原始来源 ↗</w:t>
              </w:r>
            </w:hyperlink>
          </w:p>
        </w:tc>
      </w:tr>
      <w:tr>
        <w:trPr>
          <w:cantSplit/>
        </w:trPr>
        <w:tc>
          <w:tcPr>
            <w:tcW w:type="dxa" w:w="900"/>
          </w:tcPr>
          <w:p>
            <w:pPr>
              <w:keepLines/>
              <w:spacing w:after="0" w:line="276" w:lineRule="auto"/>
            </w:pPr>
            <w:r>
              <w:rPr>
                <w:rFonts w:ascii="Calibri" w:hAnsi="Calibri" w:eastAsia="Microsoft YaHei"/>
                <w:color w:val="0B2545"/>
                <w:sz w:val="14"/>
              </w:rPr>
              <w:t>2024</w:t>
            </w:r>
          </w:p>
        </w:tc>
        <w:tc>
          <w:tcPr>
            <w:tcW w:type="dxa" w:w="3200"/>
          </w:tcPr>
          <w:p>
            <w:pPr>
              <w:keepLines/>
              <w:spacing w:after="0" w:line="276" w:lineRule="auto"/>
            </w:pPr>
            <w:r>
              <w:rPr>
                <w:rFonts w:ascii="Calibri" w:hAnsi="Calibri" w:eastAsia="Microsoft YaHei"/>
                <w:color w:val="0B2545"/>
                <w:sz w:val="14"/>
              </w:rPr>
              <w:t>Surface temperature measurement from infrared synthetic diagnostic in preparation for ITER operations</w:t>
            </w:r>
          </w:p>
        </w:tc>
        <w:tc>
          <w:tcPr>
            <w:tcW w:type="dxa" w:w="2760"/>
          </w:tcPr>
          <w:p>
            <w:pPr>
              <w:keepLines/>
              <w:spacing w:after="0" w:line="276" w:lineRule="auto"/>
            </w:pPr>
            <w:r>
              <w:rPr>
                <w:rFonts w:ascii="Calibri" w:hAnsi="Calibri" w:eastAsia="Microsoft YaHei"/>
                <w:color w:val="0B2545"/>
                <w:sz w:val="14"/>
              </w:rPr>
              <w:t>Nuclear Fusion</w:t>
            </w:r>
          </w:p>
        </w:tc>
        <w:tc>
          <w:tcPr>
            <w:tcW w:type="dxa" w:w="2500"/>
          </w:tcPr>
          <w:p>
            <w:pPr>
              <w:keepLines/>
              <w:spacing w:after="0" w:line="276" w:lineRule="auto"/>
            </w:pPr>
            <w:hyperlink r:id="rId273">
              <w:r>
                <w:rPr>
                  <w:rFonts w:ascii="Calibri" w:hAnsi="Calibri" w:eastAsia="Microsoft YaHei"/>
                  <w:color w:val="008C95"/>
                  <w:u w:val="single"/>
                </w:rPr>
                <w:t>打开原始来源 ↗</w:t>
              </w:r>
            </w:hyperlink>
          </w:p>
        </w:tc>
      </w:tr>
      <w:tr>
        <w:trPr>
          <w:cantSplit/>
        </w:trPr>
        <w:tc>
          <w:tcPr>
            <w:tcW w:type="dxa" w:w="900"/>
          </w:tcPr>
          <w:p>
            <w:pPr>
              <w:keepLines/>
              <w:spacing w:after="0" w:line="276" w:lineRule="auto"/>
            </w:pPr>
            <w:r>
              <w:rPr>
                <w:rFonts w:ascii="Calibri" w:hAnsi="Calibri" w:eastAsia="Microsoft YaHei"/>
                <w:color w:val="0B2545"/>
                <w:sz w:val="14"/>
              </w:rPr>
              <w:t>软件</w:t>
            </w:r>
          </w:p>
        </w:tc>
        <w:tc>
          <w:tcPr>
            <w:tcW w:type="dxa" w:w="3200"/>
          </w:tcPr>
          <w:p>
            <w:pPr>
              <w:keepLines/>
              <w:spacing w:after="0" w:line="276" w:lineRule="auto"/>
            </w:pPr>
            <w:r>
              <w:rPr>
                <w:rFonts w:ascii="Calibri" w:hAnsi="Calibri" w:eastAsia="Microsoft YaHei"/>
                <w:color w:val="0B2545"/>
                <w:sz w:val="14"/>
              </w:rPr>
              <w:t>WEST WMS/IR processing</w:t>
            </w:r>
          </w:p>
        </w:tc>
        <w:tc>
          <w:tcPr>
            <w:tcW w:type="dxa" w:w="2760"/>
          </w:tcPr>
          <w:p>
            <w:pPr>
              <w:keepLines/>
              <w:spacing w:after="0" w:line="276" w:lineRule="auto"/>
            </w:pPr>
            <w:r>
              <w:rPr>
                <w:rFonts w:ascii="Calibri" w:hAnsi="Calibri" w:eastAsia="Microsoft YaHei"/>
                <w:color w:val="0B2545"/>
                <w:sz w:val="14"/>
              </w:rPr>
              <w:t>not-public / 论文公开，生产代码未发现公共仓库</w:t>
            </w:r>
          </w:p>
        </w:tc>
        <w:tc>
          <w:tcPr>
            <w:tcW w:type="dxa" w:w="2500"/>
          </w:tcPr>
          <w:p>
            <w:pPr>
              <w:keepLines/>
              <w:spacing w:after="0" w:line="276" w:lineRule="auto"/>
            </w:pPr>
            <w:r>
              <w:rPr>
                <w:rFonts w:ascii="Calibri" w:hAnsi="Calibri" w:eastAsia="Microsoft YaHei"/>
                <w:color w:val="0B2545"/>
                <w:sz w:val="14"/>
              </w:rPr>
              <w:t>未公开</w:t>
            </w:r>
          </w:p>
        </w:tc>
      </w:tr>
      <w:tr>
        <w:trPr>
          <w:cantSplit/>
        </w:trPr>
        <w:tc>
          <w:tcPr>
            <w:tcW w:type="dxa" w:w="900"/>
          </w:tcPr>
          <w:p>
            <w:pPr>
              <w:keepLines/>
              <w:spacing w:after="0" w:line="276" w:lineRule="auto"/>
            </w:pPr>
            <w:r>
              <w:rPr>
                <w:rFonts w:ascii="Calibri" w:hAnsi="Calibri" w:eastAsia="Microsoft YaHei"/>
                <w:color w:val="0B2545"/>
                <w:sz w:val="14"/>
              </w:rPr>
              <w:t>软件</w:t>
            </w:r>
          </w:p>
        </w:tc>
        <w:tc>
          <w:tcPr>
            <w:tcW w:type="dxa" w:w="3200"/>
          </w:tcPr>
          <w:p>
            <w:pPr>
              <w:keepLines/>
              <w:spacing w:after="0" w:line="276" w:lineRule="auto"/>
            </w:pPr>
            <w:r>
              <w:rPr>
                <w:rFonts w:ascii="Calibri" w:hAnsi="Calibri" w:eastAsia="Microsoft YaHei"/>
                <w:color w:val="0B2545"/>
                <w:sz w:val="14"/>
              </w:rPr>
              <w:t>CIVA IR synthetic diagnostic integration</w:t>
            </w:r>
          </w:p>
        </w:tc>
        <w:tc>
          <w:tcPr>
            <w:tcW w:type="dxa" w:w="2760"/>
          </w:tcPr>
          <w:p>
            <w:pPr>
              <w:keepLines/>
              <w:spacing w:after="0" w:line="276" w:lineRule="auto"/>
            </w:pPr>
            <w:r>
              <w:rPr>
                <w:rFonts w:ascii="Calibri" w:hAnsi="Calibri" w:eastAsia="Microsoft YaHei"/>
                <w:color w:val="0B2545"/>
                <w:sz w:val="14"/>
              </w:rPr>
              <w:t>commercial / 官方案例；不是开源工具</w:t>
            </w:r>
          </w:p>
        </w:tc>
        <w:tc>
          <w:tcPr>
            <w:tcW w:type="dxa" w:w="2500"/>
          </w:tcPr>
          <w:p>
            <w:pPr>
              <w:keepLines/>
              <w:spacing w:after="0" w:line="276" w:lineRule="auto"/>
            </w:pPr>
            <w:hyperlink r:id="rId274">
              <w:r>
                <w:rPr>
                  <w:rFonts w:ascii="Calibri" w:hAnsi="Calibri" w:eastAsia="Microsoft YaHei"/>
                  <w:color w:val="008C95"/>
                  <w:u w:val="single"/>
                </w:rPr>
                <w:t>打开原始来源 ↗</w:t>
              </w:r>
            </w:hyperlink>
          </w:p>
        </w:tc>
      </w:tr>
    </w:tbl>
    <w:p>
      <w:pPr>
        <w:keepNext/>
        <w:pageBreakBefore/>
        <w:spacing w:before="0" w:after="100"/>
      </w:pPr>
      <w:r>
        <w:rPr>
          <w:rFonts w:ascii="Calibri" w:hAnsi="Calibri" w:eastAsia="Microsoft YaHei"/>
          <w:b/>
          <w:caps/>
          <w:color w:val="008C95"/>
          <w:sz w:val="17"/>
        </w:rPr>
        <w:t>18 / DIGITAL-TWIN GAP</w:t>
      </w:r>
    </w:p>
    <w:p>
      <w:pPr>
        <w:pStyle w:val="Heading1"/>
      </w:pPr>
      <w:r>
        <w:t>诊断集成距离数字孪生还缺什么</w:t>
      </w:r>
    </w:p>
    <w:tbl>
      <w:tblPr>
        <w:tblStyle w:val="TableGrid"/>
        <w:tblW w:type="dxa" w:w="9360"/>
        <w:jc w:val="left"/>
        <w:tblLayout w:type="fixed"/>
        <w:tblLook w:firstColumn="1" w:firstRow="1" w:lastColumn="0" w:lastRow="0" w:noHBand="0" w:noVBand="1" w:val="04A0"/>
        <w:tblInd w:w="120" w:type="dxa"/>
      </w:tblPr>
      <w:tblGrid>
        <w:gridCol w:w="9360"/>
      </w:tblGrid>
      <w:tr>
        <w:trPr>
          <w:cantSplit/>
        </w:trPr>
        <w:tc>
          <w:tcPr>
            <w:tcW w:type="dxa" w:w="9360"/>
            <w:tcMar>
              <w:top w:w="80" w:type="dxa"/>
              <w:bottom w:w="80" w:type="dxa"/>
              <w:start w:w="120" w:type="dxa"/>
              <w:end w:w="120" w:type="dxa"/>
            </w:tcMar>
            <w:vAlign w:val="center"/>
            <w:shd w:fill="FFF2E7"/>
          </w:tcPr>
          <w:p>
            <w:pPr>
              <w:keepNext/>
              <w:keepLines/>
              <w:spacing w:after="40"/>
            </w:pPr>
            <w:r>
              <w:rPr>
                <w:rFonts w:ascii="Calibri" w:hAnsi="Calibri" w:eastAsia="Microsoft YaHei"/>
                <w:b/>
                <w:color w:val="F47C20"/>
                <w:sz w:val="17"/>
              </w:rPr>
              <w:t>判断口径</w:t>
            </w:r>
          </w:p>
          <w:p>
            <w:pPr>
              <w:spacing w:after="0"/>
            </w:pPr>
            <w:r>
              <w:rPr>
                <w:rFonts w:ascii="Calibri" w:hAnsi="Calibri" w:eastAsia="Microsoft YaHei"/>
                <w:color w:val="0B2545"/>
                <w:sz w:val="20"/>
              </w:rPr>
              <w:t>已有仪器、数据库、合成诊断或多诊断反演，并不自动构成数字孪生。最终目标还要求实体状态同步、双向模型—观测闭环、配置权威、不确定度、实时质量、生命周期证据和受治理决策接口。</w:t>
            </w:r>
          </w:p>
        </w:tc>
      </w:tr>
    </w:tbl>
    <w:p>
      <w:pPr>
        <w:spacing w:after="40"/>
      </w:pPr>
    </w:p>
    <w:tbl>
      <w:tblPr>
        <w:tblStyle w:val="TableGrid"/>
        <w:tblW w:type="dxa" w:w="9360"/>
        <w:jc w:val="left"/>
        <w:tblLayout w:type="fixed"/>
        <w:tblLook w:firstColumn="1" w:firstRow="1" w:lastColumn="0" w:lastRow="0" w:noHBand="0" w:noVBand="1" w:val="04A0"/>
        <w:tblInd w:w="120" w:type="dxa"/>
      </w:tblPr>
      <w:tblGrid>
        <w:gridCol w:w="1800"/>
        <w:gridCol w:w="7560"/>
      </w:tblGrid>
      <w:tr>
        <w:trPr>
          <w:tblHeader w:val="true"/>
        </w:trPr>
        <w:tc>
          <w:tcPr>
            <w:tcW w:type="dxa" w:w="18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7"/>
              </w:rPr>
              <w:t>差距</w:t>
            </w:r>
          </w:p>
        </w:tc>
        <w:tc>
          <w:tcPr>
            <w:tcW w:type="dxa" w:w="756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7"/>
              </w:rPr>
              <w:t>需要补齐的能力</w:t>
            </w:r>
          </w:p>
        </w:tc>
      </w:tr>
      <w:tr>
        <w:trPr>
          <w:cantSplit/>
        </w:trPr>
        <w:tc>
          <w:tcPr>
            <w:tcW w:type="dxa" w:w="1800"/>
          </w:tcPr>
          <w:p>
            <w:pPr>
              <w:keepLines/>
              <w:spacing w:after="0" w:line="276" w:lineRule="auto"/>
            </w:pPr>
            <w:r>
              <w:rPr>
                <w:rFonts w:ascii="Calibri" w:hAnsi="Calibri" w:eastAsia="Microsoft YaHei"/>
                <w:color w:val="0B2545"/>
                <w:sz w:val="17"/>
              </w:rPr>
              <w:t>配置权威</w:t>
            </w:r>
          </w:p>
        </w:tc>
        <w:tc>
          <w:tcPr>
            <w:tcW w:type="dxa" w:w="7560"/>
          </w:tcPr>
          <w:p>
            <w:pPr>
              <w:keepLines/>
              <w:spacing w:after="0" w:line="276" w:lineRule="auto"/>
            </w:pPr>
            <w:r>
              <w:rPr>
                <w:rFonts w:ascii="Calibri" w:hAnsi="Calibri" w:eastAsia="Microsoft YaHei"/>
                <w:color w:val="0B2545"/>
                <w:sz w:val="17"/>
              </w:rPr>
              <w:t>几何、坐标、通道、标定、材料和算法必须绑定到装置/炮次/维护版本。</w:t>
            </w:r>
          </w:p>
        </w:tc>
      </w:tr>
      <w:tr>
        <w:trPr>
          <w:cantSplit/>
        </w:trPr>
        <w:tc>
          <w:tcPr>
            <w:tcW w:type="dxa" w:w="1800"/>
          </w:tcPr>
          <w:p>
            <w:pPr>
              <w:keepLines/>
              <w:spacing w:after="0" w:line="276" w:lineRule="auto"/>
            </w:pPr>
            <w:r>
              <w:rPr>
                <w:rFonts w:ascii="Calibri" w:hAnsi="Calibri" w:eastAsia="Microsoft YaHei"/>
                <w:color w:val="0B2545"/>
                <w:sz w:val="17"/>
              </w:rPr>
              <w:t>不确定度</w:t>
            </w:r>
          </w:p>
        </w:tc>
        <w:tc>
          <w:tcPr>
            <w:tcW w:type="dxa" w:w="7560"/>
          </w:tcPr>
          <w:p>
            <w:pPr>
              <w:keepLines/>
              <w:spacing w:after="0" w:line="276" w:lineRule="auto"/>
            </w:pPr>
            <w:r>
              <w:rPr>
                <w:rFonts w:ascii="Calibri" w:hAnsi="Calibri" w:eastAsia="Microsoft YaHei"/>
                <w:color w:val="0B2545"/>
                <w:sz w:val="17"/>
              </w:rPr>
              <w:t>从原始噪声、响应、反演、模型偏差到融合状态的预算仍不完整。</w:t>
            </w:r>
          </w:p>
        </w:tc>
      </w:tr>
      <w:tr>
        <w:trPr>
          <w:cantSplit/>
        </w:trPr>
        <w:tc>
          <w:tcPr>
            <w:tcW w:type="dxa" w:w="1800"/>
          </w:tcPr>
          <w:p>
            <w:pPr>
              <w:keepLines/>
              <w:spacing w:after="0" w:line="276" w:lineRule="auto"/>
            </w:pPr>
            <w:r>
              <w:rPr>
                <w:rFonts w:ascii="Calibri" w:hAnsi="Calibri" w:eastAsia="Microsoft YaHei"/>
                <w:color w:val="0B2545"/>
                <w:sz w:val="17"/>
              </w:rPr>
              <w:t>可观测性</w:t>
            </w:r>
          </w:p>
        </w:tc>
        <w:tc>
          <w:tcPr>
            <w:tcW w:type="dxa" w:w="7560"/>
          </w:tcPr>
          <w:p>
            <w:pPr>
              <w:keepLines/>
              <w:spacing w:after="0" w:line="276" w:lineRule="auto"/>
            </w:pPr>
            <w:r>
              <w:rPr>
                <w:rFonts w:ascii="Calibri" w:hAnsi="Calibri" w:eastAsia="Microsoft YaHei"/>
                <w:color w:val="0B2545"/>
                <w:sz w:val="17"/>
              </w:rPr>
              <w:t>电厂端口受限与诊断失效下，关键状态的冗余和独立性尚需设计。</w:t>
            </w:r>
          </w:p>
        </w:tc>
      </w:tr>
      <w:tr>
        <w:trPr>
          <w:cantSplit/>
        </w:trPr>
        <w:tc>
          <w:tcPr>
            <w:tcW w:type="dxa" w:w="1800"/>
          </w:tcPr>
          <w:p>
            <w:pPr>
              <w:keepLines/>
              <w:spacing w:after="0" w:line="276" w:lineRule="auto"/>
            </w:pPr>
            <w:r>
              <w:rPr>
                <w:rFonts w:ascii="Calibri" w:hAnsi="Calibri" w:eastAsia="Microsoft YaHei"/>
                <w:color w:val="0B2545"/>
                <w:sz w:val="17"/>
              </w:rPr>
              <w:t>前向闭环</w:t>
            </w:r>
          </w:p>
        </w:tc>
        <w:tc>
          <w:tcPr>
            <w:tcW w:type="dxa" w:w="7560"/>
          </w:tcPr>
          <w:p>
            <w:pPr>
              <w:keepLines/>
              <w:spacing w:after="0" w:line="276" w:lineRule="auto"/>
            </w:pPr>
            <w:r>
              <w:rPr>
                <w:rFonts w:ascii="Calibri" w:hAnsi="Calibri" w:eastAsia="Microsoft YaHei"/>
                <w:color w:val="0B2545"/>
                <w:sz w:val="17"/>
              </w:rPr>
              <w:t>物理/工程模型到仪器信号、再到实测残差和模型更新的闭环尚未普遍工程化。</w:t>
            </w:r>
          </w:p>
        </w:tc>
      </w:tr>
      <w:tr>
        <w:trPr>
          <w:cantSplit/>
        </w:trPr>
        <w:tc>
          <w:tcPr>
            <w:tcW w:type="dxa" w:w="1800"/>
          </w:tcPr>
          <w:p>
            <w:pPr>
              <w:keepLines/>
              <w:spacing w:after="0" w:line="276" w:lineRule="auto"/>
            </w:pPr>
            <w:r>
              <w:rPr>
                <w:rFonts w:ascii="Calibri" w:hAnsi="Calibri" w:eastAsia="Microsoft YaHei"/>
                <w:color w:val="0B2545"/>
                <w:sz w:val="17"/>
              </w:rPr>
              <w:t>实时确定性</w:t>
            </w:r>
          </w:p>
        </w:tc>
        <w:tc>
          <w:tcPr>
            <w:tcW w:type="dxa" w:w="7560"/>
          </w:tcPr>
          <w:p>
            <w:pPr>
              <w:keepLines/>
              <w:spacing w:after="0" w:line="276" w:lineRule="auto"/>
            </w:pPr>
            <w:r>
              <w:rPr>
                <w:rFonts w:ascii="Calibri" w:hAnsi="Calibri" w:eastAsia="Microsoft YaHei"/>
                <w:color w:val="0B2545"/>
                <w:sz w:val="17"/>
              </w:rPr>
              <w:t>平均延迟不足以证明 PCS/保护接口；需最坏时延、丢包、重启和故障注入。</w:t>
            </w:r>
          </w:p>
        </w:tc>
      </w:tr>
      <w:tr>
        <w:trPr>
          <w:cantSplit/>
        </w:trPr>
        <w:tc>
          <w:tcPr>
            <w:tcW w:type="dxa" w:w="1800"/>
          </w:tcPr>
          <w:p>
            <w:pPr>
              <w:keepLines/>
              <w:spacing w:after="0" w:line="276" w:lineRule="auto"/>
            </w:pPr>
            <w:r>
              <w:rPr>
                <w:rFonts w:ascii="Calibri" w:hAnsi="Calibri" w:eastAsia="Microsoft YaHei"/>
                <w:color w:val="0B2545"/>
                <w:sz w:val="17"/>
              </w:rPr>
              <w:t>跨装置迁移</w:t>
            </w:r>
          </w:p>
        </w:tc>
        <w:tc>
          <w:tcPr>
            <w:tcW w:type="dxa" w:w="7560"/>
          </w:tcPr>
          <w:p>
            <w:pPr>
              <w:keepLines/>
              <w:spacing w:after="0" w:line="276" w:lineRule="auto"/>
            </w:pPr>
            <w:r>
              <w:rPr>
                <w:rFonts w:ascii="Calibri" w:hAnsi="Calibri" w:eastAsia="Microsoft YaHei"/>
                <w:color w:val="0B2545"/>
                <w:sz w:val="17"/>
              </w:rPr>
              <w:t>几何、噪声、场景和标签漂移使算法与 AI 不能直接跨装置复制。</w:t>
            </w:r>
          </w:p>
        </w:tc>
      </w:tr>
      <w:tr>
        <w:trPr>
          <w:cantSplit/>
        </w:trPr>
        <w:tc>
          <w:tcPr>
            <w:tcW w:type="dxa" w:w="1800"/>
          </w:tcPr>
          <w:p>
            <w:pPr>
              <w:keepLines/>
              <w:spacing w:after="0" w:line="276" w:lineRule="auto"/>
            </w:pPr>
            <w:r>
              <w:rPr>
                <w:rFonts w:ascii="Calibri" w:hAnsi="Calibri" w:eastAsia="Microsoft YaHei"/>
                <w:color w:val="0B2545"/>
                <w:sz w:val="17"/>
              </w:rPr>
              <w:t>生命周期</w:t>
            </w:r>
          </w:p>
        </w:tc>
        <w:tc>
          <w:tcPr>
            <w:tcW w:type="dxa" w:w="7560"/>
          </w:tcPr>
          <w:p>
            <w:pPr>
              <w:keepLines/>
              <w:spacing w:after="0" w:line="276" w:lineRule="auto"/>
            </w:pPr>
            <w:r>
              <w:rPr>
                <w:rFonts w:ascii="Calibri" w:hAnsi="Calibri" w:eastAsia="Microsoft YaHei"/>
                <w:color w:val="0B2545"/>
                <w:sz w:val="17"/>
              </w:rPr>
              <w:t>建设、调试、运行、维护和退役数据尚未进入统一设备树与证据主线。</w:t>
            </w:r>
          </w:p>
        </w:tc>
      </w:tr>
      <w:tr>
        <w:trPr>
          <w:cantSplit/>
        </w:trPr>
        <w:tc>
          <w:tcPr>
            <w:tcW w:type="dxa" w:w="1800"/>
          </w:tcPr>
          <w:p>
            <w:pPr>
              <w:keepLines/>
              <w:spacing w:after="0" w:line="276" w:lineRule="auto"/>
            </w:pPr>
            <w:r>
              <w:rPr>
                <w:rFonts w:ascii="Calibri" w:hAnsi="Calibri" w:eastAsia="Microsoft YaHei"/>
                <w:color w:val="0B2545"/>
                <w:sz w:val="17"/>
              </w:rPr>
              <w:t>责任边界</w:t>
            </w:r>
          </w:p>
        </w:tc>
        <w:tc>
          <w:tcPr>
            <w:tcW w:type="dxa" w:w="7560"/>
          </w:tcPr>
          <w:p>
            <w:pPr>
              <w:keepLines/>
              <w:spacing w:after="0" w:line="276" w:lineRule="auto"/>
            </w:pPr>
            <w:r>
              <w:rPr>
                <w:rFonts w:ascii="Calibri" w:hAnsi="Calibri" w:eastAsia="Microsoft YaHei"/>
                <w:color w:val="0B2545"/>
                <w:sz w:val="17"/>
              </w:rPr>
              <w:t>诊断孪生、操作员、PCS、机器保护和核安全链的权限、审批与回滚需明确。</w:t>
            </w:r>
          </w:p>
        </w:tc>
      </w:tr>
    </w:tbl>
    <w:p>
      <w:pPr>
        <w:keepNext/>
        <w:pageBreakBefore/>
        <w:spacing w:before="0" w:after="100"/>
      </w:pPr>
      <w:r>
        <w:rPr>
          <w:rFonts w:ascii="Calibri" w:hAnsi="Calibri" w:eastAsia="Microsoft YaHei"/>
          <w:b/>
          <w:caps/>
          <w:color w:val="008C95"/>
          <w:sz w:val="17"/>
        </w:rPr>
        <w:t>19 / FUSIONDIGITAL ROADMAP</w:t>
      </w:r>
    </w:p>
    <w:p>
      <w:pPr>
        <w:pStyle w:val="Heading1"/>
      </w:pPr>
      <w:r>
        <w:t>从磁诊断可信回放，到整厂诊断数字孪生</w:t>
      </w:r>
    </w:p>
    <w:p>
      <w:pPr>
        <w:pStyle w:val="Heading2"/>
      </w:pPr>
      <w:r>
        <w:t>从 DINA/MEQ 控制服务走向诊断孪生的近期路线</w:t>
      </w:r>
    </w:p>
    <w:p>
      <w:pPr>
        <w:widowControl/>
      </w:pPr>
      <w:r>
        <w:rPr>
          <w:rFonts w:ascii="Calibri" w:hAnsi="Calibri" w:eastAsia="Microsoft YaHei"/>
        </w:rPr>
        <w:t>第一阶段先建立磁诊断可信链。把线圈和结构配置、磁探针/磁通环/Rogowski 几何、标定、涡流模型、MEQ/DINA 输入输出、平衡残差和控制器使用的状态统一版本化。目标不是立即替换现有平衡代码，而是做到同一炮次可回放、同一配置可复现、不同算法可比较、每个状态有质量与延迟说明。</w:t>
      </w:r>
    </w:p>
    <w:p>
      <w:pPr>
        <w:widowControl/>
      </w:pPr>
      <w:r>
        <w:rPr>
          <w:rFonts w:ascii="Calibri" w:hAnsi="Calibri" w:eastAsia="Microsoft YaHei"/>
        </w:rPr>
        <w:t>第二阶段加入合成诊断和独立观测。优先选择 interferometry、Thomson scattering、ECE、bolometry/IR 等与平衡和控制状态互补、公开方法成熟的链路。为每个诊断建立几何、响应、噪声和采样模型；把物理模拟映射到观测空间；通过真实炮次残差校准适用域。</w:t>
      </w:r>
    </w:p>
    <w:p>
      <w:pPr>
        <w:widowControl/>
      </w:pPr>
      <w:r>
        <w:rPr>
          <w:rFonts w:ascii="Calibri" w:hAnsi="Calibri" w:eastAsia="Microsoft YaHei"/>
        </w:rPr>
        <w:t>第三阶段建立多诊断状态服务。围绕边界、密度/温度剖面、辐射功率、热负荷和装置健康形成带不确定度的联合状态，不把所有算法塞进一个进程，而是通过统一数据契约发布状态、质量、时间和证据。先做离线和影子模式，再向 PCS/HMI 提供只读候选状态。</w:t>
      </w:r>
    </w:p>
    <w:p>
      <w:pPr>
        <w:widowControl/>
      </w:pPr>
      <w:r>
        <w:rPr>
          <w:rFonts w:ascii="Calibri" w:hAnsi="Calibri" w:eastAsia="Microsoft YaHei"/>
        </w:rPr>
        <w:t>第四阶段进入系统级 SIL/HIL。把真实采集软件、网络、时间同步、PCS、保护接口和故障注入纳入测试，验证最坏延迟、缺失、饱和、漂移和错误配置。只有通过版本门和治理审批的诊断产品才允许影响受控执行器；机器保护和安全链保持独立权威。</w:t>
      </w:r>
    </w:p>
    <w:p>
      <w:pPr>
        <w:widowControl/>
      </w:pPr>
      <w:r>
        <w:rPr>
          <w:rFonts w:ascii="Calibri" w:hAnsi="Calibri" w:eastAsia="Microsoft YaHei"/>
        </w:rPr>
        <w:t>第五阶段扩展到电厂。把磁体、结构、低温、真空、氚、热循环、能量转换和远程维护状态与等离子体事件对齐，建立部件剩余寿命、可用率和维护优化服务。最终目标是让每次设计变更、安装偏差、放电、异常、检修和退役活动进入同一证据主线，为低成本、高效率、可靠可用和安全可证服务。</w:t>
      </w:r>
    </w:p>
    <w:p>
      <w:pPr>
        <w:pStyle w:val="Heading2"/>
      </w:pPr>
      <w:r>
        <w:t>建议的联合攻关工作包</w:t>
      </w:r>
    </w:p>
    <w:p>
      <w:pPr>
        <w:widowControl/>
      </w:pPr>
      <w:r>
        <w:rPr>
          <w:rFonts w:ascii="Calibri" w:hAnsi="Calibri" w:eastAsia="Microsoft YaHei"/>
        </w:rPr>
        <w:t>WP0 建立诊断资产与配置基线：设备树、通道、坐标、几何、单位、时间、标定、版本、责任人和数据权限。WP1 建立磁诊断与平衡重建基准：MEQ/DINA/EFIT 类工作流、真空场/涡流、残差、回放和算法对比。WP2 建立电子态与热负荷诊断链：干涉/ECE/Thomson/IR/bolometry 的响应与不确定度。WP3 建立合成诊断平台：共享几何、原子数据、噪声、采样和 VVUQ，用高保真模型支撑快速代理。WP4 建立集成状态估计与质量门：多诊断融合、OOD、降级和可解释残差。WP5 建立诊断—PCS/HMI/SIL/HIL 接口：只读影子、实时预算、故障注入、权限与回滚。WP6 建立工程设备健康链：力/位移/应变/温度等传感器与电磁—热—结构模型对接，并逐步扩展到低温、真空、氚和能量转换系统。</w:t>
      </w:r>
    </w:p>
    <w:p>
      <w:pPr>
        <w:widowControl/>
      </w:pPr>
      <w:r>
        <w:rPr>
          <w:rFonts w:ascii="Calibri" w:hAnsi="Calibri" w:eastAsia="Microsoft YaHei"/>
        </w:rPr>
        <w:t>验收不应只看模型精度平均值。每个工作包至少交付：可执行配置、数据字典、标定和不确定度说明、训练/验证/盲测划分、跨场景结果、失败案例、运行时与资源、接口契约、版本与来源、适用域、降级策略以及可回放样例。</w:t>
      </w:r>
    </w:p>
    <w:p>
      <w:pPr>
        <w:keepNext/>
        <w:jc w:val="center"/>
      </w:pPr>
      <w:r>
        <w:drawing>
          <wp:inline xmlns:a="http://schemas.openxmlformats.org/drawingml/2006/main" xmlns:pic="http://schemas.openxmlformats.org/drawingml/2006/picture">
            <wp:extent cx="5577840" cy="3207258"/>
            <wp:docPr id="10" name="Picture 10" descr="图 19-1  FusionDigital 聚变诊断数字孪生的分阶段发展路线。"/>
            <wp:cNvGraphicFramePr>
              <a:graphicFrameLocks noChangeAspect="1"/>
            </wp:cNvGraphicFramePr>
            <a:graphic>
              <a:graphicData uri="http://schemas.openxmlformats.org/drawingml/2006/picture">
                <pic:pic>
                  <pic:nvPicPr>
                    <pic:cNvPr id="0" name="diagnostics-roadmap-nature.png"/>
                    <pic:cNvPicPr/>
                  </pic:nvPicPr>
                  <pic:blipFill>
                    <a:blip r:embed="rId275"/>
                    <a:stretch>
                      <a:fillRect/>
                    </a:stretch>
                  </pic:blipFill>
                  <pic:spPr>
                    <a:xfrm>
                      <a:off x="0" y="0"/>
                      <a:ext cx="5577840" cy="3207258"/>
                    </a:xfrm>
                    <a:prstGeom prst="rect"/>
                  </pic:spPr>
                </pic:pic>
              </a:graphicData>
            </a:graphic>
          </wp:inline>
        </w:drawing>
      </w:r>
    </w:p>
    <w:p>
      <w:pPr>
        <w:pStyle w:val="Caption"/>
        <w:jc w:val="center"/>
      </w:pPr>
      <w:r>
        <w:t>图 19-1  FusionDigital 聚变诊断数字孪生的分阶段发展路线。</w:t>
      </w:r>
    </w:p>
    <w:p>
      <w:pPr>
        <w:keepNext/>
        <w:pageBreakBefore/>
        <w:spacing w:before="0" w:after="100"/>
      </w:pPr>
      <w:r>
        <w:rPr>
          <w:rFonts w:ascii="Calibri" w:hAnsi="Calibri" w:eastAsia="Microsoft YaHei"/>
          <w:b/>
          <w:caps/>
          <w:color w:val="008C95"/>
          <w:sz w:val="17"/>
        </w:rPr>
        <w:t>20 / PAPER, CODE &amp; DATA INDEX</w:t>
      </w:r>
    </w:p>
    <w:p>
      <w:pPr>
        <w:pStyle w:val="Heading1"/>
      </w:pPr>
      <w:r>
        <w:t>论文、代码与数据索引</w:t>
      </w:r>
    </w:p>
    <w:p>
      <w:pPr>
        <w:widowControl/>
      </w:pPr>
      <w:r>
        <w:rPr>
          <w:rFonts w:ascii="Calibri" w:hAnsi="Calibri" w:eastAsia="Microsoft YaHei"/>
        </w:rPr>
        <w:t>所有链接均指向论文 DOI/机构原始页面、官方文档或代码仓库。not-public 表示没有找到可公开的对应实现，其链接保持为空；enabling 表示支撑诊断工作流，但不是该论文的直接实现。</w:t>
      </w:r>
    </w:p>
    <w:p>
      <w:pPr>
        <w:pStyle w:val="Heading2"/>
      </w:pPr>
      <w:r>
        <w:t>20.1  唯一论文与官方来源</w:t>
      </w:r>
    </w:p>
    <w:tbl>
      <w:tblPr>
        <w:tblStyle w:val="TableGrid"/>
        <w:tblW w:type="dxa" w:w="9360"/>
        <w:jc w:val="left"/>
        <w:tblLayout w:type="fixed"/>
        <w:tblLook w:firstColumn="1" w:firstRow="1" w:lastColumn="0" w:lastRow="0" w:noHBand="0" w:noVBand="1" w:val="04A0"/>
        <w:tblInd w:w="120" w:type="dxa"/>
      </w:tblPr>
      <w:tblGrid>
        <w:gridCol w:w="600"/>
        <w:gridCol w:w="1600"/>
        <w:gridCol w:w="3200"/>
        <w:gridCol w:w="1700"/>
        <w:gridCol w:w="2260"/>
      </w:tblGrid>
      <w:tr>
        <w:trPr>
          <w:tblHeader w:val="true"/>
        </w:trPr>
        <w:tc>
          <w:tcPr>
            <w:tcW w:type="dxa" w:w="6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3"/>
              </w:rPr>
              <w:t>年</w:t>
            </w:r>
          </w:p>
        </w:tc>
        <w:tc>
          <w:tcPr>
            <w:tcW w:type="dxa" w:w="16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3"/>
              </w:rPr>
              <w:t>作者</w:t>
            </w:r>
          </w:p>
        </w:tc>
        <w:tc>
          <w:tcPr>
            <w:tcW w:type="dxa" w:w="32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3"/>
              </w:rPr>
              <w:t>题名</w:t>
            </w:r>
          </w:p>
        </w:tc>
        <w:tc>
          <w:tcPr>
            <w:tcW w:type="dxa" w:w="17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3"/>
              </w:rPr>
              <w:t>来源</w:t>
            </w:r>
          </w:p>
        </w:tc>
        <w:tc>
          <w:tcPr>
            <w:tcW w:type="dxa" w:w="226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3"/>
              </w:rPr>
              <w:t>链接</w:t>
            </w:r>
          </w:p>
        </w:tc>
      </w:tr>
      <w:tr>
        <w:trPr>
          <w:cantSplit/>
        </w:trPr>
        <w:tc>
          <w:tcPr>
            <w:tcW w:type="dxa" w:w="600"/>
          </w:tcPr>
          <w:p>
            <w:pPr>
              <w:keepLines/>
              <w:spacing w:after="0" w:line="276" w:lineRule="auto"/>
            </w:pPr>
            <w:r>
              <w:rPr>
                <w:rFonts w:ascii="Calibri" w:hAnsi="Calibri" w:eastAsia="Microsoft YaHei"/>
                <w:color w:val="0B2545"/>
                <w:sz w:val="13"/>
              </w:rPr>
              <w:t>2026</w:t>
            </w:r>
          </w:p>
        </w:tc>
        <w:tc>
          <w:tcPr>
            <w:tcW w:type="dxa" w:w="1600"/>
          </w:tcPr>
          <w:p>
            <w:pPr>
              <w:keepLines/>
              <w:spacing w:after="0" w:line="276" w:lineRule="auto"/>
            </w:pPr>
            <w:r>
              <w:rPr>
                <w:rFonts w:ascii="Calibri" w:hAnsi="Calibri" w:eastAsia="Microsoft YaHei"/>
                <w:color w:val="0B2545"/>
                <w:sz w:val="13"/>
              </w:rPr>
              <w:t>未完整列出</w:t>
            </w:r>
          </w:p>
        </w:tc>
        <w:tc>
          <w:tcPr>
            <w:tcW w:type="dxa" w:w="3200"/>
          </w:tcPr>
          <w:p>
            <w:pPr>
              <w:keepLines/>
              <w:spacing w:after="0" w:line="276" w:lineRule="auto"/>
            </w:pPr>
            <w:r>
              <w:rPr>
                <w:rFonts w:ascii="Calibri" w:hAnsi="Calibri" w:eastAsia="Microsoft YaHei"/>
                <w:color w:val="0B2545"/>
                <w:sz w:val="13"/>
              </w:rPr>
              <w:t>XICSRT documentation</w:t>
            </w:r>
          </w:p>
        </w:tc>
        <w:tc>
          <w:tcPr>
            <w:tcW w:type="dxa" w:w="1700"/>
          </w:tcPr>
          <w:p>
            <w:pPr>
              <w:keepLines/>
              <w:spacing w:after="0" w:line="276" w:lineRule="auto"/>
            </w:pPr>
            <w:r>
              <w:rPr>
                <w:rFonts w:ascii="Calibri" w:hAnsi="Calibri" w:eastAsia="Microsoft YaHei"/>
                <w:color w:val="0B2545"/>
                <w:sz w:val="13"/>
              </w:rPr>
              <w:t>原始论文 / 官方来源</w:t>
            </w:r>
          </w:p>
        </w:tc>
        <w:tc>
          <w:tcPr>
            <w:tcW w:type="dxa" w:w="2260"/>
          </w:tcPr>
          <w:p>
            <w:pPr>
              <w:keepLines/>
              <w:spacing w:after="0" w:line="276" w:lineRule="auto"/>
            </w:pPr>
            <w:hyperlink r:id="rId172">
              <w:r>
                <w:rPr>
                  <w:rFonts w:ascii="Calibri" w:hAnsi="Calibri" w:eastAsia="Microsoft YaHei"/>
                  <w:color w:val="008C95"/>
                  <w:u w:val="single"/>
                </w:rPr>
                <w:t>打开原始来源 ↗</w:t>
              </w:r>
            </w:hyperlink>
          </w:p>
        </w:tc>
      </w:tr>
      <w:tr>
        <w:trPr>
          <w:cantSplit/>
        </w:trPr>
        <w:tc>
          <w:tcPr>
            <w:tcW w:type="dxa" w:w="600"/>
          </w:tcPr>
          <w:p>
            <w:pPr>
              <w:keepLines/>
              <w:spacing w:after="0" w:line="276" w:lineRule="auto"/>
            </w:pPr>
            <w:r>
              <w:rPr>
                <w:rFonts w:ascii="Calibri" w:hAnsi="Calibri" w:eastAsia="Microsoft YaHei"/>
                <w:color w:val="0B2545"/>
                <w:sz w:val="13"/>
              </w:rPr>
              <w:t>2026</w:t>
            </w:r>
          </w:p>
        </w:tc>
        <w:tc>
          <w:tcPr>
            <w:tcW w:type="dxa" w:w="1600"/>
          </w:tcPr>
          <w:p>
            <w:pPr>
              <w:keepLines/>
              <w:spacing w:after="0" w:line="276" w:lineRule="auto"/>
            </w:pPr>
            <w:r>
              <w:rPr>
                <w:rFonts w:ascii="Calibri" w:hAnsi="Calibri" w:eastAsia="Microsoft YaHei"/>
                <w:color w:val="0B2545"/>
                <w:sz w:val="13"/>
              </w:rPr>
              <w:t>Andrea Burlando; Luciana Barucca; Fabio Giannetti; Cristiano Ciurluini; Francesco Colliva; Giorgio Mongiardini; Carlo Bima; Alberto Traverso; Amelia Tincani; Marco Mantero</w:t>
            </w:r>
          </w:p>
        </w:tc>
        <w:tc>
          <w:tcPr>
            <w:tcW w:type="dxa" w:w="3200"/>
          </w:tcPr>
          <w:p>
            <w:pPr>
              <w:keepLines/>
              <w:spacing w:after="0" w:line="276" w:lineRule="auto"/>
            </w:pPr>
            <w:r>
              <w:rPr>
                <w:rFonts w:ascii="Calibri" w:hAnsi="Calibri" w:eastAsia="Microsoft YaHei"/>
                <w:color w:val="0B2545"/>
                <w:sz w:val="13"/>
              </w:rPr>
              <w:t>Water cooled lithium lead balance of plant indirectly coupled with power conversion system operated with small energy storage in EU DEMO</w:t>
            </w:r>
          </w:p>
        </w:tc>
        <w:tc>
          <w:tcPr>
            <w:tcW w:type="dxa" w:w="1700"/>
          </w:tcPr>
          <w:p>
            <w:pPr>
              <w:keepLines/>
              <w:spacing w:after="0" w:line="276" w:lineRule="auto"/>
            </w:pPr>
            <w:r>
              <w:rPr>
                <w:rFonts w:ascii="Calibri" w:hAnsi="Calibri" w:eastAsia="Microsoft YaHei"/>
                <w:color w:val="0B2545"/>
                <w:sz w:val="13"/>
              </w:rPr>
              <w:t>Fusion Engineering and Design</w:t>
            </w:r>
          </w:p>
        </w:tc>
        <w:tc>
          <w:tcPr>
            <w:tcW w:type="dxa" w:w="2260"/>
          </w:tcPr>
          <w:p>
            <w:pPr>
              <w:keepLines/>
              <w:spacing w:after="0" w:line="276" w:lineRule="auto"/>
            </w:pPr>
            <w:hyperlink r:id="rId153">
              <w:r>
                <w:rPr>
                  <w:rFonts w:ascii="Calibri" w:hAnsi="Calibri" w:eastAsia="Microsoft YaHei"/>
                  <w:color w:val="008C95"/>
                  <w:u w:val="single"/>
                </w:rPr>
                <w:t>打开原始来源 ↗</w:t>
              </w:r>
            </w:hyperlink>
          </w:p>
        </w:tc>
      </w:tr>
      <w:tr>
        <w:trPr>
          <w:cantSplit/>
        </w:trPr>
        <w:tc>
          <w:tcPr>
            <w:tcW w:type="dxa" w:w="600"/>
          </w:tcPr>
          <w:p>
            <w:pPr>
              <w:keepLines/>
              <w:spacing w:after="0" w:line="276" w:lineRule="auto"/>
            </w:pPr>
            <w:r>
              <w:rPr>
                <w:rFonts w:ascii="Calibri" w:hAnsi="Calibri" w:eastAsia="Microsoft YaHei"/>
                <w:color w:val="0B2545"/>
                <w:sz w:val="13"/>
              </w:rPr>
              <w:t>2026</w:t>
            </w:r>
          </w:p>
        </w:tc>
        <w:tc>
          <w:tcPr>
            <w:tcW w:type="dxa" w:w="1600"/>
          </w:tcPr>
          <w:p>
            <w:pPr>
              <w:keepLines/>
              <w:spacing w:after="0" w:line="276" w:lineRule="auto"/>
            </w:pPr>
            <w:r>
              <w:rPr>
                <w:rFonts w:ascii="Calibri" w:hAnsi="Calibri" w:eastAsia="Microsoft YaHei"/>
                <w:color w:val="0B2545"/>
                <w:sz w:val="13"/>
              </w:rPr>
              <w:t>未完整列出</w:t>
            </w:r>
          </w:p>
        </w:tc>
        <w:tc>
          <w:tcPr>
            <w:tcW w:type="dxa" w:w="3200"/>
          </w:tcPr>
          <w:p>
            <w:pPr>
              <w:keepLines/>
              <w:spacing w:after="0" w:line="276" w:lineRule="auto"/>
            </w:pPr>
            <w:r>
              <w:rPr>
                <w:rFonts w:ascii="Calibri" w:hAnsi="Calibri" w:eastAsia="Microsoft YaHei"/>
                <w:color w:val="0B2545"/>
                <w:sz w:val="13"/>
              </w:rPr>
              <w:t>Universal Data Access official repository and documentation</w:t>
            </w:r>
          </w:p>
        </w:tc>
        <w:tc>
          <w:tcPr>
            <w:tcW w:type="dxa" w:w="1700"/>
          </w:tcPr>
          <w:p>
            <w:pPr>
              <w:keepLines/>
              <w:spacing w:after="0" w:line="276" w:lineRule="auto"/>
            </w:pPr>
            <w:r>
              <w:rPr>
                <w:rFonts w:ascii="Calibri" w:hAnsi="Calibri" w:eastAsia="Microsoft YaHei"/>
                <w:color w:val="0B2545"/>
                <w:sz w:val="13"/>
              </w:rPr>
              <w:t>原始论文 / 官方来源</w:t>
            </w:r>
          </w:p>
        </w:tc>
        <w:tc>
          <w:tcPr>
            <w:tcW w:type="dxa" w:w="2260"/>
          </w:tcPr>
          <w:p>
            <w:pPr>
              <w:keepLines/>
              <w:spacing w:after="0" w:line="276" w:lineRule="auto"/>
            </w:pPr>
            <w:hyperlink r:id="rId22">
              <w:r>
                <w:rPr>
                  <w:rFonts w:ascii="Calibri" w:hAnsi="Calibri" w:eastAsia="Microsoft YaHei"/>
                  <w:color w:val="008C95"/>
                  <w:u w:val="single"/>
                </w:rPr>
                <w:t>打开原始来源 ↗</w:t>
              </w:r>
            </w:hyperlink>
          </w:p>
        </w:tc>
      </w:tr>
      <w:tr>
        <w:trPr>
          <w:cantSplit/>
        </w:trPr>
        <w:tc>
          <w:tcPr>
            <w:tcW w:type="dxa" w:w="600"/>
          </w:tcPr>
          <w:p>
            <w:pPr>
              <w:keepLines/>
              <w:spacing w:after="0" w:line="276" w:lineRule="auto"/>
            </w:pPr>
            <w:r>
              <w:rPr>
                <w:rFonts w:ascii="Calibri" w:hAnsi="Calibri" w:eastAsia="Microsoft YaHei"/>
                <w:color w:val="0B2545"/>
                <w:sz w:val="13"/>
              </w:rPr>
              <w:t>2026</w:t>
            </w:r>
          </w:p>
        </w:tc>
        <w:tc>
          <w:tcPr>
            <w:tcW w:type="dxa" w:w="1600"/>
          </w:tcPr>
          <w:p>
            <w:pPr>
              <w:keepLines/>
              <w:spacing w:after="0" w:line="276" w:lineRule="auto"/>
            </w:pPr>
            <w:r>
              <w:rPr>
                <w:rFonts w:ascii="Calibri" w:hAnsi="Calibri" w:eastAsia="Microsoft YaHei"/>
                <w:color w:val="0B2545"/>
                <w:sz w:val="13"/>
              </w:rPr>
              <w:t>未完整列出</w:t>
            </w:r>
          </w:p>
        </w:tc>
        <w:tc>
          <w:tcPr>
            <w:tcW w:type="dxa" w:w="3200"/>
          </w:tcPr>
          <w:p>
            <w:pPr>
              <w:keepLines/>
              <w:spacing w:after="0" w:line="276" w:lineRule="auto"/>
            </w:pPr>
            <w:r>
              <w:rPr>
                <w:rFonts w:ascii="Calibri" w:hAnsi="Calibri" w:eastAsia="Microsoft YaHei"/>
                <w:color w:val="0B2545"/>
                <w:sz w:val="13"/>
              </w:rPr>
              <w:t>ToFu official documentation</w:t>
            </w:r>
          </w:p>
        </w:tc>
        <w:tc>
          <w:tcPr>
            <w:tcW w:type="dxa" w:w="1700"/>
          </w:tcPr>
          <w:p>
            <w:pPr>
              <w:keepLines/>
              <w:spacing w:after="0" w:line="276" w:lineRule="auto"/>
            </w:pPr>
            <w:r>
              <w:rPr>
                <w:rFonts w:ascii="Calibri" w:hAnsi="Calibri" w:eastAsia="Microsoft YaHei"/>
                <w:color w:val="0B2545"/>
                <w:sz w:val="13"/>
              </w:rPr>
              <w:t>原始论文 / 官方来源</w:t>
            </w:r>
          </w:p>
        </w:tc>
        <w:tc>
          <w:tcPr>
            <w:tcW w:type="dxa" w:w="2260"/>
          </w:tcPr>
          <w:p>
            <w:pPr>
              <w:keepLines/>
              <w:spacing w:after="0" w:line="276" w:lineRule="auto"/>
            </w:pPr>
            <w:hyperlink r:id="rId170">
              <w:r>
                <w:rPr>
                  <w:rFonts w:ascii="Calibri" w:hAnsi="Calibri" w:eastAsia="Microsoft YaHei"/>
                  <w:color w:val="008C95"/>
                  <w:u w:val="single"/>
                </w:rPr>
                <w:t>打开原始来源 ↗</w:t>
              </w:r>
            </w:hyperlink>
          </w:p>
        </w:tc>
      </w:tr>
      <w:tr>
        <w:trPr>
          <w:cantSplit/>
        </w:trPr>
        <w:tc>
          <w:tcPr>
            <w:tcW w:type="dxa" w:w="600"/>
          </w:tcPr>
          <w:p>
            <w:pPr>
              <w:keepLines/>
              <w:spacing w:after="0" w:line="276" w:lineRule="auto"/>
            </w:pPr>
            <w:r>
              <w:rPr>
                <w:rFonts w:ascii="Calibri" w:hAnsi="Calibri" w:eastAsia="Microsoft YaHei"/>
                <w:color w:val="0B2545"/>
                <w:sz w:val="13"/>
              </w:rPr>
              <w:t>2026</w:t>
            </w:r>
          </w:p>
        </w:tc>
        <w:tc>
          <w:tcPr>
            <w:tcW w:type="dxa" w:w="1600"/>
          </w:tcPr>
          <w:p>
            <w:pPr>
              <w:keepLines/>
              <w:spacing w:after="0" w:line="276" w:lineRule="auto"/>
            </w:pPr>
            <w:r>
              <w:rPr>
                <w:rFonts w:ascii="Calibri" w:hAnsi="Calibri" w:eastAsia="Microsoft YaHei"/>
                <w:color w:val="0B2545"/>
                <w:sz w:val="13"/>
              </w:rPr>
              <w:t>未完整列出</w:t>
            </w:r>
          </w:p>
        </w:tc>
        <w:tc>
          <w:tcPr>
            <w:tcW w:type="dxa" w:w="3200"/>
          </w:tcPr>
          <w:p>
            <w:pPr>
              <w:keepLines/>
              <w:spacing w:after="0" w:line="276" w:lineRule="auto"/>
            </w:pPr>
            <w:r>
              <w:rPr>
                <w:rFonts w:ascii="Calibri" w:hAnsi="Calibri" w:eastAsia="Microsoft YaHei"/>
                <w:color w:val="0B2545"/>
                <w:sz w:val="13"/>
              </w:rPr>
              <w:t>OMAS documentation</w:t>
            </w:r>
          </w:p>
        </w:tc>
        <w:tc>
          <w:tcPr>
            <w:tcW w:type="dxa" w:w="1700"/>
          </w:tcPr>
          <w:p>
            <w:pPr>
              <w:keepLines/>
              <w:spacing w:after="0" w:line="276" w:lineRule="auto"/>
            </w:pPr>
            <w:r>
              <w:rPr>
                <w:rFonts w:ascii="Calibri" w:hAnsi="Calibri" w:eastAsia="Microsoft YaHei"/>
                <w:color w:val="0B2545"/>
                <w:sz w:val="13"/>
              </w:rPr>
              <w:t>原始论文 / 官方来源</w:t>
            </w:r>
          </w:p>
        </w:tc>
        <w:tc>
          <w:tcPr>
            <w:tcW w:type="dxa" w:w="2260"/>
          </w:tcPr>
          <w:p>
            <w:pPr>
              <w:keepLines/>
              <w:spacing w:after="0" w:line="276" w:lineRule="auto"/>
            </w:pPr>
            <w:hyperlink r:id="rId24">
              <w:r>
                <w:rPr>
                  <w:rFonts w:ascii="Calibri" w:hAnsi="Calibri" w:eastAsia="Microsoft YaHei"/>
                  <w:color w:val="008C95"/>
                  <w:u w:val="single"/>
                </w:rPr>
                <w:t>打开原始来源 ↗</w:t>
              </w:r>
            </w:hyperlink>
          </w:p>
        </w:tc>
      </w:tr>
      <w:tr>
        <w:trPr>
          <w:cantSplit/>
        </w:trPr>
        <w:tc>
          <w:tcPr>
            <w:tcW w:type="dxa" w:w="600"/>
          </w:tcPr>
          <w:p>
            <w:pPr>
              <w:keepLines/>
              <w:spacing w:after="0" w:line="276" w:lineRule="auto"/>
            </w:pPr>
            <w:r>
              <w:rPr>
                <w:rFonts w:ascii="Calibri" w:hAnsi="Calibri" w:eastAsia="Microsoft YaHei"/>
                <w:color w:val="0B2545"/>
                <w:sz w:val="13"/>
              </w:rPr>
              <w:t>2026</w:t>
            </w:r>
          </w:p>
        </w:tc>
        <w:tc>
          <w:tcPr>
            <w:tcW w:type="dxa" w:w="1600"/>
          </w:tcPr>
          <w:p>
            <w:pPr>
              <w:keepLines/>
              <w:spacing w:after="0" w:line="276" w:lineRule="auto"/>
            </w:pPr>
            <w:r>
              <w:rPr>
                <w:rFonts w:ascii="Calibri" w:hAnsi="Calibri" w:eastAsia="Microsoft YaHei"/>
                <w:color w:val="0B2545"/>
                <w:sz w:val="13"/>
              </w:rPr>
              <w:t>未完整列出</w:t>
            </w:r>
          </w:p>
        </w:tc>
        <w:tc>
          <w:tcPr>
            <w:tcW w:type="dxa" w:w="3200"/>
          </w:tcPr>
          <w:p>
            <w:pPr>
              <w:keepLines/>
              <w:spacing w:after="0" w:line="276" w:lineRule="auto"/>
            </w:pPr>
            <w:r>
              <w:rPr>
                <w:rFonts w:ascii="Calibri" w:hAnsi="Calibri" w:eastAsia="Microsoft YaHei"/>
                <w:color w:val="0B2545"/>
                <w:sz w:val="13"/>
              </w:rPr>
              <w:t>InDiCA package release</w:t>
            </w:r>
          </w:p>
        </w:tc>
        <w:tc>
          <w:tcPr>
            <w:tcW w:type="dxa" w:w="1700"/>
          </w:tcPr>
          <w:p>
            <w:pPr>
              <w:keepLines/>
              <w:spacing w:after="0" w:line="276" w:lineRule="auto"/>
            </w:pPr>
            <w:r>
              <w:rPr>
                <w:rFonts w:ascii="Calibri" w:hAnsi="Calibri" w:eastAsia="Microsoft YaHei"/>
                <w:color w:val="0B2545"/>
                <w:sz w:val="13"/>
              </w:rPr>
              <w:t>原始论文 / 官方来源</w:t>
            </w:r>
          </w:p>
        </w:tc>
        <w:tc>
          <w:tcPr>
            <w:tcW w:type="dxa" w:w="2260"/>
          </w:tcPr>
          <w:p>
            <w:pPr>
              <w:keepLines/>
              <w:spacing w:after="0" w:line="276" w:lineRule="auto"/>
            </w:pPr>
            <w:hyperlink r:id="rId207">
              <w:r>
                <w:rPr>
                  <w:rFonts w:ascii="Calibri" w:hAnsi="Calibri" w:eastAsia="Microsoft YaHei"/>
                  <w:color w:val="008C95"/>
                  <w:u w:val="single"/>
                </w:rPr>
                <w:t>打开原始来源 ↗</w:t>
              </w:r>
            </w:hyperlink>
          </w:p>
        </w:tc>
      </w:tr>
      <w:tr>
        <w:trPr>
          <w:cantSplit/>
        </w:trPr>
        <w:tc>
          <w:tcPr>
            <w:tcW w:type="dxa" w:w="600"/>
          </w:tcPr>
          <w:p>
            <w:pPr>
              <w:keepLines/>
              <w:spacing w:after="0" w:line="276" w:lineRule="auto"/>
            </w:pPr>
            <w:r>
              <w:rPr>
                <w:rFonts w:ascii="Calibri" w:hAnsi="Calibri" w:eastAsia="Microsoft YaHei"/>
                <w:color w:val="0B2545"/>
                <w:sz w:val="13"/>
              </w:rPr>
              <w:t>2026</w:t>
            </w:r>
          </w:p>
        </w:tc>
        <w:tc>
          <w:tcPr>
            <w:tcW w:type="dxa" w:w="1600"/>
          </w:tcPr>
          <w:p>
            <w:pPr>
              <w:keepLines/>
              <w:spacing w:after="0" w:line="276" w:lineRule="auto"/>
            </w:pPr>
            <w:r>
              <w:rPr>
                <w:rFonts w:ascii="Calibri" w:hAnsi="Calibri" w:eastAsia="Microsoft YaHei"/>
                <w:color w:val="0B2545"/>
                <w:sz w:val="13"/>
              </w:rPr>
              <w:t>未完整列出</w:t>
            </w:r>
          </w:p>
        </w:tc>
        <w:tc>
          <w:tcPr>
            <w:tcW w:type="dxa" w:w="3200"/>
          </w:tcPr>
          <w:p>
            <w:pPr>
              <w:keepLines/>
              <w:spacing w:after="0" w:line="276" w:lineRule="auto"/>
            </w:pPr>
            <w:r>
              <w:rPr>
                <w:rFonts w:ascii="Calibri" w:hAnsi="Calibri" w:eastAsia="Microsoft YaHei"/>
                <w:color w:val="0B2545"/>
                <w:sz w:val="13"/>
              </w:rPr>
              <w:t>InDiCA official documentation</w:t>
            </w:r>
          </w:p>
        </w:tc>
        <w:tc>
          <w:tcPr>
            <w:tcW w:type="dxa" w:w="1700"/>
          </w:tcPr>
          <w:p>
            <w:pPr>
              <w:keepLines/>
              <w:spacing w:after="0" w:line="276" w:lineRule="auto"/>
            </w:pPr>
            <w:r>
              <w:rPr>
                <w:rFonts w:ascii="Calibri" w:hAnsi="Calibri" w:eastAsia="Microsoft YaHei"/>
                <w:color w:val="0B2545"/>
                <w:sz w:val="13"/>
              </w:rPr>
              <w:t>原始论文 / 官方来源</w:t>
            </w:r>
          </w:p>
        </w:tc>
        <w:tc>
          <w:tcPr>
            <w:tcW w:type="dxa" w:w="2260"/>
          </w:tcPr>
          <w:p>
            <w:pPr>
              <w:keepLines/>
              <w:spacing w:after="0" w:line="276" w:lineRule="auto"/>
            </w:pPr>
            <w:hyperlink r:id="rId206">
              <w:r>
                <w:rPr>
                  <w:rFonts w:ascii="Calibri" w:hAnsi="Calibri" w:eastAsia="Microsoft YaHei"/>
                  <w:color w:val="008C95"/>
                  <w:u w:val="single"/>
                </w:rPr>
                <w:t>打开原始来源 ↗</w:t>
              </w:r>
            </w:hyperlink>
          </w:p>
        </w:tc>
      </w:tr>
      <w:tr>
        <w:trPr>
          <w:cantSplit/>
        </w:trPr>
        <w:tc>
          <w:tcPr>
            <w:tcW w:type="dxa" w:w="600"/>
          </w:tcPr>
          <w:p>
            <w:pPr>
              <w:keepLines/>
              <w:spacing w:after="0" w:line="276" w:lineRule="auto"/>
            </w:pPr>
            <w:r>
              <w:rPr>
                <w:rFonts w:ascii="Calibri" w:hAnsi="Calibri" w:eastAsia="Microsoft YaHei"/>
                <w:color w:val="0B2545"/>
                <w:sz w:val="13"/>
              </w:rPr>
              <w:t>2026</w:t>
            </w:r>
          </w:p>
        </w:tc>
        <w:tc>
          <w:tcPr>
            <w:tcW w:type="dxa" w:w="1600"/>
          </w:tcPr>
          <w:p>
            <w:pPr>
              <w:keepLines/>
              <w:spacing w:after="0" w:line="276" w:lineRule="auto"/>
            </w:pPr>
            <w:r>
              <w:rPr>
                <w:rFonts w:ascii="Calibri" w:hAnsi="Calibri" w:eastAsia="Microsoft YaHei"/>
                <w:color w:val="0B2545"/>
                <w:sz w:val="13"/>
              </w:rPr>
              <w:t>未完整列出</w:t>
            </w:r>
          </w:p>
        </w:tc>
        <w:tc>
          <w:tcPr>
            <w:tcW w:type="dxa" w:w="3200"/>
          </w:tcPr>
          <w:p>
            <w:pPr>
              <w:keepLines/>
              <w:spacing w:after="0" w:line="276" w:lineRule="auto"/>
            </w:pPr>
            <w:r>
              <w:rPr>
                <w:rFonts w:ascii="Calibri" w:hAnsi="Calibri" w:eastAsia="Microsoft YaHei"/>
                <w:color w:val="0B2545"/>
                <w:sz w:val="13"/>
              </w:rPr>
              <w:t>ITER Cooling Water</w:t>
            </w:r>
          </w:p>
        </w:tc>
        <w:tc>
          <w:tcPr>
            <w:tcW w:type="dxa" w:w="1700"/>
          </w:tcPr>
          <w:p>
            <w:pPr>
              <w:keepLines/>
              <w:spacing w:after="0" w:line="276" w:lineRule="auto"/>
            </w:pPr>
            <w:r>
              <w:rPr>
                <w:rFonts w:ascii="Calibri" w:hAnsi="Calibri" w:eastAsia="Microsoft YaHei"/>
                <w:color w:val="0B2545"/>
                <w:sz w:val="13"/>
              </w:rPr>
              <w:t>原始论文 / 官方来源</w:t>
            </w:r>
          </w:p>
        </w:tc>
        <w:tc>
          <w:tcPr>
            <w:tcW w:type="dxa" w:w="2260"/>
          </w:tcPr>
          <w:p>
            <w:pPr>
              <w:keepLines/>
              <w:spacing w:after="0" w:line="276" w:lineRule="auto"/>
            </w:pPr>
            <w:hyperlink r:id="rId152">
              <w:r>
                <w:rPr>
                  <w:rFonts w:ascii="Calibri" w:hAnsi="Calibri" w:eastAsia="Microsoft YaHei"/>
                  <w:color w:val="008C95"/>
                  <w:u w:val="single"/>
                </w:rPr>
                <w:t>打开原始来源 ↗</w:t>
              </w:r>
            </w:hyperlink>
          </w:p>
        </w:tc>
      </w:tr>
      <w:tr>
        <w:trPr>
          <w:cantSplit/>
        </w:trPr>
        <w:tc>
          <w:tcPr>
            <w:tcW w:type="dxa" w:w="600"/>
          </w:tcPr>
          <w:p>
            <w:pPr>
              <w:keepLines/>
              <w:spacing w:after="0" w:line="276" w:lineRule="auto"/>
            </w:pPr>
            <w:r>
              <w:rPr>
                <w:rFonts w:ascii="Calibri" w:hAnsi="Calibri" w:eastAsia="Microsoft YaHei"/>
                <w:color w:val="0B2545"/>
                <w:sz w:val="13"/>
              </w:rPr>
              <w:t>2026</w:t>
            </w:r>
          </w:p>
        </w:tc>
        <w:tc>
          <w:tcPr>
            <w:tcW w:type="dxa" w:w="1600"/>
          </w:tcPr>
          <w:p>
            <w:pPr>
              <w:keepLines/>
              <w:spacing w:after="0" w:line="276" w:lineRule="auto"/>
            </w:pPr>
            <w:r>
              <w:rPr>
                <w:rFonts w:ascii="Calibri" w:hAnsi="Calibri" w:eastAsia="Microsoft YaHei"/>
                <w:color w:val="0B2545"/>
                <w:sz w:val="13"/>
              </w:rPr>
              <w:t>未完整列出</w:t>
            </w:r>
          </w:p>
        </w:tc>
        <w:tc>
          <w:tcPr>
            <w:tcW w:type="dxa" w:w="3200"/>
          </w:tcPr>
          <w:p>
            <w:pPr>
              <w:keepLines/>
              <w:spacing w:after="0" w:line="276" w:lineRule="auto"/>
            </w:pPr>
            <w:r>
              <w:rPr>
                <w:rFonts w:ascii="Calibri" w:hAnsi="Calibri" w:eastAsia="Microsoft YaHei"/>
                <w:color w:val="0B2545"/>
                <w:sz w:val="13"/>
              </w:rPr>
              <w:t>FAIR4Fusion project and blueprint</w:t>
            </w:r>
          </w:p>
        </w:tc>
        <w:tc>
          <w:tcPr>
            <w:tcW w:type="dxa" w:w="1700"/>
          </w:tcPr>
          <w:p>
            <w:pPr>
              <w:keepLines/>
              <w:spacing w:after="0" w:line="276" w:lineRule="auto"/>
            </w:pPr>
            <w:r>
              <w:rPr>
                <w:rFonts w:ascii="Calibri" w:hAnsi="Calibri" w:eastAsia="Microsoft YaHei"/>
                <w:color w:val="0B2545"/>
                <w:sz w:val="13"/>
              </w:rPr>
              <w:t>原始论文 / 官方来源</w:t>
            </w:r>
          </w:p>
        </w:tc>
        <w:tc>
          <w:tcPr>
            <w:tcW w:type="dxa" w:w="2260"/>
          </w:tcPr>
          <w:p>
            <w:pPr>
              <w:keepLines/>
              <w:spacing w:after="0" w:line="276" w:lineRule="auto"/>
            </w:pPr>
            <w:hyperlink r:id="rId26">
              <w:r>
                <w:rPr>
                  <w:rFonts w:ascii="Calibri" w:hAnsi="Calibri" w:eastAsia="Microsoft YaHei"/>
                  <w:color w:val="008C95"/>
                  <w:u w:val="single"/>
                </w:rPr>
                <w:t>打开原始来源 ↗</w:t>
              </w:r>
            </w:hyperlink>
          </w:p>
        </w:tc>
      </w:tr>
      <w:tr>
        <w:trPr>
          <w:cantSplit/>
        </w:trPr>
        <w:tc>
          <w:tcPr>
            <w:tcW w:type="dxa" w:w="600"/>
          </w:tcPr>
          <w:p>
            <w:pPr>
              <w:keepLines/>
              <w:spacing w:after="0" w:line="276" w:lineRule="auto"/>
            </w:pPr>
            <w:r>
              <w:rPr>
                <w:rFonts w:ascii="Calibri" w:hAnsi="Calibri" w:eastAsia="Microsoft YaHei"/>
                <w:color w:val="0B2545"/>
                <w:sz w:val="13"/>
              </w:rPr>
              <w:t>2026</w:t>
            </w:r>
          </w:p>
        </w:tc>
        <w:tc>
          <w:tcPr>
            <w:tcW w:type="dxa" w:w="1600"/>
          </w:tcPr>
          <w:p>
            <w:pPr>
              <w:keepLines/>
              <w:spacing w:after="0" w:line="276" w:lineRule="auto"/>
            </w:pPr>
            <w:r>
              <w:rPr>
                <w:rFonts w:ascii="Calibri" w:hAnsi="Calibri" w:eastAsia="Microsoft YaHei"/>
                <w:color w:val="0B2545"/>
                <w:sz w:val="13"/>
              </w:rPr>
              <w:t>未完整列出</w:t>
            </w:r>
          </w:p>
        </w:tc>
        <w:tc>
          <w:tcPr>
            <w:tcW w:type="dxa" w:w="3200"/>
          </w:tcPr>
          <w:p>
            <w:pPr>
              <w:keepLines/>
              <w:spacing w:after="0" w:line="276" w:lineRule="auto"/>
            </w:pPr>
            <w:r>
              <w:rPr>
                <w:rFonts w:ascii="Calibri" w:hAnsi="Calibri" w:eastAsia="Microsoft YaHei"/>
                <w:color w:val="0B2545"/>
                <w:sz w:val="13"/>
              </w:rPr>
              <w:t>DisruptionPy official repository and documentation</w:t>
            </w:r>
          </w:p>
        </w:tc>
        <w:tc>
          <w:tcPr>
            <w:tcW w:type="dxa" w:w="1700"/>
          </w:tcPr>
          <w:p>
            <w:pPr>
              <w:keepLines/>
              <w:spacing w:after="0" w:line="276" w:lineRule="auto"/>
            </w:pPr>
            <w:r>
              <w:rPr>
                <w:rFonts w:ascii="Calibri" w:hAnsi="Calibri" w:eastAsia="Microsoft YaHei"/>
                <w:color w:val="0B2545"/>
                <w:sz w:val="13"/>
              </w:rPr>
              <w:t>原始论文 / 官方来源</w:t>
            </w:r>
          </w:p>
        </w:tc>
        <w:tc>
          <w:tcPr>
            <w:tcW w:type="dxa" w:w="2260"/>
          </w:tcPr>
          <w:p>
            <w:pPr>
              <w:keepLines/>
              <w:spacing w:after="0" w:line="276" w:lineRule="auto"/>
            </w:pPr>
            <w:hyperlink r:id="rId217">
              <w:r>
                <w:rPr>
                  <w:rFonts w:ascii="Calibri" w:hAnsi="Calibri" w:eastAsia="Microsoft YaHei"/>
                  <w:color w:val="008C95"/>
                  <w:u w:val="single"/>
                </w:rPr>
                <w:t>打开原始来源 ↗</w:t>
              </w:r>
            </w:hyperlink>
          </w:p>
        </w:tc>
      </w:tr>
      <w:tr>
        <w:trPr>
          <w:cantSplit/>
        </w:trPr>
        <w:tc>
          <w:tcPr>
            <w:tcW w:type="dxa" w:w="600"/>
          </w:tcPr>
          <w:p>
            <w:pPr>
              <w:keepLines/>
              <w:spacing w:after="0" w:line="276" w:lineRule="auto"/>
            </w:pPr>
            <w:r>
              <w:rPr>
                <w:rFonts w:ascii="Calibri" w:hAnsi="Calibri" w:eastAsia="Microsoft YaHei"/>
                <w:color w:val="0B2545"/>
                <w:sz w:val="13"/>
              </w:rPr>
              <w:t>2026</w:t>
            </w:r>
          </w:p>
        </w:tc>
        <w:tc>
          <w:tcPr>
            <w:tcW w:type="dxa" w:w="1600"/>
          </w:tcPr>
          <w:p>
            <w:pPr>
              <w:keepLines/>
              <w:spacing w:after="0" w:line="276" w:lineRule="auto"/>
            </w:pPr>
            <w:r>
              <w:rPr>
                <w:rFonts w:ascii="Calibri" w:hAnsi="Calibri" w:eastAsia="Microsoft YaHei"/>
                <w:color w:val="0B2545"/>
                <w:sz w:val="13"/>
              </w:rPr>
              <w:t>Joris Paret; Brian Sammuli; Víctor Costa Pérez; Nathaniel Saura; Laura Hernández Cubo; Daniel Iglesias</w:t>
            </w:r>
          </w:p>
        </w:tc>
        <w:tc>
          <w:tcPr>
            <w:tcW w:type="dxa" w:w="3200"/>
          </w:tcPr>
          <w:p>
            <w:pPr>
              <w:keepLines/>
              <w:spacing w:after="0" w:line="276" w:lineRule="auto"/>
            </w:pPr>
            <w:r>
              <w:rPr>
                <w:rFonts w:ascii="Calibri" w:hAnsi="Calibri" w:eastAsia="Microsoft YaHei"/>
                <w:color w:val="0B2545"/>
                <w:sz w:val="13"/>
              </w:rPr>
              <w:t>Design and implementation of machine learning-based anomaly detection in the ITER Tokamak Systems Monitor</w:t>
            </w:r>
          </w:p>
        </w:tc>
        <w:tc>
          <w:tcPr>
            <w:tcW w:type="dxa" w:w="1700"/>
          </w:tcPr>
          <w:p>
            <w:pPr>
              <w:keepLines/>
              <w:spacing w:after="0" w:line="276" w:lineRule="auto"/>
            </w:pPr>
            <w:r>
              <w:rPr>
                <w:rFonts w:ascii="Calibri" w:hAnsi="Calibri" w:eastAsia="Microsoft YaHei"/>
                <w:color w:val="0B2545"/>
                <w:sz w:val="13"/>
              </w:rPr>
              <w:t>Frontiers in Physics</w:t>
            </w:r>
          </w:p>
        </w:tc>
        <w:tc>
          <w:tcPr>
            <w:tcW w:type="dxa" w:w="2260"/>
          </w:tcPr>
          <w:p>
            <w:pPr>
              <w:keepLines/>
              <w:spacing w:after="0" w:line="276" w:lineRule="auto"/>
            </w:pPr>
            <w:hyperlink r:id="rId128">
              <w:r>
                <w:rPr>
                  <w:rFonts w:ascii="Calibri" w:hAnsi="Calibri" w:eastAsia="Microsoft YaHei"/>
                  <w:color w:val="008C95"/>
                  <w:u w:val="single"/>
                </w:rPr>
                <w:t>打开原始来源 ↗</w:t>
              </w:r>
            </w:hyperlink>
          </w:p>
        </w:tc>
      </w:tr>
      <w:tr>
        <w:trPr>
          <w:cantSplit/>
        </w:trPr>
        <w:tc>
          <w:tcPr>
            <w:tcW w:type="dxa" w:w="600"/>
          </w:tcPr>
          <w:p>
            <w:pPr>
              <w:keepLines/>
              <w:spacing w:after="0" w:line="276" w:lineRule="auto"/>
            </w:pPr>
            <w:r>
              <w:rPr>
                <w:rFonts w:ascii="Calibri" w:hAnsi="Calibri" w:eastAsia="Microsoft YaHei"/>
                <w:color w:val="0B2545"/>
                <w:sz w:val="13"/>
              </w:rPr>
              <w:t>2026</w:t>
            </w:r>
          </w:p>
        </w:tc>
        <w:tc>
          <w:tcPr>
            <w:tcW w:type="dxa" w:w="1600"/>
          </w:tcPr>
          <w:p>
            <w:pPr>
              <w:keepLines/>
              <w:spacing w:after="0" w:line="276" w:lineRule="auto"/>
            </w:pPr>
            <w:r>
              <w:rPr>
                <w:rFonts w:ascii="Calibri" w:hAnsi="Calibri" w:eastAsia="Microsoft YaHei"/>
                <w:color w:val="0B2545"/>
                <w:sz w:val="13"/>
              </w:rPr>
              <w:t>未完整列出</w:t>
            </w:r>
          </w:p>
        </w:tc>
        <w:tc>
          <w:tcPr>
            <w:tcW w:type="dxa" w:w="3200"/>
          </w:tcPr>
          <w:p>
            <w:pPr>
              <w:keepLines/>
              <w:spacing w:after="0" w:line="276" w:lineRule="auto"/>
            </w:pPr>
            <w:r>
              <w:rPr>
                <w:rFonts w:ascii="Calibri" w:hAnsi="Calibri" w:eastAsia="Microsoft YaHei"/>
                <w:color w:val="0B2545"/>
                <w:sz w:val="13"/>
              </w:rPr>
              <w:t>Calcam documentation</w:t>
            </w:r>
          </w:p>
        </w:tc>
        <w:tc>
          <w:tcPr>
            <w:tcW w:type="dxa" w:w="1700"/>
          </w:tcPr>
          <w:p>
            <w:pPr>
              <w:keepLines/>
              <w:spacing w:after="0" w:line="276" w:lineRule="auto"/>
            </w:pPr>
            <w:r>
              <w:rPr>
                <w:rFonts w:ascii="Calibri" w:hAnsi="Calibri" w:eastAsia="Microsoft YaHei"/>
                <w:color w:val="0B2545"/>
                <w:sz w:val="13"/>
              </w:rPr>
              <w:t>原始论文 / 官方来源</w:t>
            </w:r>
          </w:p>
        </w:tc>
        <w:tc>
          <w:tcPr>
            <w:tcW w:type="dxa" w:w="2260"/>
          </w:tcPr>
          <w:p>
            <w:pPr>
              <w:keepLines/>
              <w:spacing w:after="0" w:line="276" w:lineRule="auto"/>
            </w:pPr>
            <w:hyperlink r:id="rId27">
              <w:r>
                <w:rPr>
                  <w:rFonts w:ascii="Calibri" w:hAnsi="Calibri" w:eastAsia="Microsoft YaHei"/>
                  <w:color w:val="008C95"/>
                  <w:u w:val="single"/>
                </w:rPr>
                <w:t>打开原始来源 ↗</w:t>
              </w:r>
            </w:hyperlink>
          </w:p>
        </w:tc>
      </w:tr>
      <w:tr>
        <w:trPr>
          <w:cantSplit/>
        </w:trPr>
        <w:tc>
          <w:tcPr>
            <w:tcW w:type="dxa" w:w="600"/>
          </w:tcPr>
          <w:p>
            <w:pPr>
              <w:keepLines/>
              <w:spacing w:after="0" w:line="276" w:lineRule="auto"/>
            </w:pPr>
            <w:r>
              <w:rPr>
                <w:rFonts w:ascii="Calibri" w:hAnsi="Calibri" w:eastAsia="Microsoft YaHei"/>
                <w:color w:val="0B2545"/>
                <w:sz w:val="13"/>
              </w:rPr>
              <w:t>2026</w:t>
            </w:r>
          </w:p>
        </w:tc>
        <w:tc>
          <w:tcPr>
            <w:tcW w:type="dxa" w:w="1600"/>
          </w:tcPr>
          <w:p>
            <w:pPr>
              <w:keepLines/>
              <w:spacing w:after="0" w:line="276" w:lineRule="auto"/>
            </w:pPr>
            <w:r>
              <w:rPr>
                <w:rFonts w:ascii="Calibri" w:hAnsi="Calibri" w:eastAsia="Microsoft YaHei"/>
                <w:color w:val="0B2545"/>
                <w:sz w:val="13"/>
              </w:rPr>
              <w:t>Scott Silburn; James Harrison; Tom Farley; Jordan Cavalier; Sam Van Stroud; Jamie McGowan; Augustin Marignier; Emily Nurse; Christian Gutschow; Mark Smithies; Alasdair Wynn; Rhys Doyle; et al. (15 authors)</w:t>
            </w:r>
          </w:p>
        </w:tc>
        <w:tc>
          <w:tcPr>
            <w:tcW w:type="dxa" w:w="3200"/>
          </w:tcPr>
          <w:p>
            <w:pPr>
              <w:keepLines/>
              <w:spacing w:after="0" w:line="276" w:lineRule="auto"/>
            </w:pPr>
            <w:r>
              <w:rPr>
                <w:rFonts w:ascii="Calibri" w:hAnsi="Calibri" w:eastAsia="Microsoft YaHei"/>
                <w:color w:val="0B2545"/>
                <w:sz w:val="13"/>
              </w:rPr>
              <w:t>Calcam</w:t>
            </w:r>
          </w:p>
        </w:tc>
        <w:tc>
          <w:tcPr>
            <w:tcW w:type="dxa" w:w="1700"/>
          </w:tcPr>
          <w:p>
            <w:pPr>
              <w:keepLines/>
              <w:spacing w:after="0" w:line="276" w:lineRule="auto"/>
            </w:pPr>
            <w:r>
              <w:rPr>
                <w:rFonts w:ascii="Calibri" w:hAnsi="Calibri" w:eastAsia="Microsoft YaHei"/>
                <w:color w:val="0B2545"/>
                <w:sz w:val="13"/>
              </w:rPr>
              <w:t>Zenodo</w:t>
            </w:r>
          </w:p>
        </w:tc>
        <w:tc>
          <w:tcPr>
            <w:tcW w:type="dxa" w:w="2260"/>
          </w:tcPr>
          <w:p>
            <w:pPr>
              <w:keepLines/>
              <w:spacing w:after="0" w:line="276" w:lineRule="auto"/>
            </w:pPr>
            <w:hyperlink r:id="rId28">
              <w:r>
                <w:rPr>
                  <w:rFonts w:ascii="Calibri" w:hAnsi="Calibri" w:eastAsia="Microsoft YaHei"/>
                  <w:color w:val="008C95"/>
                  <w:u w:val="single"/>
                </w:rPr>
                <w:t>打开原始来源 ↗</w:t>
              </w:r>
            </w:hyperlink>
          </w:p>
        </w:tc>
      </w:tr>
      <w:tr>
        <w:trPr>
          <w:cantSplit/>
        </w:trPr>
        <w:tc>
          <w:tcPr>
            <w:tcW w:type="dxa" w:w="600"/>
          </w:tcPr>
          <w:p>
            <w:pPr>
              <w:keepLines/>
              <w:spacing w:after="0" w:line="276" w:lineRule="auto"/>
            </w:pPr>
            <w:r>
              <w:rPr>
                <w:rFonts w:ascii="Calibri" w:hAnsi="Calibri" w:eastAsia="Microsoft YaHei"/>
                <w:color w:val="0B2545"/>
                <w:sz w:val="13"/>
              </w:rPr>
              <w:t>2025</w:t>
            </w:r>
          </w:p>
        </w:tc>
        <w:tc>
          <w:tcPr>
            <w:tcW w:type="dxa" w:w="1600"/>
          </w:tcPr>
          <w:p>
            <w:pPr>
              <w:keepLines/>
              <w:spacing w:after="0" w:line="276" w:lineRule="auto"/>
            </w:pPr>
            <w:r>
              <w:rPr>
                <w:rFonts w:ascii="Calibri" w:hAnsi="Calibri" w:eastAsia="Microsoft YaHei"/>
                <w:color w:val="0B2545"/>
                <w:sz w:val="13"/>
              </w:rPr>
              <w:t>N.S. Zhiltsov; G.S. Kurskiev; S.Yu. Tolstyakov; V.A. Solovey; A.N. Koval; E.E. Tkachenko; S.E. Aleksandrov; N.N. Bakharev; I.M. Balachenkov; A.N. Bazhenov; P.V. Chernakov; S.V. Filippov; et al. (36 authors)</w:t>
            </w:r>
          </w:p>
        </w:tc>
        <w:tc>
          <w:tcPr>
            <w:tcW w:type="dxa" w:w="3200"/>
          </w:tcPr>
          <w:p>
            <w:pPr>
              <w:keepLines/>
              <w:spacing w:after="0" w:line="276" w:lineRule="auto"/>
            </w:pPr>
            <w:r>
              <w:rPr>
                <w:rFonts w:ascii="Calibri" w:hAnsi="Calibri" w:eastAsia="Microsoft YaHei"/>
                <w:color w:val="0B2545"/>
                <w:sz w:val="13"/>
              </w:rPr>
              <w:t>Thomson scattering diagnostics at the Globus-M2 tokamak</w:t>
            </w:r>
          </w:p>
        </w:tc>
        <w:tc>
          <w:tcPr>
            <w:tcW w:type="dxa" w:w="1700"/>
          </w:tcPr>
          <w:p>
            <w:pPr>
              <w:keepLines/>
              <w:spacing w:after="0" w:line="276" w:lineRule="auto"/>
            </w:pPr>
            <w:r>
              <w:rPr>
                <w:rFonts w:ascii="Calibri" w:hAnsi="Calibri" w:eastAsia="Microsoft YaHei"/>
                <w:color w:val="0B2545"/>
                <w:sz w:val="13"/>
              </w:rPr>
              <w:t>Fusion Engineering and Design</w:t>
            </w:r>
          </w:p>
        </w:tc>
        <w:tc>
          <w:tcPr>
            <w:tcW w:type="dxa" w:w="2260"/>
          </w:tcPr>
          <w:p>
            <w:pPr>
              <w:keepLines/>
              <w:spacing w:after="0" w:line="276" w:lineRule="auto"/>
            </w:pPr>
            <w:hyperlink r:id="rId49">
              <w:r>
                <w:rPr>
                  <w:rFonts w:ascii="Calibri" w:hAnsi="Calibri" w:eastAsia="Microsoft YaHei"/>
                  <w:color w:val="008C95"/>
                  <w:u w:val="single"/>
                </w:rPr>
                <w:t>打开原始来源 ↗</w:t>
              </w:r>
            </w:hyperlink>
          </w:p>
        </w:tc>
      </w:tr>
      <w:tr>
        <w:trPr>
          <w:cantSplit/>
        </w:trPr>
        <w:tc>
          <w:tcPr>
            <w:tcW w:type="dxa" w:w="600"/>
          </w:tcPr>
          <w:p>
            <w:pPr>
              <w:keepLines/>
              <w:spacing w:after="0" w:line="276" w:lineRule="auto"/>
            </w:pPr>
            <w:r>
              <w:rPr>
                <w:rFonts w:ascii="Calibri" w:hAnsi="Calibri" w:eastAsia="Microsoft YaHei"/>
                <w:color w:val="0B2545"/>
                <w:sz w:val="13"/>
              </w:rPr>
              <w:t>2025</w:t>
            </w:r>
          </w:p>
        </w:tc>
        <w:tc>
          <w:tcPr>
            <w:tcW w:type="dxa" w:w="1600"/>
          </w:tcPr>
          <w:p>
            <w:pPr>
              <w:keepLines/>
              <w:spacing w:after="0" w:line="276" w:lineRule="auto"/>
            </w:pPr>
            <w:r>
              <w:rPr>
                <w:rFonts w:ascii="Calibri" w:hAnsi="Calibri" w:eastAsia="Microsoft YaHei"/>
                <w:color w:val="0B2545"/>
                <w:sz w:val="13"/>
              </w:rPr>
              <w:t>T. Verdier; J. Rasmussen; J. Stober; S. K. Nielsen</w:t>
            </w:r>
          </w:p>
        </w:tc>
        <w:tc>
          <w:tcPr>
            <w:tcW w:type="dxa" w:w="3200"/>
          </w:tcPr>
          <w:p>
            <w:pPr>
              <w:keepLines/>
              <w:spacing w:after="0" w:line="276" w:lineRule="auto"/>
            </w:pPr>
            <w:r>
              <w:rPr>
                <w:rFonts w:ascii="Calibri" w:hAnsi="Calibri" w:eastAsia="Microsoft YaHei"/>
                <w:color w:val="0B2545"/>
                <w:sz w:val="13"/>
              </w:rPr>
              <w:t>Robust monitoring of thermal and fast ions using collective Thomson scattering: Combining physics- and data-driven background estimation</w:t>
            </w:r>
          </w:p>
        </w:tc>
        <w:tc>
          <w:tcPr>
            <w:tcW w:type="dxa" w:w="1700"/>
          </w:tcPr>
          <w:p>
            <w:pPr>
              <w:keepLines/>
              <w:spacing w:after="0" w:line="276" w:lineRule="auto"/>
            </w:pPr>
            <w:r>
              <w:rPr>
                <w:rFonts w:ascii="Calibri" w:hAnsi="Calibri" w:eastAsia="Microsoft YaHei"/>
                <w:color w:val="0B2545"/>
                <w:sz w:val="13"/>
              </w:rPr>
              <w:t>Review of Scientific Instruments</w:t>
            </w:r>
          </w:p>
        </w:tc>
        <w:tc>
          <w:tcPr>
            <w:tcW w:type="dxa" w:w="2260"/>
          </w:tcPr>
          <w:p>
            <w:pPr>
              <w:keepLines/>
              <w:spacing w:after="0" w:line="276" w:lineRule="auto"/>
            </w:pPr>
            <w:hyperlink r:id="rId100">
              <w:r>
                <w:rPr>
                  <w:rFonts w:ascii="Calibri" w:hAnsi="Calibri" w:eastAsia="Microsoft YaHei"/>
                  <w:color w:val="008C95"/>
                  <w:u w:val="single"/>
                </w:rPr>
                <w:t>打开原始来源 ↗</w:t>
              </w:r>
            </w:hyperlink>
          </w:p>
        </w:tc>
      </w:tr>
      <w:tr>
        <w:trPr>
          <w:cantSplit/>
        </w:trPr>
        <w:tc>
          <w:tcPr>
            <w:tcW w:type="dxa" w:w="600"/>
          </w:tcPr>
          <w:p>
            <w:pPr>
              <w:keepLines/>
              <w:spacing w:after="0" w:line="276" w:lineRule="auto"/>
            </w:pPr>
            <w:r>
              <w:rPr>
                <w:rFonts w:ascii="Calibri" w:hAnsi="Calibri" w:eastAsia="Microsoft YaHei"/>
                <w:color w:val="0B2545"/>
                <w:sz w:val="13"/>
              </w:rPr>
              <w:t>2025</w:t>
            </w:r>
          </w:p>
        </w:tc>
        <w:tc>
          <w:tcPr>
            <w:tcW w:type="dxa" w:w="1600"/>
          </w:tcPr>
          <w:p>
            <w:pPr>
              <w:keepLines/>
              <w:spacing w:after="0" w:line="276" w:lineRule="auto"/>
            </w:pPr>
            <w:r>
              <w:rPr>
                <w:rFonts w:ascii="Calibri" w:hAnsi="Calibri" w:eastAsia="Microsoft YaHei"/>
                <w:color w:val="0B2545"/>
                <w:sz w:val="13"/>
              </w:rPr>
              <w:t>未完整列出</w:t>
            </w:r>
          </w:p>
        </w:tc>
        <w:tc>
          <w:tcPr>
            <w:tcW w:type="dxa" w:w="3200"/>
          </w:tcPr>
          <w:p>
            <w:pPr>
              <w:keepLines/>
              <w:spacing w:after="0" w:line="276" w:lineRule="auto"/>
            </w:pPr>
            <w:r>
              <w:rPr>
                <w:rFonts w:ascii="Calibri" w:hAnsi="Calibri" w:eastAsia="Microsoft YaHei"/>
                <w:color w:val="0B2545"/>
                <w:sz w:val="13"/>
              </w:rPr>
              <w:t>Release of IMAS infrastructure and physics models as open source</w:t>
            </w:r>
          </w:p>
        </w:tc>
        <w:tc>
          <w:tcPr>
            <w:tcW w:type="dxa" w:w="1700"/>
          </w:tcPr>
          <w:p>
            <w:pPr>
              <w:keepLines/>
              <w:spacing w:after="0" w:line="276" w:lineRule="auto"/>
            </w:pPr>
            <w:r>
              <w:rPr>
                <w:rFonts w:ascii="Calibri" w:hAnsi="Calibri" w:eastAsia="Microsoft YaHei"/>
                <w:color w:val="0B2545"/>
                <w:sz w:val="13"/>
              </w:rPr>
              <w:t>原始论文 / 官方来源</w:t>
            </w:r>
          </w:p>
        </w:tc>
        <w:tc>
          <w:tcPr>
            <w:tcW w:type="dxa" w:w="2260"/>
          </w:tcPr>
          <w:p>
            <w:pPr>
              <w:keepLines/>
              <w:spacing w:after="0" w:line="276" w:lineRule="auto"/>
            </w:pPr>
            <w:hyperlink r:id="rId16">
              <w:r>
                <w:rPr>
                  <w:rFonts w:ascii="Calibri" w:hAnsi="Calibri" w:eastAsia="Microsoft YaHei"/>
                  <w:color w:val="008C95"/>
                  <w:u w:val="single"/>
                </w:rPr>
                <w:t>打开原始来源 ↗</w:t>
              </w:r>
            </w:hyperlink>
          </w:p>
        </w:tc>
      </w:tr>
      <w:tr>
        <w:trPr>
          <w:cantSplit/>
        </w:trPr>
        <w:tc>
          <w:tcPr>
            <w:tcW w:type="dxa" w:w="600"/>
          </w:tcPr>
          <w:p>
            <w:pPr>
              <w:keepLines/>
              <w:spacing w:after="0" w:line="276" w:lineRule="auto"/>
            </w:pPr>
            <w:r>
              <w:rPr>
                <w:rFonts w:ascii="Calibri" w:hAnsi="Calibri" w:eastAsia="Microsoft YaHei"/>
                <w:color w:val="0B2545"/>
                <w:sz w:val="13"/>
              </w:rPr>
              <w:t>2025</w:t>
            </w:r>
          </w:p>
        </w:tc>
        <w:tc>
          <w:tcPr>
            <w:tcW w:type="dxa" w:w="1600"/>
          </w:tcPr>
          <w:p>
            <w:pPr>
              <w:keepLines/>
              <w:spacing w:after="0" w:line="276" w:lineRule="auto"/>
            </w:pPr>
            <w:r>
              <w:rPr>
                <w:rFonts w:ascii="Calibri" w:hAnsi="Calibri" w:eastAsia="Microsoft YaHei"/>
                <w:color w:val="0B2545"/>
                <w:sz w:val="13"/>
              </w:rPr>
              <w:t>Marie-Helene Aumeunier; Alexis Juven; Priyanka Jena; Vincent Martin; Martin Kocan</w:t>
            </w:r>
          </w:p>
        </w:tc>
        <w:tc>
          <w:tcPr>
            <w:tcW w:type="dxa" w:w="3200"/>
          </w:tcPr>
          <w:p>
            <w:pPr>
              <w:keepLines/>
              <w:spacing w:after="0" w:line="276" w:lineRule="auto"/>
            </w:pPr>
            <w:r>
              <w:rPr>
                <w:rFonts w:ascii="Calibri" w:hAnsi="Calibri" w:eastAsia="Microsoft YaHei"/>
                <w:color w:val="0B2545"/>
                <w:sz w:val="13"/>
              </w:rPr>
              <w:t>Prediction and evaluation of measurement performances of imaging diagnostics for ITER wall protection</w:t>
            </w:r>
          </w:p>
        </w:tc>
        <w:tc>
          <w:tcPr>
            <w:tcW w:type="dxa" w:w="1700"/>
          </w:tcPr>
          <w:p>
            <w:pPr>
              <w:keepLines/>
              <w:spacing w:after="0" w:line="276" w:lineRule="auto"/>
            </w:pPr>
            <w:r>
              <w:rPr>
                <w:rFonts w:ascii="Calibri" w:hAnsi="Calibri" w:eastAsia="Microsoft YaHei"/>
                <w:color w:val="0B2545"/>
                <w:sz w:val="13"/>
              </w:rPr>
              <w:t>Fusion Engineering and Design</w:t>
            </w:r>
          </w:p>
        </w:tc>
        <w:tc>
          <w:tcPr>
            <w:tcW w:type="dxa" w:w="2260"/>
          </w:tcPr>
          <w:p>
            <w:pPr>
              <w:keepLines/>
              <w:spacing w:after="0" w:line="276" w:lineRule="auto"/>
            </w:pPr>
            <w:hyperlink r:id="rId115">
              <w:r>
                <w:rPr>
                  <w:rFonts w:ascii="Calibri" w:hAnsi="Calibri" w:eastAsia="Microsoft YaHei"/>
                  <w:color w:val="008C95"/>
                  <w:u w:val="single"/>
                </w:rPr>
                <w:t>打开原始来源 ↗</w:t>
              </w:r>
            </w:hyperlink>
          </w:p>
        </w:tc>
      </w:tr>
      <w:tr>
        <w:trPr>
          <w:cantSplit/>
        </w:trPr>
        <w:tc>
          <w:tcPr>
            <w:tcW w:type="dxa" w:w="600"/>
          </w:tcPr>
          <w:p>
            <w:pPr>
              <w:keepLines/>
              <w:spacing w:after="0" w:line="276" w:lineRule="auto"/>
            </w:pPr>
            <w:r>
              <w:rPr>
                <w:rFonts w:ascii="Calibri" w:hAnsi="Calibri" w:eastAsia="Microsoft YaHei"/>
                <w:color w:val="0B2545"/>
                <w:sz w:val="13"/>
              </w:rPr>
              <w:t>2025</w:t>
            </w:r>
          </w:p>
        </w:tc>
        <w:tc>
          <w:tcPr>
            <w:tcW w:type="dxa" w:w="1600"/>
          </w:tcPr>
          <w:p>
            <w:pPr>
              <w:keepLines/>
              <w:spacing w:after="0" w:line="276" w:lineRule="auto"/>
            </w:pPr>
            <w:r>
              <w:rPr>
                <w:rFonts w:ascii="Calibri" w:hAnsi="Calibri" w:eastAsia="Microsoft YaHei"/>
                <w:color w:val="0B2545"/>
                <w:sz w:val="13"/>
              </w:rPr>
              <w:t>S. Polosatkin; V. Belykh; A. Rovenskikh</w:t>
            </w:r>
          </w:p>
        </w:tc>
        <w:tc>
          <w:tcPr>
            <w:tcW w:type="dxa" w:w="3200"/>
          </w:tcPr>
          <w:p>
            <w:pPr>
              <w:keepLines/>
              <w:spacing w:after="0" w:line="276" w:lineRule="auto"/>
            </w:pPr>
            <w:r>
              <w:rPr>
                <w:rFonts w:ascii="Calibri" w:hAnsi="Calibri" w:eastAsia="Microsoft YaHei"/>
                <w:color w:val="0B2545"/>
                <w:sz w:val="13"/>
              </w:rPr>
              <w:t>Neutral particle analyzer for plasma diagnostics on tokamak ST40</w:t>
            </w:r>
          </w:p>
        </w:tc>
        <w:tc>
          <w:tcPr>
            <w:tcW w:type="dxa" w:w="1700"/>
          </w:tcPr>
          <w:p>
            <w:pPr>
              <w:keepLines/>
              <w:spacing w:after="0" w:line="276" w:lineRule="auto"/>
            </w:pPr>
            <w:r>
              <w:rPr>
                <w:rFonts w:ascii="Calibri" w:hAnsi="Calibri" w:eastAsia="Microsoft YaHei"/>
                <w:color w:val="0B2545"/>
                <w:sz w:val="13"/>
              </w:rPr>
              <w:t>Review of Scientific Instruments</w:t>
            </w:r>
          </w:p>
        </w:tc>
        <w:tc>
          <w:tcPr>
            <w:tcW w:type="dxa" w:w="2260"/>
          </w:tcPr>
          <w:p>
            <w:pPr>
              <w:keepLines/>
              <w:spacing w:after="0" w:line="276" w:lineRule="auto"/>
            </w:pPr>
            <w:hyperlink r:id="rId64">
              <w:r>
                <w:rPr>
                  <w:rFonts w:ascii="Calibri" w:hAnsi="Calibri" w:eastAsia="Microsoft YaHei"/>
                  <w:color w:val="008C95"/>
                  <w:u w:val="single"/>
                </w:rPr>
                <w:t>打开原始来源 ↗</w:t>
              </w:r>
            </w:hyperlink>
          </w:p>
        </w:tc>
      </w:tr>
      <w:tr>
        <w:trPr>
          <w:cantSplit/>
        </w:trPr>
        <w:tc>
          <w:tcPr>
            <w:tcW w:type="dxa" w:w="600"/>
          </w:tcPr>
          <w:p>
            <w:pPr>
              <w:keepLines/>
              <w:spacing w:after="0" w:line="276" w:lineRule="auto"/>
            </w:pPr>
            <w:r>
              <w:rPr>
                <w:rFonts w:ascii="Calibri" w:hAnsi="Calibri" w:eastAsia="Microsoft YaHei"/>
                <w:color w:val="0B2545"/>
                <w:sz w:val="13"/>
              </w:rPr>
              <w:t>2025</w:t>
            </w:r>
          </w:p>
        </w:tc>
        <w:tc>
          <w:tcPr>
            <w:tcW w:type="dxa" w:w="1600"/>
          </w:tcPr>
          <w:p>
            <w:pPr>
              <w:keepLines/>
              <w:spacing w:after="0" w:line="276" w:lineRule="auto"/>
            </w:pPr>
            <w:r>
              <w:rPr>
                <w:rFonts w:ascii="Calibri" w:hAnsi="Calibri" w:eastAsia="Microsoft YaHei"/>
                <w:color w:val="0B2545"/>
                <w:sz w:val="13"/>
              </w:rPr>
              <w:t>未完整列出</w:t>
            </w:r>
          </w:p>
        </w:tc>
        <w:tc>
          <w:tcPr>
            <w:tcW w:type="dxa" w:w="3200"/>
          </w:tcPr>
          <w:p>
            <w:pPr>
              <w:keepLines/>
              <w:spacing w:after="0" w:line="276" w:lineRule="auto"/>
            </w:pPr>
            <w:r>
              <w:rPr>
                <w:rFonts w:ascii="Calibri" w:hAnsi="Calibri" w:eastAsia="Microsoft YaHei"/>
                <w:color w:val="0B2545"/>
                <w:sz w:val="13"/>
              </w:rPr>
              <w:t>NSTX-U Data Management Plan</w:t>
            </w:r>
          </w:p>
        </w:tc>
        <w:tc>
          <w:tcPr>
            <w:tcW w:type="dxa" w:w="1700"/>
          </w:tcPr>
          <w:p>
            <w:pPr>
              <w:keepLines/>
              <w:spacing w:after="0" w:line="276" w:lineRule="auto"/>
            </w:pPr>
            <w:r>
              <w:rPr>
                <w:rFonts w:ascii="Calibri" w:hAnsi="Calibri" w:eastAsia="Microsoft YaHei"/>
                <w:color w:val="0B2545"/>
                <w:sz w:val="13"/>
              </w:rPr>
              <w:t>原始论文 / 官方来源</w:t>
            </w:r>
          </w:p>
        </w:tc>
        <w:tc>
          <w:tcPr>
            <w:tcW w:type="dxa" w:w="2260"/>
          </w:tcPr>
          <w:p>
            <w:pPr>
              <w:keepLines/>
              <w:spacing w:after="0" w:line="276" w:lineRule="auto"/>
            </w:pPr>
            <w:hyperlink r:id="rId155">
              <w:r>
                <w:rPr>
                  <w:rFonts w:ascii="Calibri" w:hAnsi="Calibri" w:eastAsia="Microsoft YaHei"/>
                  <w:color w:val="008C95"/>
                  <w:u w:val="single"/>
                </w:rPr>
                <w:t>打开原始来源 ↗</w:t>
              </w:r>
            </w:hyperlink>
          </w:p>
        </w:tc>
      </w:tr>
      <w:tr>
        <w:trPr>
          <w:cantSplit/>
        </w:trPr>
        <w:tc>
          <w:tcPr>
            <w:tcW w:type="dxa" w:w="600"/>
          </w:tcPr>
          <w:p>
            <w:pPr>
              <w:keepLines/>
              <w:spacing w:after="0" w:line="276" w:lineRule="auto"/>
            </w:pPr>
            <w:r>
              <w:rPr>
                <w:rFonts w:ascii="Calibri" w:hAnsi="Calibri" w:eastAsia="Microsoft YaHei"/>
                <w:color w:val="0B2545"/>
                <w:sz w:val="13"/>
              </w:rPr>
              <w:t>2025</w:t>
            </w:r>
          </w:p>
        </w:tc>
        <w:tc>
          <w:tcPr>
            <w:tcW w:type="dxa" w:w="1600"/>
          </w:tcPr>
          <w:p>
            <w:pPr>
              <w:keepLines/>
              <w:spacing w:after="0" w:line="276" w:lineRule="auto"/>
            </w:pPr>
            <w:r>
              <w:rPr>
                <w:rFonts w:ascii="Calibri" w:hAnsi="Calibri" w:eastAsia="Microsoft YaHei"/>
                <w:color w:val="0B2545"/>
                <w:sz w:val="13"/>
              </w:rPr>
              <w:t>Azarakhsh Jalalvand; SangKyeun Kim; Jaemin Seo; Qiming Hu; Max Curie; Peter Steiner; Andrew Oakleigh Nelson; Yong-Su Na; Egemen Kolemen</w:t>
            </w:r>
          </w:p>
        </w:tc>
        <w:tc>
          <w:tcPr>
            <w:tcW w:type="dxa" w:w="3200"/>
          </w:tcPr>
          <w:p>
            <w:pPr>
              <w:keepLines/>
              <w:spacing w:after="0" w:line="276" w:lineRule="auto"/>
            </w:pPr>
            <w:r>
              <w:rPr>
                <w:rFonts w:ascii="Calibri" w:hAnsi="Calibri" w:eastAsia="Microsoft YaHei"/>
                <w:color w:val="0B2545"/>
                <w:sz w:val="13"/>
              </w:rPr>
              <w:t>Multimodal super-resolution: discovering hidden physics and its application to fusion plasmas</w:t>
            </w:r>
          </w:p>
        </w:tc>
        <w:tc>
          <w:tcPr>
            <w:tcW w:type="dxa" w:w="1700"/>
          </w:tcPr>
          <w:p>
            <w:pPr>
              <w:keepLines/>
              <w:spacing w:after="0" w:line="276" w:lineRule="auto"/>
            </w:pPr>
            <w:r>
              <w:rPr>
                <w:rFonts w:ascii="Calibri" w:hAnsi="Calibri" w:eastAsia="Microsoft YaHei"/>
                <w:color w:val="0B2545"/>
                <w:sz w:val="13"/>
              </w:rPr>
              <w:t>Nature Communications</w:t>
            </w:r>
          </w:p>
        </w:tc>
        <w:tc>
          <w:tcPr>
            <w:tcW w:type="dxa" w:w="2260"/>
          </w:tcPr>
          <w:p>
            <w:pPr>
              <w:keepLines/>
              <w:spacing w:after="0" w:line="276" w:lineRule="auto"/>
            </w:pPr>
            <w:hyperlink r:id="rId210">
              <w:r>
                <w:rPr>
                  <w:rFonts w:ascii="Calibri" w:hAnsi="Calibri" w:eastAsia="Microsoft YaHei"/>
                  <w:color w:val="008C95"/>
                  <w:u w:val="single"/>
                </w:rPr>
                <w:t>打开原始来源 ↗</w:t>
              </w:r>
            </w:hyperlink>
          </w:p>
        </w:tc>
      </w:tr>
      <w:tr>
        <w:trPr>
          <w:cantSplit/>
        </w:trPr>
        <w:tc>
          <w:tcPr>
            <w:tcW w:type="dxa" w:w="600"/>
          </w:tcPr>
          <w:p>
            <w:pPr>
              <w:keepLines/>
              <w:spacing w:after="0" w:line="276" w:lineRule="auto"/>
            </w:pPr>
            <w:r>
              <w:rPr>
                <w:rFonts w:ascii="Calibri" w:hAnsi="Calibri" w:eastAsia="Microsoft YaHei"/>
                <w:color w:val="0B2545"/>
                <w:sz w:val="13"/>
              </w:rPr>
              <w:t>2025</w:t>
            </w:r>
          </w:p>
        </w:tc>
        <w:tc>
          <w:tcPr>
            <w:tcW w:type="dxa" w:w="1600"/>
          </w:tcPr>
          <w:p>
            <w:pPr>
              <w:keepLines/>
              <w:spacing w:after="0" w:line="276" w:lineRule="auto"/>
            </w:pPr>
            <w:r>
              <w:rPr>
                <w:rFonts w:ascii="Calibri" w:hAnsi="Calibri" w:eastAsia="Microsoft YaHei"/>
                <w:color w:val="0B2545"/>
                <w:sz w:val="13"/>
              </w:rPr>
              <w:t>Maylis Carrard; R Sabot; Y Moudden; F Clairet; C Jammes; C Bouchand; C Bottereau</w:t>
            </w:r>
          </w:p>
        </w:tc>
        <w:tc>
          <w:tcPr>
            <w:tcW w:type="dxa" w:w="3200"/>
          </w:tcPr>
          <w:p>
            <w:pPr>
              <w:keepLines/>
              <w:spacing w:after="0" w:line="276" w:lineRule="auto"/>
            </w:pPr>
            <w:r>
              <w:rPr>
                <w:rFonts w:ascii="Calibri" w:hAnsi="Calibri" w:eastAsia="Microsoft YaHei"/>
                <w:color w:val="0B2545"/>
                <w:sz w:val="13"/>
              </w:rPr>
              <w:t>Implementation of real-time reflectometry for electronic density profile reconstruction on the WEST tokamak</w:t>
            </w:r>
          </w:p>
        </w:tc>
        <w:tc>
          <w:tcPr>
            <w:tcW w:type="dxa" w:w="1700"/>
          </w:tcPr>
          <w:p>
            <w:pPr>
              <w:keepLines/>
              <w:spacing w:after="0" w:line="276" w:lineRule="auto"/>
            </w:pPr>
            <w:r>
              <w:rPr>
                <w:rFonts w:ascii="Calibri" w:hAnsi="Calibri" w:eastAsia="Microsoft YaHei"/>
                <w:color w:val="0B2545"/>
                <w:sz w:val="13"/>
              </w:rPr>
              <w:t>Plasma Physics and Controlled Fusion</w:t>
            </w:r>
          </w:p>
        </w:tc>
        <w:tc>
          <w:tcPr>
            <w:tcW w:type="dxa" w:w="2260"/>
          </w:tcPr>
          <w:p>
            <w:pPr>
              <w:keepLines/>
              <w:spacing w:after="0" w:line="276" w:lineRule="auto"/>
            </w:pPr>
            <w:hyperlink r:id="rId57">
              <w:r>
                <w:rPr>
                  <w:rFonts w:ascii="Calibri" w:hAnsi="Calibri" w:eastAsia="Microsoft YaHei"/>
                  <w:color w:val="008C95"/>
                  <w:u w:val="single"/>
                </w:rPr>
                <w:t>打开原始来源 ↗</w:t>
              </w:r>
            </w:hyperlink>
          </w:p>
        </w:tc>
      </w:tr>
      <w:tr>
        <w:trPr>
          <w:cantSplit/>
        </w:trPr>
        <w:tc>
          <w:tcPr>
            <w:tcW w:type="dxa" w:w="600"/>
          </w:tcPr>
          <w:p>
            <w:pPr>
              <w:keepLines/>
              <w:spacing w:after="0" w:line="276" w:lineRule="auto"/>
            </w:pPr>
            <w:r>
              <w:rPr>
                <w:rFonts w:ascii="Calibri" w:hAnsi="Calibri" w:eastAsia="Microsoft YaHei"/>
                <w:color w:val="0B2545"/>
                <w:sz w:val="13"/>
              </w:rPr>
              <w:t>2025</w:t>
            </w:r>
          </w:p>
        </w:tc>
        <w:tc>
          <w:tcPr>
            <w:tcW w:type="dxa" w:w="1600"/>
          </w:tcPr>
          <w:p>
            <w:pPr>
              <w:keepLines/>
              <w:spacing w:after="0" w:line="276" w:lineRule="auto"/>
            </w:pPr>
            <w:r>
              <w:rPr>
                <w:rFonts w:ascii="Calibri" w:hAnsi="Calibri" w:eastAsia="Microsoft YaHei"/>
                <w:color w:val="0B2545"/>
                <w:sz w:val="13"/>
              </w:rPr>
              <w:t>未完整列出</w:t>
            </w:r>
          </w:p>
        </w:tc>
        <w:tc>
          <w:tcPr>
            <w:tcW w:type="dxa" w:w="3200"/>
          </w:tcPr>
          <w:p>
            <w:pPr>
              <w:keepLines/>
              <w:spacing w:after="0" w:line="276" w:lineRule="auto"/>
            </w:pPr>
            <w:r>
              <w:rPr>
                <w:rFonts w:ascii="Calibri" w:hAnsi="Calibri" w:eastAsia="Microsoft YaHei"/>
                <w:color w:val="0B2545"/>
                <w:sz w:val="13"/>
              </w:rPr>
              <w:t>How ITER quantifies fusion power</w:t>
            </w:r>
          </w:p>
        </w:tc>
        <w:tc>
          <w:tcPr>
            <w:tcW w:type="dxa" w:w="1700"/>
          </w:tcPr>
          <w:p>
            <w:pPr>
              <w:keepLines/>
              <w:spacing w:after="0" w:line="276" w:lineRule="auto"/>
            </w:pPr>
            <w:r>
              <w:rPr>
                <w:rFonts w:ascii="Calibri" w:hAnsi="Calibri" w:eastAsia="Microsoft YaHei"/>
                <w:color w:val="0B2545"/>
                <w:sz w:val="13"/>
              </w:rPr>
              <w:t>原始论文 / 官方来源</w:t>
            </w:r>
          </w:p>
        </w:tc>
        <w:tc>
          <w:tcPr>
            <w:tcW w:type="dxa" w:w="2260"/>
          </w:tcPr>
          <w:p>
            <w:pPr>
              <w:keepLines/>
              <w:spacing w:after="0" w:line="276" w:lineRule="auto"/>
            </w:pPr>
            <w:hyperlink r:id="rId34">
              <w:r>
                <w:rPr>
                  <w:rFonts w:ascii="Calibri" w:hAnsi="Calibri" w:eastAsia="Microsoft YaHei"/>
                  <w:color w:val="008C95"/>
                  <w:u w:val="single"/>
                </w:rPr>
                <w:t>打开原始来源 ↗</w:t>
              </w:r>
            </w:hyperlink>
          </w:p>
        </w:tc>
      </w:tr>
      <w:tr>
        <w:trPr>
          <w:cantSplit/>
        </w:trPr>
        <w:tc>
          <w:tcPr>
            <w:tcW w:type="dxa" w:w="600"/>
          </w:tcPr>
          <w:p>
            <w:pPr>
              <w:keepLines/>
              <w:spacing w:after="0" w:line="276" w:lineRule="auto"/>
            </w:pPr>
            <w:r>
              <w:rPr>
                <w:rFonts w:ascii="Calibri" w:hAnsi="Calibri" w:eastAsia="Microsoft YaHei"/>
                <w:color w:val="0B2545"/>
                <w:sz w:val="13"/>
              </w:rPr>
              <w:t>2025</w:t>
            </w:r>
          </w:p>
        </w:tc>
        <w:tc>
          <w:tcPr>
            <w:tcW w:type="dxa" w:w="1600"/>
          </w:tcPr>
          <w:p>
            <w:pPr>
              <w:keepLines/>
              <w:spacing w:after="0" w:line="276" w:lineRule="auto"/>
            </w:pPr>
            <w:r>
              <w:rPr>
                <w:rFonts w:ascii="Calibri" w:hAnsi="Calibri" w:eastAsia="Microsoft YaHei"/>
                <w:color w:val="0B2545"/>
                <w:sz w:val="13"/>
              </w:rPr>
              <w:t>J. Dankowski; J. Bielecki; J. Błądek; S. Conroy; B. Coriton; G. Croci; D. Dworaka; G. Ericsson; J. Eriksson; A. Wójcik-Gargula; A. Hjalmarsson; A. Jardin; et al. (27 authors)</w:t>
            </w:r>
          </w:p>
        </w:tc>
        <w:tc>
          <w:tcPr>
            <w:tcW w:type="dxa" w:w="3200"/>
          </w:tcPr>
          <w:p>
            <w:pPr>
              <w:keepLines/>
              <w:spacing w:after="0" w:line="276" w:lineRule="auto"/>
            </w:pPr>
            <w:r>
              <w:rPr>
                <w:rFonts w:ascii="Calibri" w:hAnsi="Calibri" w:eastAsia="Microsoft YaHei"/>
                <w:color w:val="0B2545"/>
                <w:sz w:val="13"/>
              </w:rPr>
              <w:t>Development and performance of the thin-foil proton recoil spectrometer for ITER plasma diagnostics</w:t>
            </w:r>
          </w:p>
        </w:tc>
        <w:tc>
          <w:tcPr>
            <w:tcW w:type="dxa" w:w="1700"/>
          </w:tcPr>
          <w:p>
            <w:pPr>
              <w:keepLines/>
              <w:spacing w:after="0" w:line="276" w:lineRule="auto"/>
            </w:pPr>
            <w:r>
              <w:rPr>
                <w:rFonts w:ascii="Calibri" w:hAnsi="Calibri" w:eastAsia="Microsoft YaHei"/>
                <w:color w:val="0B2545"/>
                <w:sz w:val="13"/>
              </w:rPr>
              <w:t>Fusion Engineering and Design</w:t>
            </w:r>
          </w:p>
        </w:tc>
        <w:tc>
          <w:tcPr>
            <w:tcW w:type="dxa" w:w="2260"/>
          </w:tcPr>
          <w:p>
            <w:pPr>
              <w:keepLines/>
              <w:spacing w:after="0" w:line="276" w:lineRule="auto"/>
            </w:pPr>
            <w:hyperlink r:id="rId92">
              <w:r>
                <w:rPr>
                  <w:rFonts w:ascii="Calibri" w:hAnsi="Calibri" w:eastAsia="Microsoft YaHei"/>
                  <w:color w:val="008C95"/>
                  <w:u w:val="single"/>
                </w:rPr>
                <w:t>打开原始来源 ↗</w:t>
              </w:r>
            </w:hyperlink>
          </w:p>
        </w:tc>
      </w:tr>
      <w:tr>
        <w:trPr>
          <w:cantSplit/>
        </w:trPr>
        <w:tc>
          <w:tcPr>
            <w:tcW w:type="dxa" w:w="600"/>
          </w:tcPr>
          <w:p>
            <w:pPr>
              <w:keepLines/>
              <w:spacing w:after="0" w:line="276" w:lineRule="auto"/>
            </w:pPr>
            <w:r>
              <w:rPr>
                <w:rFonts w:ascii="Calibri" w:hAnsi="Calibri" w:eastAsia="Microsoft YaHei"/>
                <w:color w:val="0B2545"/>
                <w:sz w:val="13"/>
              </w:rPr>
              <w:t>2024</w:t>
            </w:r>
          </w:p>
        </w:tc>
        <w:tc>
          <w:tcPr>
            <w:tcW w:type="dxa" w:w="1600"/>
          </w:tcPr>
          <w:p>
            <w:pPr>
              <w:keepLines/>
              <w:spacing w:after="0" w:line="276" w:lineRule="auto"/>
            </w:pPr>
            <w:r>
              <w:rPr>
                <w:rFonts w:ascii="Calibri" w:hAnsi="Calibri" w:eastAsia="Microsoft YaHei"/>
                <w:color w:val="0B2545"/>
                <w:sz w:val="13"/>
              </w:rPr>
              <w:t>A. LeViness; S.A. Lazerson; A. Jansen van Vuuren; J. Rueda-Rueda; M. Beurskens; S. Bozhenkov; K.J. Brunner; O.P. Ford; G. Fuchert; M. Garcìa-Muñoz; M. Isobe; C. Killer; et al. (18 authors)</w:t>
            </w:r>
          </w:p>
        </w:tc>
        <w:tc>
          <w:tcPr>
            <w:tcW w:type="dxa" w:w="3200"/>
          </w:tcPr>
          <w:p>
            <w:pPr>
              <w:keepLines/>
              <w:spacing w:after="0" w:line="276" w:lineRule="auto"/>
            </w:pPr>
            <w:r>
              <w:rPr>
                <w:rFonts w:ascii="Calibri" w:hAnsi="Calibri" w:eastAsia="Microsoft YaHei"/>
                <w:color w:val="0B2545"/>
                <w:sz w:val="13"/>
              </w:rPr>
              <w:t>Validation of a synthetic fast ion loss detector model for Wendelstein 7-X</w:t>
            </w:r>
          </w:p>
        </w:tc>
        <w:tc>
          <w:tcPr>
            <w:tcW w:type="dxa" w:w="1700"/>
          </w:tcPr>
          <w:p>
            <w:pPr>
              <w:keepLines/>
              <w:spacing w:after="0" w:line="276" w:lineRule="auto"/>
            </w:pPr>
            <w:r>
              <w:rPr>
                <w:rFonts w:ascii="Calibri" w:hAnsi="Calibri" w:eastAsia="Microsoft YaHei"/>
                <w:color w:val="0B2545"/>
                <w:sz w:val="13"/>
              </w:rPr>
              <w:t>Nuclear Fusion</w:t>
            </w:r>
          </w:p>
        </w:tc>
        <w:tc>
          <w:tcPr>
            <w:tcW w:type="dxa" w:w="2260"/>
          </w:tcPr>
          <w:p>
            <w:pPr>
              <w:keepLines/>
              <w:spacing w:after="0" w:line="276" w:lineRule="auto"/>
            </w:pPr>
            <w:hyperlink r:id="rId188">
              <w:r>
                <w:rPr>
                  <w:rFonts w:ascii="Calibri" w:hAnsi="Calibri" w:eastAsia="Microsoft YaHei"/>
                  <w:color w:val="008C95"/>
                  <w:u w:val="single"/>
                </w:rPr>
                <w:t>打开原始来源 ↗</w:t>
              </w:r>
            </w:hyperlink>
          </w:p>
        </w:tc>
      </w:tr>
      <w:tr>
        <w:trPr>
          <w:cantSplit/>
        </w:trPr>
        <w:tc>
          <w:tcPr>
            <w:tcW w:type="dxa" w:w="600"/>
          </w:tcPr>
          <w:p>
            <w:pPr>
              <w:keepLines/>
              <w:spacing w:after="0" w:line="276" w:lineRule="auto"/>
            </w:pPr>
            <w:r>
              <w:rPr>
                <w:rFonts w:ascii="Calibri" w:hAnsi="Calibri" w:eastAsia="Microsoft YaHei"/>
                <w:color w:val="0B2545"/>
                <w:sz w:val="13"/>
              </w:rPr>
              <w:t>2024</w:t>
            </w:r>
          </w:p>
        </w:tc>
        <w:tc>
          <w:tcPr>
            <w:tcW w:type="dxa" w:w="1600"/>
          </w:tcPr>
          <w:p>
            <w:pPr>
              <w:keepLines/>
              <w:spacing w:after="0" w:line="276" w:lineRule="auto"/>
            </w:pPr>
            <w:r>
              <w:rPr>
                <w:rFonts w:ascii="Calibri" w:hAnsi="Calibri" w:eastAsia="Microsoft YaHei"/>
                <w:color w:val="0B2545"/>
                <w:sz w:val="13"/>
              </w:rPr>
              <w:t>R. A. Tinguely; A. M. Rosenthal; M. Silva Sa; M. Jean; I. Abramovic</w:t>
            </w:r>
          </w:p>
        </w:tc>
        <w:tc>
          <w:tcPr>
            <w:tcW w:type="dxa" w:w="3200"/>
          </w:tcPr>
          <w:p>
            <w:pPr>
              <w:keepLines/>
              <w:spacing w:after="0" w:line="276" w:lineRule="auto"/>
            </w:pPr>
            <w:r>
              <w:rPr>
                <w:rFonts w:ascii="Calibri" w:hAnsi="Calibri" w:eastAsia="Microsoft YaHei"/>
                <w:color w:val="0B2545"/>
                <w:sz w:val="13"/>
              </w:rPr>
              <w:t>Synthetic measurements of runaway electron synchrotron emission in the SPARC tokamak</w:t>
            </w:r>
          </w:p>
        </w:tc>
        <w:tc>
          <w:tcPr>
            <w:tcW w:type="dxa" w:w="1700"/>
          </w:tcPr>
          <w:p>
            <w:pPr>
              <w:keepLines/>
              <w:spacing w:after="0" w:line="276" w:lineRule="auto"/>
            </w:pPr>
            <w:r>
              <w:rPr>
                <w:rFonts w:ascii="Calibri" w:hAnsi="Calibri" w:eastAsia="Microsoft YaHei"/>
                <w:color w:val="0B2545"/>
                <w:sz w:val="13"/>
              </w:rPr>
              <w:t>Review of Scientific Instruments</w:t>
            </w:r>
          </w:p>
        </w:tc>
        <w:tc>
          <w:tcPr>
            <w:tcW w:type="dxa" w:w="2260"/>
          </w:tcPr>
          <w:p>
            <w:pPr>
              <w:keepLines/>
              <w:spacing w:after="0" w:line="276" w:lineRule="auto"/>
            </w:pPr>
            <w:hyperlink r:id="rId168">
              <w:r>
                <w:rPr>
                  <w:rFonts w:ascii="Calibri" w:hAnsi="Calibri" w:eastAsia="Microsoft YaHei"/>
                  <w:color w:val="008C95"/>
                  <w:u w:val="single"/>
                </w:rPr>
                <w:t>打开原始来源 ↗</w:t>
              </w:r>
            </w:hyperlink>
          </w:p>
        </w:tc>
      </w:tr>
      <w:tr>
        <w:trPr>
          <w:cantSplit/>
        </w:trPr>
        <w:tc>
          <w:tcPr>
            <w:tcW w:type="dxa" w:w="600"/>
          </w:tcPr>
          <w:p>
            <w:pPr>
              <w:keepLines/>
              <w:spacing w:after="0" w:line="276" w:lineRule="auto"/>
            </w:pPr>
            <w:r>
              <w:rPr>
                <w:rFonts w:ascii="Calibri" w:hAnsi="Calibri" w:eastAsia="Microsoft YaHei"/>
                <w:color w:val="0B2545"/>
                <w:sz w:val="13"/>
              </w:rPr>
              <w:t>2024</w:t>
            </w:r>
          </w:p>
        </w:tc>
        <w:tc>
          <w:tcPr>
            <w:tcW w:type="dxa" w:w="1600"/>
          </w:tcPr>
          <w:p>
            <w:pPr>
              <w:keepLines/>
              <w:spacing w:after="0" w:line="276" w:lineRule="auto"/>
            </w:pPr>
            <w:r>
              <w:rPr>
                <w:rFonts w:ascii="Calibri" w:hAnsi="Calibri" w:eastAsia="Microsoft YaHei"/>
                <w:color w:val="0B2545"/>
                <w:sz w:val="13"/>
              </w:rPr>
              <w:t>Yuming Liu; Rong Yan; Lei Mu; Yefan Zhu; Rui Ding; Yu Zhang; Jiao Peng; Niuxian Liu; Baoguo Wang; Chenxue Wang; Junling Chen</w:t>
            </w:r>
          </w:p>
        </w:tc>
        <w:tc>
          <w:tcPr>
            <w:tcW w:type="dxa" w:w="3200"/>
          </w:tcPr>
          <w:p>
            <w:pPr>
              <w:keepLines/>
              <w:spacing w:after="0" w:line="276" w:lineRule="auto"/>
            </w:pPr>
            <w:r>
              <w:rPr>
                <w:rFonts w:ascii="Calibri" w:hAnsi="Calibri" w:eastAsia="Microsoft YaHei"/>
                <w:color w:val="0B2545"/>
                <w:sz w:val="13"/>
              </w:rPr>
              <w:t>Studies of the material erosion and deposition during the wall conditioning processes using quartz crystal microbalance in EAST</w:t>
            </w:r>
          </w:p>
        </w:tc>
        <w:tc>
          <w:tcPr>
            <w:tcW w:type="dxa" w:w="1700"/>
          </w:tcPr>
          <w:p>
            <w:pPr>
              <w:keepLines/>
              <w:spacing w:after="0" w:line="276" w:lineRule="auto"/>
            </w:pPr>
            <w:r>
              <w:rPr>
                <w:rFonts w:ascii="Calibri" w:hAnsi="Calibri" w:eastAsia="Microsoft YaHei"/>
                <w:color w:val="0B2545"/>
                <w:sz w:val="13"/>
              </w:rPr>
              <w:t>Nuclear Materials and Energy</w:t>
            </w:r>
          </w:p>
        </w:tc>
        <w:tc>
          <w:tcPr>
            <w:tcW w:type="dxa" w:w="2260"/>
          </w:tcPr>
          <w:p>
            <w:pPr>
              <w:keepLines/>
              <w:spacing w:after="0" w:line="276" w:lineRule="auto"/>
            </w:pPr>
            <w:hyperlink r:id="rId122">
              <w:r>
                <w:rPr>
                  <w:rFonts w:ascii="Calibri" w:hAnsi="Calibri" w:eastAsia="Microsoft YaHei"/>
                  <w:color w:val="008C95"/>
                  <w:u w:val="single"/>
                </w:rPr>
                <w:t>打开原始来源 ↗</w:t>
              </w:r>
            </w:hyperlink>
          </w:p>
        </w:tc>
      </w:tr>
      <w:tr>
        <w:trPr>
          <w:cantSplit/>
        </w:trPr>
        <w:tc>
          <w:tcPr>
            <w:tcW w:type="dxa" w:w="600"/>
          </w:tcPr>
          <w:p>
            <w:pPr>
              <w:keepLines/>
              <w:spacing w:after="0" w:line="276" w:lineRule="auto"/>
            </w:pPr>
            <w:r>
              <w:rPr>
                <w:rFonts w:ascii="Calibri" w:hAnsi="Calibri" w:eastAsia="Microsoft YaHei"/>
                <w:color w:val="0B2545"/>
                <w:sz w:val="13"/>
              </w:rPr>
              <w:t>2024</w:t>
            </w:r>
          </w:p>
        </w:tc>
        <w:tc>
          <w:tcPr>
            <w:tcW w:type="dxa" w:w="1600"/>
          </w:tcPr>
          <w:p>
            <w:pPr>
              <w:keepLines/>
              <w:spacing w:after="0" w:line="276" w:lineRule="auto"/>
            </w:pPr>
            <w:r>
              <w:rPr>
                <w:rFonts w:ascii="Calibri" w:hAnsi="Calibri" w:eastAsia="Microsoft YaHei"/>
                <w:color w:val="0B2545"/>
                <w:sz w:val="13"/>
              </w:rPr>
              <w:t>D. Vezinet; C. J. Perks; E. Panontin; S. Normile; R. A. Tinguely; J. Rice; M. Reinke; M. Cario; J. Raimond; A. Hoffmann; E. Dubas; A. Saltos; et al. (13 authors)</w:t>
            </w:r>
          </w:p>
        </w:tc>
        <w:tc>
          <w:tcPr>
            <w:tcW w:type="dxa" w:w="3200"/>
          </w:tcPr>
          <w:p>
            <w:pPr>
              <w:keepLines/>
              <w:spacing w:after="0" w:line="276" w:lineRule="auto"/>
            </w:pPr>
            <w:r>
              <w:rPr>
                <w:rFonts w:ascii="Calibri" w:hAnsi="Calibri" w:eastAsia="Microsoft YaHei"/>
                <w:color w:val="0B2545"/>
                <w:sz w:val="13"/>
              </w:rPr>
              <w:t>SPARC x-ray diagnostics: Technical and functional overview</w:t>
            </w:r>
          </w:p>
        </w:tc>
        <w:tc>
          <w:tcPr>
            <w:tcW w:type="dxa" w:w="1700"/>
          </w:tcPr>
          <w:p>
            <w:pPr>
              <w:keepLines/>
              <w:spacing w:after="0" w:line="276" w:lineRule="auto"/>
            </w:pPr>
            <w:r>
              <w:rPr>
                <w:rFonts w:ascii="Calibri" w:hAnsi="Calibri" w:eastAsia="Microsoft YaHei"/>
                <w:color w:val="0B2545"/>
                <w:sz w:val="13"/>
              </w:rPr>
              <w:t>Review of Scientific Instruments</w:t>
            </w:r>
          </w:p>
        </w:tc>
        <w:tc>
          <w:tcPr>
            <w:tcW w:type="dxa" w:w="2260"/>
          </w:tcPr>
          <w:p>
            <w:pPr>
              <w:keepLines/>
              <w:spacing w:after="0" w:line="276" w:lineRule="auto"/>
            </w:pPr>
            <w:hyperlink r:id="rId78">
              <w:r>
                <w:rPr>
                  <w:rFonts w:ascii="Calibri" w:hAnsi="Calibri" w:eastAsia="Microsoft YaHei"/>
                  <w:color w:val="008C95"/>
                  <w:u w:val="single"/>
                </w:rPr>
                <w:t>打开原始来源 ↗</w:t>
              </w:r>
            </w:hyperlink>
          </w:p>
        </w:tc>
      </w:tr>
      <w:tr>
        <w:trPr>
          <w:cantSplit/>
        </w:trPr>
        <w:tc>
          <w:tcPr>
            <w:tcW w:type="dxa" w:w="600"/>
          </w:tcPr>
          <w:p>
            <w:pPr>
              <w:keepLines/>
              <w:spacing w:after="0" w:line="276" w:lineRule="auto"/>
            </w:pPr>
            <w:r>
              <w:rPr>
                <w:rFonts w:ascii="Calibri" w:hAnsi="Calibri" w:eastAsia="Microsoft YaHei"/>
                <w:color w:val="0B2545"/>
                <w:sz w:val="13"/>
              </w:rPr>
              <w:t>2024</w:t>
            </w:r>
          </w:p>
        </w:tc>
        <w:tc>
          <w:tcPr>
            <w:tcW w:type="dxa" w:w="1600"/>
          </w:tcPr>
          <w:p>
            <w:pPr>
              <w:keepLines/>
              <w:spacing w:after="0" w:line="276" w:lineRule="auto"/>
            </w:pPr>
            <w:r>
              <w:rPr>
                <w:rFonts w:ascii="Calibri" w:hAnsi="Calibri" w:eastAsia="Microsoft YaHei"/>
                <w:color w:val="0B2545"/>
                <w:sz w:val="13"/>
              </w:rPr>
              <w:t>F Lucchini; A Frescura; R Torchio; P Alotto; P Bettini</w:t>
            </w:r>
          </w:p>
        </w:tc>
        <w:tc>
          <w:tcPr>
            <w:tcW w:type="dxa" w:w="3200"/>
          </w:tcPr>
          <w:p>
            <w:pPr>
              <w:keepLines/>
              <w:spacing w:after="0" w:line="276" w:lineRule="auto"/>
            </w:pPr>
            <w:r>
              <w:rPr>
                <w:rFonts w:ascii="Calibri" w:hAnsi="Calibri" w:eastAsia="Microsoft YaHei"/>
                <w:color w:val="0B2545"/>
                <w:sz w:val="13"/>
              </w:rPr>
              <w:t>Reduced order modeling for real-time monitoring of structural displacements due to electromagnetic forces in large scale tokamaks</w:t>
            </w:r>
          </w:p>
        </w:tc>
        <w:tc>
          <w:tcPr>
            <w:tcW w:type="dxa" w:w="1700"/>
          </w:tcPr>
          <w:p>
            <w:pPr>
              <w:keepLines/>
              <w:spacing w:after="0" w:line="276" w:lineRule="auto"/>
            </w:pPr>
            <w:r>
              <w:rPr>
                <w:rFonts w:ascii="Calibri" w:hAnsi="Calibri" w:eastAsia="Microsoft YaHei"/>
                <w:color w:val="0B2545"/>
                <w:sz w:val="13"/>
              </w:rPr>
              <w:t>Plasma Physics and Controlled Fusion</w:t>
            </w:r>
          </w:p>
        </w:tc>
        <w:tc>
          <w:tcPr>
            <w:tcW w:type="dxa" w:w="2260"/>
          </w:tcPr>
          <w:p>
            <w:pPr>
              <w:keepLines/>
              <w:spacing w:after="0" w:line="276" w:lineRule="auto"/>
            </w:pPr>
            <w:hyperlink r:id="rId140">
              <w:r>
                <w:rPr>
                  <w:rFonts w:ascii="Calibri" w:hAnsi="Calibri" w:eastAsia="Microsoft YaHei"/>
                  <w:color w:val="008C95"/>
                  <w:u w:val="single"/>
                </w:rPr>
                <w:t>打开原始来源 ↗</w:t>
              </w:r>
            </w:hyperlink>
          </w:p>
        </w:tc>
      </w:tr>
      <w:tr>
        <w:trPr>
          <w:cantSplit/>
        </w:trPr>
        <w:tc>
          <w:tcPr>
            <w:tcW w:type="dxa" w:w="600"/>
          </w:tcPr>
          <w:p>
            <w:pPr>
              <w:keepLines/>
              <w:spacing w:after="0" w:line="276" w:lineRule="auto"/>
            </w:pPr>
            <w:r>
              <w:rPr>
                <w:rFonts w:ascii="Calibri" w:hAnsi="Calibri" w:eastAsia="Microsoft YaHei"/>
                <w:color w:val="0B2545"/>
                <w:sz w:val="13"/>
              </w:rPr>
              <w:t>2024</w:t>
            </w:r>
          </w:p>
        </w:tc>
        <w:tc>
          <w:tcPr>
            <w:tcW w:type="dxa" w:w="1600"/>
          </w:tcPr>
          <w:p>
            <w:pPr>
              <w:keepLines/>
              <w:spacing w:after="0" w:line="276" w:lineRule="auto"/>
            </w:pPr>
            <w:r>
              <w:rPr>
                <w:rFonts w:ascii="Calibri" w:hAnsi="Calibri" w:eastAsia="Microsoft YaHei"/>
                <w:color w:val="0B2545"/>
                <w:sz w:val="13"/>
              </w:rPr>
              <w:t>C. Perks; D. Vezinet; J. E. Rice; M. L. Reinke</w:t>
            </w:r>
          </w:p>
        </w:tc>
        <w:tc>
          <w:tcPr>
            <w:tcW w:type="dxa" w:w="3200"/>
          </w:tcPr>
          <w:p>
            <w:pPr>
              <w:keepLines/>
              <w:spacing w:after="0" w:line="276" w:lineRule="auto"/>
            </w:pPr>
            <w:r>
              <w:rPr>
                <w:rFonts w:ascii="Calibri" w:hAnsi="Calibri" w:eastAsia="Microsoft YaHei"/>
                <w:color w:val="0B2545"/>
                <w:sz w:val="13"/>
              </w:rPr>
              <w:t>Performance predictions of the SPARC x-ray crystal spectrometers for ion temperature and toroidal rotation measurements</w:t>
            </w:r>
          </w:p>
        </w:tc>
        <w:tc>
          <w:tcPr>
            <w:tcW w:type="dxa" w:w="1700"/>
          </w:tcPr>
          <w:p>
            <w:pPr>
              <w:keepLines/>
              <w:spacing w:after="0" w:line="276" w:lineRule="auto"/>
            </w:pPr>
            <w:r>
              <w:rPr>
                <w:rFonts w:ascii="Calibri" w:hAnsi="Calibri" w:eastAsia="Microsoft YaHei"/>
                <w:color w:val="0B2545"/>
                <w:sz w:val="13"/>
              </w:rPr>
              <w:t>Review of Scientific Instruments</w:t>
            </w:r>
          </w:p>
        </w:tc>
        <w:tc>
          <w:tcPr>
            <w:tcW w:type="dxa" w:w="2260"/>
          </w:tcPr>
          <w:p>
            <w:pPr>
              <w:keepLines/>
              <w:spacing w:after="0" w:line="276" w:lineRule="auto"/>
            </w:pPr>
            <w:hyperlink r:id="rId63">
              <w:r>
                <w:rPr>
                  <w:rFonts w:ascii="Calibri" w:hAnsi="Calibri" w:eastAsia="Microsoft YaHei"/>
                  <w:color w:val="008C95"/>
                  <w:u w:val="single"/>
                </w:rPr>
                <w:t>打开原始来源 ↗</w:t>
              </w:r>
            </w:hyperlink>
          </w:p>
        </w:tc>
      </w:tr>
      <w:tr>
        <w:trPr>
          <w:cantSplit/>
        </w:trPr>
        <w:tc>
          <w:tcPr>
            <w:tcW w:type="dxa" w:w="600"/>
          </w:tcPr>
          <w:p>
            <w:pPr>
              <w:keepLines/>
              <w:spacing w:after="0" w:line="276" w:lineRule="auto"/>
            </w:pPr>
            <w:r>
              <w:rPr>
                <w:rFonts w:ascii="Calibri" w:hAnsi="Calibri" w:eastAsia="Microsoft YaHei"/>
                <w:color w:val="0B2545"/>
                <w:sz w:val="13"/>
              </w:rPr>
              <w:t>2024</w:t>
            </w:r>
          </w:p>
        </w:tc>
        <w:tc>
          <w:tcPr>
            <w:tcW w:type="dxa" w:w="1600"/>
          </w:tcPr>
          <w:p>
            <w:pPr>
              <w:keepLines/>
              <w:spacing w:after="0" w:line="276" w:lineRule="auto"/>
            </w:pPr>
            <w:r>
              <w:rPr>
                <w:rFonts w:ascii="Calibri" w:hAnsi="Calibri" w:eastAsia="Microsoft YaHei"/>
                <w:color w:val="0B2545"/>
                <w:sz w:val="13"/>
              </w:rPr>
              <w:t>M. L. Reinke; I. Abramovic; A. Albert; K. Asai; J. Ball; J. Batko; J. Brettingen; D. Brunner; M. Cario; J. Carmichael; C. Chrobak; A. Creely; et al. (87 authors)</w:t>
            </w:r>
          </w:p>
        </w:tc>
        <w:tc>
          <w:tcPr>
            <w:tcW w:type="dxa" w:w="3200"/>
          </w:tcPr>
          <w:p>
            <w:pPr>
              <w:keepLines/>
              <w:spacing w:after="0" w:line="276" w:lineRule="auto"/>
            </w:pPr>
            <w:r>
              <w:rPr>
                <w:rFonts w:ascii="Calibri" w:hAnsi="Calibri" w:eastAsia="Microsoft YaHei"/>
                <w:color w:val="0B2545"/>
                <w:sz w:val="13"/>
              </w:rPr>
              <w:t>Overview of the early campaign diagnostics for the SPARC tokamak (invited)</w:t>
            </w:r>
          </w:p>
        </w:tc>
        <w:tc>
          <w:tcPr>
            <w:tcW w:type="dxa" w:w="1700"/>
          </w:tcPr>
          <w:p>
            <w:pPr>
              <w:keepLines/>
              <w:spacing w:after="0" w:line="276" w:lineRule="auto"/>
            </w:pPr>
            <w:r>
              <w:rPr>
                <w:rFonts w:ascii="Calibri" w:hAnsi="Calibri" w:eastAsia="Microsoft YaHei"/>
                <w:color w:val="0B2545"/>
                <w:sz w:val="13"/>
              </w:rPr>
              <w:t>Review of Scientific Instruments</w:t>
            </w:r>
          </w:p>
        </w:tc>
        <w:tc>
          <w:tcPr>
            <w:tcW w:type="dxa" w:w="2260"/>
          </w:tcPr>
          <w:p>
            <w:pPr>
              <w:keepLines/>
              <w:spacing w:after="0" w:line="276" w:lineRule="auto"/>
            </w:pPr>
            <w:hyperlink r:id="rId157">
              <w:r>
                <w:rPr>
                  <w:rFonts w:ascii="Calibri" w:hAnsi="Calibri" w:eastAsia="Microsoft YaHei"/>
                  <w:color w:val="008C95"/>
                  <w:u w:val="single"/>
                </w:rPr>
                <w:t>打开原始来源 ↗</w:t>
              </w:r>
            </w:hyperlink>
          </w:p>
        </w:tc>
      </w:tr>
      <w:tr>
        <w:trPr>
          <w:cantSplit/>
        </w:trPr>
        <w:tc>
          <w:tcPr>
            <w:tcW w:type="dxa" w:w="600"/>
          </w:tcPr>
          <w:p>
            <w:pPr>
              <w:keepLines/>
              <w:spacing w:after="0" w:line="276" w:lineRule="auto"/>
            </w:pPr>
            <w:r>
              <w:rPr>
                <w:rFonts w:ascii="Calibri" w:hAnsi="Calibri" w:eastAsia="Microsoft YaHei"/>
                <w:color w:val="0B2545"/>
                <w:sz w:val="13"/>
              </w:rPr>
              <w:t>2024</w:t>
            </w:r>
          </w:p>
        </w:tc>
        <w:tc>
          <w:tcPr>
            <w:tcW w:type="dxa" w:w="1600"/>
          </w:tcPr>
          <w:p>
            <w:pPr>
              <w:keepLines/>
              <w:spacing w:after="0" w:line="276" w:lineRule="auto"/>
            </w:pPr>
            <w:r>
              <w:rPr>
                <w:rFonts w:ascii="Calibri" w:hAnsi="Calibri" w:eastAsia="Microsoft YaHei"/>
                <w:color w:val="0B2545"/>
                <w:sz w:val="13"/>
              </w:rPr>
              <w:t>G. H. Park; H. J. Kim; J. H. Lee</w:t>
            </w:r>
          </w:p>
        </w:tc>
        <w:tc>
          <w:tcPr>
            <w:tcW w:type="dxa" w:w="3200"/>
          </w:tcPr>
          <w:p>
            <w:pPr>
              <w:keepLines/>
              <w:spacing w:after="0" w:line="276" w:lineRule="auto"/>
            </w:pPr>
            <w:r>
              <w:rPr>
                <w:rFonts w:ascii="Calibri" w:hAnsi="Calibri" w:eastAsia="Microsoft YaHei"/>
                <w:color w:val="0B2545"/>
                <w:sz w:val="13"/>
              </w:rPr>
              <w:t>Optimized collection optic design for divertor Thomson scattering diagnostics in KSTAR</w:t>
            </w:r>
          </w:p>
        </w:tc>
        <w:tc>
          <w:tcPr>
            <w:tcW w:type="dxa" w:w="1700"/>
          </w:tcPr>
          <w:p>
            <w:pPr>
              <w:keepLines/>
              <w:spacing w:after="0" w:line="276" w:lineRule="auto"/>
            </w:pPr>
            <w:r>
              <w:rPr>
                <w:rFonts w:ascii="Calibri" w:hAnsi="Calibri" w:eastAsia="Microsoft YaHei"/>
                <w:color w:val="0B2545"/>
                <w:sz w:val="13"/>
              </w:rPr>
              <w:t>Review of Scientific Instruments</w:t>
            </w:r>
          </w:p>
        </w:tc>
        <w:tc>
          <w:tcPr>
            <w:tcW w:type="dxa" w:w="2260"/>
          </w:tcPr>
          <w:p>
            <w:pPr>
              <w:keepLines/>
              <w:spacing w:after="0" w:line="276" w:lineRule="auto"/>
            </w:pPr>
            <w:hyperlink r:id="rId118">
              <w:r>
                <w:rPr>
                  <w:rFonts w:ascii="Calibri" w:hAnsi="Calibri" w:eastAsia="Microsoft YaHei"/>
                  <w:color w:val="008C95"/>
                  <w:u w:val="single"/>
                </w:rPr>
                <w:t>打开原始来源 ↗</w:t>
              </w:r>
            </w:hyperlink>
          </w:p>
        </w:tc>
      </w:tr>
      <w:tr>
        <w:trPr>
          <w:cantSplit/>
        </w:trPr>
        <w:tc>
          <w:tcPr>
            <w:tcW w:type="dxa" w:w="600"/>
          </w:tcPr>
          <w:p>
            <w:pPr>
              <w:keepLines/>
              <w:spacing w:after="0" w:line="276" w:lineRule="auto"/>
            </w:pPr>
            <w:r>
              <w:rPr>
                <w:rFonts w:ascii="Calibri" w:hAnsi="Calibri" w:eastAsia="Microsoft YaHei"/>
                <w:color w:val="0B2545"/>
                <w:sz w:val="13"/>
              </w:rPr>
              <w:t>2024</w:t>
            </w:r>
          </w:p>
        </w:tc>
        <w:tc>
          <w:tcPr>
            <w:tcW w:type="dxa" w:w="1600"/>
          </w:tcPr>
          <w:p>
            <w:pPr>
              <w:keepLines/>
              <w:spacing w:after="0" w:line="276" w:lineRule="auto"/>
            </w:pPr>
            <w:r>
              <w:rPr>
                <w:rFonts w:ascii="Calibri" w:hAnsi="Calibri" w:eastAsia="Microsoft YaHei"/>
                <w:color w:val="0B2545"/>
                <w:sz w:val="13"/>
              </w:rPr>
              <w:t>未完整列出</w:t>
            </w:r>
          </w:p>
        </w:tc>
        <w:tc>
          <w:tcPr>
            <w:tcW w:type="dxa" w:w="3200"/>
          </w:tcPr>
          <w:p>
            <w:pPr>
              <w:keepLines/>
              <w:spacing w:after="0" w:line="276" w:lineRule="auto"/>
            </w:pPr>
            <w:r>
              <w:rPr>
                <w:rFonts w:ascii="Calibri" w:hAnsi="Calibri" w:eastAsia="Microsoft YaHei"/>
                <w:color w:val="0B2545"/>
                <w:sz w:val="13"/>
              </w:rPr>
              <w:t>JET Active Gas Handling System—operating experience and lessons learned from recent D-T campaigns</w:t>
            </w:r>
          </w:p>
        </w:tc>
        <w:tc>
          <w:tcPr>
            <w:tcW w:type="dxa" w:w="1700"/>
          </w:tcPr>
          <w:p>
            <w:pPr>
              <w:keepLines/>
              <w:spacing w:after="0" w:line="276" w:lineRule="auto"/>
            </w:pPr>
            <w:r>
              <w:rPr>
                <w:rFonts w:ascii="Calibri" w:hAnsi="Calibri" w:eastAsia="Microsoft YaHei"/>
                <w:color w:val="0B2545"/>
                <w:sz w:val="13"/>
              </w:rPr>
              <w:t>原始论文 / 官方来源</w:t>
            </w:r>
          </w:p>
        </w:tc>
        <w:tc>
          <w:tcPr>
            <w:tcW w:type="dxa" w:w="2260"/>
          </w:tcPr>
          <w:p>
            <w:pPr>
              <w:keepLines/>
              <w:spacing w:after="0" w:line="276" w:lineRule="auto"/>
            </w:pPr>
            <w:hyperlink r:id="rId146">
              <w:r>
                <w:rPr>
                  <w:rFonts w:ascii="Calibri" w:hAnsi="Calibri" w:eastAsia="Microsoft YaHei"/>
                  <w:color w:val="008C95"/>
                  <w:u w:val="single"/>
                </w:rPr>
                <w:t>打开原始来源 ↗</w:t>
              </w:r>
            </w:hyperlink>
          </w:p>
        </w:tc>
      </w:tr>
      <w:tr>
        <w:trPr>
          <w:cantSplit/>
        </w:trPr>
        <w:tc>
          <w:tcPr>
            <w:tcW w:type="dxa" w:w="600"/>
          </w:tcPr>
          <w:p>
            <w:pPr>
              <w:keepLines/>
              <w:spacing w:after="0" w:line="276" w:lineRule="auto"/>
            </w:pPr>
            <w:r>
              <w:rPr>
                <w:rFonts w:ascii="Calibri" w:hAnsi="Calibri" w:eastAsia="Microsoft YaHei"/>
                <w:color w:val="0B2545"/>
                <w:sz w:val="13"/>
              </w:rPr>
              <w:t>2024</w:t>
            </w:r>
          </w:p>
        </w:tc>
        <w:tc>
          <w:tcPr>
            <w:tcW w:type="dxa" w:w="1600"/>
          </w:tcPr>
          <w:p>
            <w:pPr>
              <w:keepLines/>
              <w:spacing w:after="0" w:line="276" w:lineRule="auto"/>
            </w:pPr>
            <w:r>
              <w:rPr>
                <w:rFonts w:ascii="Calibri" w:hAnsi="Calibri" w:eastAsia="Microsoft YaHei"/>
                <w:color w:val="0B2545"/>
                <w:sz w:val="13"/>
              </w:rPr>
              <w:t>L. C. Ingesson; A. Doblas; A. Gandhi; S. Jahanbakhsh; H. Meister</w:t>
            </w:r>
          </w:p>
        </w:tc>
        <w:tc>
          <w:tcPr>
            <w:tcW w:type="dxa" w:w="3200"/>
          </w:tcPr>
          <w:p>
            <w:pPr>
              <w:keepLines/>
              <w:spacing w:after="0" w:line="276" w:lineRule="auto"/>
            </w:pPr>
            <w:r>
              <w:rPr>
                <w:rFonts w:ascii="Calibri" w:hAnsi="Calibri" w:eastAsia="Microsoft YaHei"/>
                <w:color w:val="0B2545"/>
                <w:sz w:val="13"/>
              </w:rPr>
              <w:t>Generic approach to assess the measuring performance of total-radiated power quantities by multi-channel resistive bolometer diagnostics on fusion experiments</w:t>
            </w:r>
          </w:p>
        </w:tc>
        <w:tc>
          <w:tcPr>
            <w:tcW w:type="dxa" w:w="1700"/>
          </w:tcPr>
          <w:p>
            <w:pPr>
              <w:keepLines/>
              <w:spacing w:after="0" w:line="276" w:lineRule="auto"/>
            </w:pPr>
            <w:r>
              <w:rPr>
                <w:rFonts w:ascii="Calibri" w:hAnsi="Calibri" w:eastAsia="Microsoft YaHei"/>
                <w:color w:val="0B2545"/>
                <w:sz w:val="13"/>
              </w:rPr>
              <w:t>Review of Scientific Instruments</w:t>
            </w:r>
          </w:p>
        </w:tc>
        <w:tc>
          <w:tcPr>
            <w:tcW w:type="dxa" w:w="2260"/>
          </w:tcPr>
          <w:p>
            <w:pPr>
              <w:keepLines/>
              <w:spacing w:after="0" w:line="276" w:lineRule="auto"/>
            </w:pPr>
            <w:hyperlink r:id="rId73">
              <w:r>
                <w:rPr>
                  <w:rFonts w:ascii="Calibri" w:hAnsi="Calibri" w:eastAsia="Microsoft YaHei"/>
                  <w:color w:val="008C95"/>
                  <w:u w:val="single"/>
                </w:rPr>
                <w:t>打开原始来源 ↗</w:t>
              </w:r>
            </w:hyperlink>
          </w:p>
        </w:tc>
      </w:tr>
      <w:tr>
        <w:trPr>
          <w:cantSplit/>
        </w:trPr>
        <w:tc>
          <w:tcPr>
            <w:tcW w:type="dxa" w:w="600"/>
          </w:tcPr>
          <w:p>
            <w:pPr>
              <w:keepLines/>
              <w:spacing w:after="0" w:line="276" w:lineRule="auto"/>
            </w:pPr>
            <w:r>
              <w:rPr>
                <w:rFonts w:ascii="Calibri" w:hAnsi="Calibri" w:eastAsia="Microsoft YaHei"/>
                <w:color w:val="0B2545"/>
                <w:sz w:val="13"/>
              </w:rPr>
              <w:t>2024</w:t>
            </w:r>
          </w:p>
        </w:tc>
        <w:tc>
          <w:tcPr>
            <w:tcW w:type="dxa" w:w="1600"/>
          </w:tcPr>
          <w:p>
            <w:pPr>
              <w:keepLines/>
              <w:spacing w:after="0" w:line="276" w:lineRule="auto"/>
            </w:pPr>
            <w:r>
              <w:rPr>
                <w:rFonts w:ascii="Calibri" w:hAnsi="Calibri" w:eastAsia="Microsoft YaHei"/>
                <w:color w:val="0B2545"/>
                <w:sz w:val="13"/>
              </w:rPr>
              <w:t>Y. Lin; V. Nikolaeva; D. Hachmeister; E. Kowalski; M. L. Reinke</w:t>
            </w:r>
          </w:p>
        </w:tc>
        <w:tc>
          <w:tcPr>
            <w:tcW w:type="dxa" w:w="3200"/>
          </w:tcPr>
          <w:p>
            <w:pPr>
              <w:keepLines/>
              <w:spacing w:after="0" w:line="276" w:lineRule="auto"/>
            </w:pPr>
            <w:r>
              <w:rPr>
                <w:rFonts w:ascii="Calibri" w:hAnsi="Calibri" w:eastAsia="Microsoft YaHei"/>
                <w:color w:val="0B2545"/>
                <w:sz w:val="13"/>
              </w:rPr>
              <w:t>Edge scanning reflectometry for density profile measurement on the SPARC tokamak</w:t>
            </w:r>
          </w:p>
        </w:tc>
        <w:tc>
          <w:tcPr>
            <w:tcW w:type="dxa" w:w="1700"/>
          </w:tcPr>
          <w:p>
            <w:pPr>
              <w:keepLines/>
              <w:spacing w:after="0" w:line="276" w:lineRule="auto"/>
            </w:pPr>
            <w:r>
              <w:rPr>
                <w:rFonts w:ascii="Calibri" w:hAnsi="Calibri" w:eastAsia="Microsoft YaHei"/>
                <w:color w:val="0B2545"/>
                <w:sz w:val="13"/>
              </w:rPr>
              <w:t>Review of Scientific Instruments</w:t>
            </w:r>
          </w:p>
        </w:tc>
        <w:tc>
          <w:tcPr>
            <w:tcW w:type="dxa" w:w="2260"/>
          </w:tcPr>
          <w:p>
            <w:pPr>
              <w:keepLines/>
              <w:spacing w:after="0" w:line="276" w:lineRule="auto"/>
            </w:pPr>
            <w:hyperlink r:id="rId55">
              <w:r>
                <w:rPr>
                  <w:rFonts w:ascii="Calibri" w:hAnsi="Calibri" w:eastAsia="Microsoft YaHei"/>
                  <w:color w:val="008C95"/>
                  <w:u w:val="single"/>
                </w:rPr>
                <w:t>打开原始来源 ↗</w:t>
              </w:r>
            </w:hyperlink>
          </w:p>
        </w:tc>
      </w:tr>
      <w:tr>
        <w:trPr>
          <w:cantSplit/>
        </w:trPr>
        <w:tc>
          <w:tcPr>
            <w:tcW w:type="dxa" w:w="600"/>
          </w:tcPr>
          <w:p>
            <w:pPr>
              <w:keepLines/>
              <w:spacing w:after="0" w:line="276" w:lineRule="auto"/>
            </w:pPr>
            <w:r>
              <w:rPr>
                <w:rFonts w:ascii="Calibri" w:hAnsi="Calibri" w:eastAsia="Microsoft YaHei"/>
                <w:color w:val="0B2545"/>
                <w:sz w:val="13"/>
              </w:rPr>
              <w:t>2024</w:t>
            </w:r>
          </w:p>
        </w:tc>
        <w:tc>
          <w:tcPr>
            <w:tcW w:type="dxa" w:w="1600"/>
          </w:tcPr>
          <w:p>
            <w:pPr>
              <w:keepLines/>
              <w:spacing w:after="0" w:line="276" w:lineRule="auto"/>
            </w:pPr>
            <w:r>
              <w:rPr>
                <w:rFonts w:ascii="Calibri" w:hAnsi="Calibri" w:eastAsia="Microsoft YaHei"/>
                <w:color w:val="0B2545"/>
                <w:sz w:val="13"/>
              </w:rPr>
              <w:t>ITER Organization</w:t>
            </w:r>
          </w:p>
        </w:tc>
        <w:tc>
          <w:tcPr>
            <w:tcW w:type="dxa" w:w="3200"/>
          </w:tcPr>
          <w:p>
            <w:pPr>
              <w:keepLines/>
              <w:spacing w:after="0" w:line="276" w:lineRule="auto"/>
            </w:pPr>
            <w:r>
              <w:rPr>
                <w:rFonts w:ascii="Calibri" w:hAnsi="Calibri" w:eastAsia="Microsoft YaHei"/>
                <w:color w:val="0B2545"/>
                <w:sz w:val="13"/>
              </w:rPr>
              <w:t>Diagnostics: maintaining the power balance</w:t>
            </w:r>
          </w:p>
        </w:tc>
        <w:tc>
          <w:tcPr>
            <w:tcW w:type="dxa" w:w="1700"/>
          </w:tcPr>
          <w:p>
            <w:pPr>
              <w:keepLines/>
              <w:spacing w:after="0" w:line="276" w:lineRule="auto"/>
            </w:pPr>
            <w:r>
              <w:rPr>
                <w:rFonts w:ascii="Calibri" w:hAnsi="Calibri" w:eastAsia="Microsoft YaHei"/>
                <w:color w:val="0B2545"/>
                <w:sz w:val="13"/>
              </w:rPr>
              <w:t>ITER official website</w:t>
            </w:r>
          </w:p>
        </w:tc>
        <w:tc>
          <w:tcPr>
            <w:tcW w:type="dxa" w:w="2260"/>
          </w:tcPr>
          <w:p>
            <w:pPr>
              <w:keepLines/>
              <w:spacing w:after="0" w:line="276" w:lineRule="auto"/>
            </w:pPr>
            <w:hyperlink r:id="rId74">
              <w:r>
                <w:rPr>
                  <w:rFonts w:ascii="Calibri" w:hAnsi="Calibri" w:eastAsia="Microsoft YaHei"/>
                  <w:color w:val="008C95"/>
                  <w:u w:val="single"/>
                </w:rPr>
                <w:t>打开原始来源 ↗</w:t>
              </w:r>
            </w:hyperlink>
          </w:p>
        </w:tc>
      </w:tr>
      <w:tr>
        <w:trPr>
          <w:cantSplit/>
        </w:trPr>
        <w:tc>
          <w:tcPr>
            <w:tcW w:type="dxa" w:w="600"/>
          </w:tcPr>
          <w:p>
            <w:pPr>
              <w:keepLines/>
              <w:spacing w:after="0" w:line="276" w:lineRule="auto"/>
            </w:pPr>
            <w:r>
              <w:rPr>
                <w:rFonts w:ascii="Calibri" w:hAnsi="Calibri" w:eastAsia="Microsoft YaHei"/>
                <w:color w:val="0B2545"/>
                <w:sz w:val="13"/>
              </w:rPr>
              <w:t>2024</w:t>
            </w:r>
          </w:p>
        </w:tc>
        <w:tc>
          <w:tcPr>
            <w:tcW w:type="dxa" w:w="1600"/>
          </w:tcPr>
          <w:p>
            <w:pPr>
              <w:keepLines/>
              <w:spacing w:after="0" w:line="276" w:lineRule="auto"/>
            </w:pPr>
            <w:r>
              <w:rPr>
                <w:rFonts w:ascii="Calibri" w:hAnsi="Calibri" w:eastAsia="Microsoft YaHei"/>
                <w:color w:val="0B2545"/>
                <w:sz w:val="13"/>
              </w:rPr>
              <w:t>Dong-Kwon Kim; Jaehyun Lee; Dong Jae Lee; Gunsu S. Yun</w:t>
            </w:r>
          </w:p>
        </w:tc>
        <w:tc>
          <w:tcPr>
            <w:tcW w:type="dxa" w:w="3200"/>
          </w:tcPr>
          <w:p>
            <w:pPr>
              <w:keepLines/>
              <w:spacing w:after="0" w:line="276" w:lineRule="auto"/>
            </w:pPr>
            <w:r>
              <w:rPr>
                <w:rFonts w:ascii="Calibri" w:hAnsi="Calibri" w:eastAsia="Microsoft YaHei"/>
                <w:color w:val="0B2545"/>
                <w:sz w:val="13"/>
              </w:rPr>
              <w:t>Development of a toroidally resolved broadband ECE imaging system for measurement of turbulent fluctuations on the KSTAR</w:t>
            </w:r>
          </w:p>
        </w:tc>
        <w:tc>
          <w:tcPr>
            <w:tcW w:type="dxa" w:w="1700"/>
          </w:tcPr>
          <w:p>
            <w:pPr>
              <w:keepLines/>
              <w:spacing w:after="0" w:line="276" w:lineRule="auto"/>
            </w:pPr>
            <w:r>
              <w:rPr>
                <w:rFonts w:ascii="Calibri" w:hAnsi="Calibri" w:eastAsia="Microsoft YaHei"/>
                <w:color w:val="0B2545"/>
                <w:sz w:val="13"/>
              </w:rPr>
              <w:t>Review of Scientific Instruments</w:t>
            </w:r>
          </w:p>
        </w:tc>
        <w:tc>
          <w:tcPr>
            <w:tcW w:type="dxa" w:w="2260"/>
          </w:tcPr>
          <w:p>
            <w:pPr>
              <w:keepLines/>
              <w:spacing w:after="0" w:line="276" w:lineRule="auto"/>
            </w:pPr>
            <w:hyperlink r:id="rId104">
              <w:r>
                <w:rPr>
                  <w:rFonts w:ascii="Calibri" w:hAnsi="Calibri" w:eastAsia="Microsoft YaHei"/>
                  <w:color w:val="008C95"/>
                  <w:u w:val="single"/>
                </w:rPr>
                <w:t>打开原始来源 ↗</w:t>
              </w:r>
            </w:hyperlink>
          </w:p>
        </w:tc>
      </w:tr>
      <w:tr>
        <w:trPr>
          <w:cantSplit/>
        </w:trPr>
        <w:tc>
          <w:tcPr>
            <w:tcW w:type="dxa" w:w="600"/>
          </w:tcPr>
          <w:p>
            <w:pPr>
              <w:keepLines/>
              <w:spacing w:after="0" w:line="276" w:lineRule="auto"/>
            </w:pPr>
            <w:r>
              <w:rPr>
                <w:rFonts w:ascii="Calibri" w:hAnsi="Calibri" w:eastAsia="Microsoft YaHei"/>
                <w:color w:val="0B2545"/>
                <w:sz w:val="13"/>
              </w:rPr>
              <w:t>2024</w:t>
            </w:r>
          </w:p>
        </w:tc>
        <w:tc>
          <w:tcPr>
            <w:tcW w:type="dxa" w:w="1600"/>
          </w:tcPr>
          <w:p>
            <w:pPr>
              <w:keepLines/>
              <w:spacing w:after="0" w:line="276" w:lineRule="auto"/>
            </w:pPr>
            <w:r>
              <w:rPr>
                <w:rFonts w:ascii="Calibri" w:hAnsi="Calibri" w:eastAsia="Microsoft YaHei"/>
                <w:color w:val="0B2545"/>
                <w:sz w:val="13"/>
              </w:rPr>
              <w:t>A. Jansen van Vuuren; J. Garcia-Dominguez; J. Hidalgo-Salaverri; J. Segado-Fernandez; A. LeViness; J. Ayllon-Guerola; J. Rueda-Rueda; S.A. Lazerson; J. Galdon-Quiroga; M. Garcia-Munoz; N. Pablant</w:t>
            </w:r>
          </w:p>
        </w:tc>
        <w:tc>
          <w:tcPr>
            <w:tcW w:type="dxa" w:w="3200"/>
          </w:tcPr>
          <w:p>
            <w:pPr>
              <w:keepLines/>
              <w:spacing w:after="0" w:line="276" w:lineRule="auto"/>
            </w:pPr>
            <w:r>
              <w:rPr>
                <w:rFonts w:ascii="Calibri" w:hAnsi="Calibri" w:eastAsia="Microsoft YaHei"/>
                <w:color w:val="0B2545"/>
                <w:sz w:val="13"/>
              </w:rPr>
              <w:t>Development of a scintillator based fast-ion loss detector for the Wendelstein 7-X stellarator</w:t>
            </w:r>
          </w:p>
        </w:tc>
        <w:tc>
          <w:tcPr>
            <w:tcW w:type="dxa" w:w="1700"/>
          </w:tcPr>
          <w:p>
            <w:pPr>
              <w:keepLines/>
              <w:spacing w:after="0" w:line="276" w:lineRule="auto"/>
            </w:pPr>
            <w:r>
              <w:rPr>
                <w:rFonts w:ascii="Calibri" w:hAnsi="Calibri" w:eastAsia="Microsoft YaHei"/>
                <w:color w:val="0B2545"/>
                <w:sz w:val="13"/>
              </w:rPr>
              <w:t>Fusion Engineering and Design</w:t>
            </w:r>
          </w:p>
        </w:tc>
        <w:tc>
          <w:tcPr>
            <w:tcW w:type="dxa" w:w="2260"/>
          </w:tcPr>
          <w:p>
            <w:pPr>
              <w:keepLines/>
              <w:spacing w:after="0" w:line="276" w:lineRule="auto"/>
            </w:pPr>
            <w:hyperlink r:id="rId187">
              <w:r>
                <w:rPr>
                  <w:rFonts w:ascii="Calibri" w:hAnsi="Calibri" w:eastAsia="Microsoft YaHei"/>
                  <w:color w:val="008C95"/>
                  <w:u w:val="single"/>
                </w:rPr>
                <w:t>打开原始来源 ↗</w:t>
              </w:r>
            </w:hyperlink>
          </w:p>
        </w:tc>
      </w:tr>
      <w:tr>
        <w:trPr>
          <w:cantSplit/>
        </w:trPr>
        <w:tc>
          <w:tcPr>
            <w:tcW w:type="dxa" w:w="600"/>
          </w:tcPr>
          <w:p>
            <w:pPr>
              <w:keepLines/>
              <w:spacing w:after="0" w:line="276" w:lineRule="auto"/>
            </w:pPr>
            <w:r>
              <w:rPr>
                <w:rFonts w:ascii="Calibri" w:hAnsi="Calibri" w:eastAsia="Microsoft YaHei"/>
                <w:color w:val="0B2545"/>
                <w:sz w:val="13"/>
              </w:rPr>
              <w:t>2024</w:t>
            </w:r>
          </w:p>
        </w:tc>
        <w:tc>
          <w:tcPr>
            <w:tcW w:type="dxa" w:w="1600"/>
          </w:tcPr>
          <w:p>
            <w:pPr>
              <w:keepLines/>
              <w:spacing w:after="0" w:line="276" w:lineRule="auto"/>
            </w:pPr>
            <w:r>
              <w:rPr>
                <w:rFonts w:ascii="Calibri" w:hAnsi="Calibri" w:eastAsia="Microsoft YaHei"/>
                <w:color w:val="0B2545"/>
                <w:sz w:val="13"/>
              </w:rPr>
              <w:t>T. L. Rhodes; W. A. Peebles; Lei Zeng; Valerian Hall-Chen; Kevin Ronald; S. Kubota; Yusong Meng; R. Lantsov; C. M. Michael; N. A. Crocker; R. Scannell</w:t>
            </w:r>
          </w:p>
        </w:tc>
        <w:tc>
          <w:tcPr>
            <w:tcW w:type="dxa" w:w="3200"/>
          </w:tcPr>
          <w:p>
            <w:pPr>
              <w:keepLines/>
              <w:spacing w:after="0" w:line="276" w:lineRule="auto"/>
            </w:pPr>
            <w:r>
              <w:rPr>
                <w:rFonts w:ascii="Calibri" w:hAnsi="Calibri" w:eastAsia="Microsoft YaHei"/>
                <w:color w:val="0B2545"/>
                <w:sz w:val="13"/>
              </w:rPr>
              <w:t>Design of a low frequency, density profile reflectometer system for the MAST-U spherical tokamak</w:t>
            </w:r>
          </w:p>
        </w:tc>
        <w:tc>
          <w:tcPr>
            <w:tcW w:type="dxa" w:w="1700"/>
          </w:tcPr>
          <w:p>
            <w:pPr>
              <w:keepLines/>
              <w:spacing w:after="0" w:line="276" w:lineRule="auto"/>
            </w:pPr>
            <w:r>
              <w:rPr>
                <w:rFonts w:ascii="Calibri" w:hAnsi="Calibri" w:eastAsia="Microsoft YaHei"/>
                <w:color w:val="0B2545"/>
                <w:sz w:val="13"/>
              </w:rPr>
              <w:t>Review of Scientific Instruments</w:t>
            </w:r>
          </w:p>
        </w:tc>
        <w:tc>
          <w:tcPr>
            <w:tcW w:type="dxa" w:w="2260"/>
          </w:tcPr>
          <w:p>
            <w:pPr>
              <w:keepLines/>
              <w:spacing w:after="0" w:line="276" w:lineRule="auto"/>
            </w:pPr>
            <w:hyperlink r:id="rId56">
              <w:r>
                <w:rPr>
                  <w:rFonts w:ascii="Calibri" w:hAnsi="Calibri" w:eastAsia="Microsoft YaHei"/>
                  <w:color w:val="008C95"/>
                  <w:u w:val="single"/>
                </w:rPr>
                <w:t>打开原始来源 ↗</w:t>
              </w:r>
            </w:hyperlink>
          </w:p>
        </w:tc>
      </w:tr>
      <w:tr>
        <w:trPr>
          <w:cantSplit/>
        </w:trPr>
        <w:tc>
          <w:tcPr>
            <w:tcW w:type="dxa" w:w="600"/>
          </w:tcPr>
          <w:p>
            <w:pPr>
              <w:keepLines/>
              <w:spacing w:after="0" w:line="276" w:lineRule="auto"/>
            </w:pPr>
            <w:r>
              <w:rPr>
                <w:rFonts w:ascii="Calibri" w:hAnsi="Calibri" w:eastAsia="Microsoft YaHei"/>
                <w:color w:val="0B2545"/>
                <w:sz w:val="13"/>
              </w:rPr>
              <w:t>2024</w:t>
            </w:r>
          </w:p>
        </w:tc>
        <w:tc>
          <w:tcPr>
            <w:tcW w:type="dxa" w:w="1600"/>
          </w:tcPr>
          <w:p>
            <w:pPr>
              <w:keepLines/>
              <w:spacing w:after="0" w:line="276" w:lineRule="auto"/>
            </w:pPr>
            <w:r>
              <w:rPr>
                <w:rFonts w:ascii="Calibri" w:hAnsi="Calibri" w:eastAsia="Microsoft YaHei"/>
                <w:color w:val="0B2545"/>
                <w:sz w:val="13"/>
              </w:rPr>
              <w:t>F. da Silva; S. Heuraux; T. Ribeiro; E. Ricardo; J. Santos; A. Silva; J. Ferreira; J. Vicente; G. De Masi; O. Tudisco; R. Cavazzana; G. Marchiori; et al. (14 authors)</w:t>
            </w:r>
          </w:p>
        </w:tc>
        <w:tc>
          <w:tcPr>
            <w:tcW w:type="dxa" w:w="3200"/>
          </w:tcPr>
          <w:p>
            <w:pPr>
              <w:keepLines/>
              <w:spacing w:after="0" w:line="276" w:lineRule="auto"/>
            </w:pPr>
            <w:r>
              <w:rPr>
                <w:rFonts w:ascii="Calibri" w:hAnsi="Calibri" w:eastAsia="Microsoft YaHei"/>
                <w:color w:val="0B2545"/>
                <w:sz w:val="13"/>
              </w:rPr>
              <w:t>An overview of the evolution of the modeling of reflectometry diagnostics in fusion plasmas using finite-difference time-domain codes</w:t>
            </w:r>
          </w:p>
        </w:tc>
        <w:tc>
          <w:tcPr>
            <w:tcW w:type="dxa" w:w="1700"/>
          </w:tcPr>
          <w:p>
            <w:pPr>
              <w:keepLines/>
              <w:spacing w:after="0" w:line="276" w:lineRule="auto"/>
            </w:pPr>
            <w:r>
              <w:rPr>
                <w:rFonts w:ascii="Calibri" w:hAnsi="Calibri" w:eastAsia="Microsoft YaHei"/>
                <w:color w:val="0B2545"/>
                <w:sz w:val="13"/>
              </w:rPr>
              <w:t>Fusion Engineering and Design</w:t>
            </w:r>
          </w:p>
        </w:tc>
        <w:tc>
          <w:tcPr>
            <w:tcW w:type="dxa" w:w="2260"/>
          </w:tcPr>
          <w:p>
            <w:pPr>
              <w:keepLines/>
              <w:spacing w:after="0" w:line="276" w:lineRule="auto"/>
            </w:pPr>
            <w:hyperlink r:id="rId177">
              <w:r>
                <w:rPr>
                  <w:rFonts w:ascii="Calibri" w:hAnsi="Calibri" w:eastAsia="Microsoft YaHei"/>
                  <w:color w:val="008C95"/>
                  <w:u w:val="single"/>
                </w:rPr>
                <w:t>打开原始来源 ↗</w:t>
              </w:r>
            </w:hyperlink>
          </w:p>
        </w:tc>
      </w:tr>
      <w:tr>
        <w:trPr>
          <w:cantSplit/>
        </w:trPr>
        <w:tc>
          <w:tcPr>
            <w:tcW w:type="dxa" w:w="600"/>
          </w:tcPr>
          <w:p>
            <w:pPr>
              <w:keepLines/>
              <w:spacing w:after="0" w:line="276" w:lineRule="auto"/>
            </w:pPr>
            <w:r>
              <w:rPr>
                <w:rFonts w:ascii="Calibri" w:hAnsi="Calibri" w:eastAsia="Microsoft YaHei"/>
                <w:color w:val="0B2545"/>
                <w:sz w:val="13"/>
              </w:rPr>
              <w:t>2024</w:t>
            </w:r>
          </w:p>
        </w:tc>
        <w:tc>
          <w:tcPr>
            <w:tcW w:type="dxa" w:w="1600"/>
          </w:tcPr>
          <w:p>
            <w:pPr>
              <w:keepLines/>
              <w:spacing w:after="0" w:line="276" w:lineRule="auto"/>
            </w:pPr>
            <w:r>
              <w:rPr>
                <w:rFonts w:ascii="Calibri" w:hAnsi="Calibri" w:eastAsia="Microsoft YaHei"/>
                <w:color w:val="0B2545"/>
                <w:sz w:val="13"/>
              </w:rPr>
              <w:t>Bo S Schmidt; Jesús Poley-Sanjuán; José Rueda-Rueda; Joaquín Galdon-Quíroga; Marcelo Baquero-Ruiz; Henrik Järleblad; Bernard C G Reman; Mads Rud; Andrea Valentini; Manuel García-Muñoz; Mirko Salewski</w:t>
            </w:r>
          </w:p>
        </w:tc>
        <w:tc>
          <w:tcPr>
            <w:tcW w:type="dxa" w:w="3200"/>
          </w:tcPr>
          <w:p>
            <w:pPr>
              <w:keepLines/>
              <w:spacing w:after="0" w:line="276" w:lineRule="auto"/>
            </w:pPr>
            <w:r>
              <w:rPr>
                <w:rFonts w:ascii="Calibri" w:hAnsi="Calibri" w:eastAsia="Microsoft YaHei"/>
                <w:color w:val="0B2545"/>
                <w:sz w:val="13"/>
              </w:rPr>
              <w:t>A new FILDSIM model for improved velocity-space sensitivity modelling and reconstructions</w:t>
            </w:r>
          </w:p>
        </w:tc>
        <w:tc>
          <w:tcPr>
            <w:tcW w:type="dxa" w:w="1700"/>
          </w:tcPr>
          <w:p>
            <w:pPr>
              <w:keepLines/>
              <w:spacing w:after="0" w:line="276" w:lineRule="auto"/>
            </w:pPr>
            <w:r>
              <w:rPr>
                <w:rFonts w:ascii="Calibri" w:hAnsi="Calibri" w:eastAsia="Microsoft YaHei"/>
                <w:color w:val="0B2545"/>
                <w:sz w:val="13"/>
              </w:rPr>
              <w:t>Plasma Physics and Controlled Fusion</w:t>
            </w:r>
          </w:p>
        </w:tc>
        <w:tc>
          <w:tcPr>
            <w:tcW w:type="dxa" w:w="2260"/>
          </w:tcPr>
          <w:p>
            <w:pPr>
              <w:keepLines/>
              <w:spacing w:after="0" w:line="276" w:lineRule="auto"/>
            </w:pPr>
            <w:hyperlink r:id="rId186">
              <w:r>
                <w:rPr>
                  <w:rFonts w:ascii="Calibri" w:hAnsi="Calibri" w:eastAsia="Microsoft YaHei"/>
                  <w:color w:val="008C95"/>
                  <w:u w:val="single"/>
                </w:rPr>
                <w:t>打开原始来源 ↗</w:t>
              </w:r>
            </w:hyperlink>
          </w:p>
        </w:tc>
      </w:tr>
      <w:tr>
        <w:trPr>
          <w:cantSplit/>
        </w:trPr>
        <w:tc>
          <w:tcPr>
            <w:tcW w:type="dxa" w:w="600"/>
          </w:tcPr>
          <w:p>
            <w:pPr>
              <w:keepLines/>
              <w:spacing w:after="0" w:line="276" w:lineRule="auto"/>
            </w:pPr>
            <w:r>
              <w:rPr>
                <w:rFonts w:ascii="Calibri" w:hAnsi="Calibri" w:eastAsia="Microsoft YaHei"/>
                <w:color w:val="0B2545"/>
                <w:sz w:val="13"/>
              </w:rPr>
              <w:t>2023</w:t>
            </w:r>
          </w:p>
        </w:tc>
        <w:tc>
          <w:tcPr>
            <w:tcW w:type="dxa" w:w="1600"/>
          </w:tcPr>
          <w:p>
            <w:pPr>
              <w:keepLines/>
              <w:spacing w:after="0" w:line="276" w:lineRule="auto"/>
            </w:pPr>
            <w:r>
              <w:rPr>
                <w:rFonts w:ascii="Calibri" w:hAnsi="Calibri" w:eastAsia="Microsoft YaHei"/>
                <w:color w:val="0B2545"/>
                <w:sz w:val="13"/>
              </w:rPr>
              <w:t>未完整列出</w:t>
            </w:r>
          </w:p>
        </w:tc>
        <w:tc>
          <w:tcPr>
            <w:tcW w:type="dxa" w:w="3200"/>
          </w:tcPr>
          <w:p>
            <w:pPr>
              <w:keepLines/>
              <w:spacing w:after="0" w:line="276" w:lineRule="auto"/>
            </w:pPr>
            <w:r>
              <w:rPr>
                <w:rFonts w:ascii="Calibri" w:hAnsi="Calibri" w:eastAsia="Microsoft YaHei"/>
                <w:color w:val="0B2545"/>
                <w:sz w:val="13"/>
              </w:rPr>
              <w:t>Toroidal field magnet energized</w:t>
            </w:r>
          </w:p>
        </w:tc>
        <w:tc>
          <w:tcPr>
            <w:tcW w:type="dxa" w:w="1700"/>
          </w:tcPr>
          <w:p>
            <w:pPr>
              <w:keepLines/>
              <w:spacing w:after="0" w:line="276" w:lineRule="auto"/>
            </w:pPr>
            <w:r>
              <w:rPr>
                <w:rFonts w:ascii="Calibri" w:hAnsi="Calibri" w:eastAsia="Microsoft YaHei"/>
                <w:color w:val="0B2545"/>
                <w:sz w:val="13"/>
              </w:rPr>
              <w:t>原始论文 / 官方来源</w:t>
            </w:r>
          </w:p>
        </w:tc>
        <w:tc>
          <w:tcPr>
            <w:tcW w:type="dxa" w:w="2260"/>
          </w:tcPr>
          <w:p>
            <w:pPr>
              <w:keepLines/>
              <w:spacing w:after="0" w:line="276" w:lineRule="auto"/>
            </w:pPr>
            <w:hyperlink r:id="rId132">
              <w:r>
                <w:rPr>
                  <w:rFonts w:ascii="Calibri" w:hAnsi="Calibri" w:eastAsia="Microsoft YaHei"/>
                  <w:color w:val="008C95"/>
                  <w:u w:val="single"/>
                </w:rPr>
                <w:t>打开原始来源 ↗</w:t>
              </w:r>
            </w:hyperlink>
          </w:p>
        </w:tc>
      </w:tr>
      <w:tr>
        <w:trPr>
          <w:cantSplit/>
        </w:trPr>
        <w:tc>
          <w:tcPr>
            <w:tcW w:type="dxa" w:w="600"/>
          </w:tcPr>
          <w:p>
            <w:pPr>
              <w:keepLines/>
              <w:spacing w:after="0" w:line="276" w:lineRule="auto"/>
            </w:pPr>
            <w:r>
              <w:rPr>
                <w:rFonts w:ascii="Calibri" w:hAnsi="Calibri" w:eastAsia="Microsoft YaHei"/>
                <w:color w:val="0B2545"/>
                <w:sz w:val="13"/>
              </w:rPr>
              <w:t>2023</w:t>
            </w:r>
          </w:p>
        </w:tc>
        <w:tc>
          <w:tcPr>
            <w:tcW w:type="dxa" w:w="1600"/>
          </w:tcPr>
          <w:p>
            <w:pPr>
              <w:keepLines/>
              <w:spacing w:after="0" w:line="276" w:lineRule="auto"/>
            </w:pPr>
            <w:r>
              <w:rPr>
                <w:rFonts w:ascii="Calibri" w:hAnsi="Calibri" w:eastAsia="Microsoft YaHei"/>
                <w:color w:val="0B2545"/>
                <w:sz w:val="13"/>
              </w:rPr>
              <w:t>ITER Organization</w:t>
            </w:r>
          </w:p>
        </w:tc>
        <w:tc>
          <w:tcPr>
            <w:tcW w:type="dxa" w:w="3200"/>
          </w:tcPr>
          <w:p>
            <w:pPr>
              <w:keepLines/>
              <w:spacing w:after="0" w:line="276" w:lineRule="auto"/>
            </w:pPr>
            <w:r>
              <w:rPr>
                <w:rFonts w:ascii="Calibri" w:hAnsi="Calibri" w:eastAsia="Microsoft YaHei"/>
                <w:color w:val="0B2545"/>
                <w:sz w:val="13"/>
              </w:rPr>
              <w:t>Testing neutral beam diagnostics</w:t>
            </w:r>
          </w:p>
        </w:tc>
        <w:tc>
          <w:tcPr>
            <w:tcW w:type="dxa" w:w="1700"/>
          </w:tcPr>
          <w:p>
            <w:pPr>
              <w:keepLines/>
              <w:spacing w:after="0" w:line="276" w:lineRule="auto"/>
            </w:pPr>
            <w:r>
              <w:rPr>
                <w:rFonts w:ascii="Calibri" w:hAnsi="Calibri" w:eastAsia="Microsoft YaHei"/>
                <w:color w:val="0B2545"/>
                <w:sz w:val="13"/>
              </w:rPr>
              <w:t>ITER official website</w:t>
            </w:r>
          </w:p>
        </w:tc>
        <w:tc>
          <w:tcPr>
            <w:tcW w:type="dxa" w:w="2260"/>
          </w:tcPr>
          <w:p>
            <w:pPr>
              <w:keepLines/>
              <w:spacing w:after="0" w:line="276" w:lineRule="auto"/>
            </w:pPr>
            <w:hyperlink r:id="rId71">
              <w:r>
                <w:rPr>
                  <w:rFonts w:ascii="Calibri" w:hAnsi="Calibri" w:eastAsia="Microsoft YaHei"/>
                  <w:color w:val="008C95"/>
                  <w:u w:val="single"/>
                </w:rPr>
                <w:t>打开原始来源 ↗</w:t>
              </w:r>
            </w:hyperlink>
          </w:p>
        </w:tc>
      </w:tr>
      <w:tr>
        <w:trPr>
          <w:cantSplit/>
        </w:trPr>
        <w:tc>
          <w:tcPr>
            <w:tcW w:type="dxa" w:w="600"/>
          </w:tcPr>
          <w:p>
            <w:pPr>
              <w:keepLines/>
              <w:spacing w:after="0" w:line="276" w:lineRule="auto"/>
            </w:pPr>
            <w:r>
              <w:rPr>
                <w:rFonts w:ascii="Calibri" w:hAnsi="Calibri" w:eastAsia="Microsoft YaHei"/>
                <w:color w:val="0B2545"/>
                <w:sz w:val="13"/>
              </w:rPr>
              <w:t>2023</w:t>
            </w:r>
          </w:p>
        </w:tc>
        <w:tc>
          <w:tcPr>
            <w:tcW w:type="dxa" w:w="1600"/>
          </w:tcPr>
          <w:p>
            <w:pPr>
              <w:keepLines/>
              <w:spacing w:after="0" w:line="276" w:lineRule="auto"/>
            </w:pPr>
            <w:r>
              <w:rPr>
                <w:rFonts w:ascii="Calibri" w:hAnsi="Calibri" w:eastAsia="Microsoft YaHei"/>
                <w:color w:val="0B2545"/>
                <w:sz w:val="13"/>
              </w:rPr>
              <w:t>未完整列出</w:t>
            </w:r>
          </w:p>
        </w:tc>
        <w:tc>
          <w:tcPr>
            <w:tcW w:type="dxa" w:w="3200"/>
          </w:tcPr>
          <w:p>
            <w:pPr>
              <w:keepLines/>
              <w:spacing w:after="0" w:line="276" w:lineRule="auto"/>
            </w:pPr>
            <w:r>
              <w:rPr>
                <w:rFonts w:ascii="Calibri" w:hAnsi="Calibri" w:eastAsia="Microsoft YaHei"/>
                <w:color w:val="0B2545"/>
                <w:sz w:val="13"/>
              </w:rPr>
              <w:t>Progress on the design and prototyping of SPARC diagnostics</w:t>
            </w:r>
          </w:p>
        </w:tc>
        <w:tc>
          <w:tcPr>
            <w:tcW w:type="dxa" w:w="1700"/>
          </w:tcPr>
          <w:p>
            <w:pPr>
              <w:keepLines/>
              <w:spacing w:after="0" w:line="276" w:lineRule="auto"/>
            </w:pPr>
            <w:r>
              <w:rPr>
                <w:rFonts w:ascii="Calibri" w:hAnsi="Calibri" w:eastAsia="Microsoft YaHei"/>
                <w:color w:val="0B2545"/>
                <w:sz w:val="13"/>
              </w:rPr>
              <w:t>原始论文 / 官方来源</w:t>
            </w:r>
          </w:p>
        </w:tc>
        <w:tc>
          <w:tcPr>
            <w:tcW w:type="dxa" w:w="2260"/>
          </w:tcPr>
          <w:p>
            <w:pPr>
              <w:keepLines/>
              <w:spacing w:after="0" w:line="276" w:lineRule="auto"/>
            </w:pPr>
            <w:hyperlink r:id="rId158">
              <w:r>
                <w:rPr>
                  <w:rFonts w:ascii="Calibri" w:hAnsi="Calibri" w:eastAsia="Microsoft YaHei"/>
                  <w:color w:val="008C95"/>
                  <w:u w:val="single"/>
                </w:rPr>
                <w:t>打开原始来源 ↗</w:t>
              </w:r>
            </w:hyperlink>
          </w:p>
        </w:tc>
      </w:tr>
      <w:tr>
        <w:trPr>
          <w:cantSplit/>
        </w:trPr>
        <w:tc>
          <w:tcPr>
            <w:tcW w:type="dxa" w:w="600"/>
          </w:tcPr>
          <w:p>
            <w:pPr>
              <w:keepLines/>
              <w:spacing w:after="0" w:line="276" w:lineRule="auto"/>
            </w:pPr>
            <w:r>
              <w:rPr>
                <w:rFonts w:ascii="Calibri" w:hAnsi="Calibri" w:eastAsia="Microsoft YaHei"/>
                <w:color w:val="0B2545"/>
                <w:sz w:val="13"/>
              </w:rPr>
              <w:t>2023</w:t>
            </w:r>
          </w:p>
        </w:tc>
        <w:tc>
          <w:tcPr>
            <w:tcW w:type="dxa" w:w="1600"/>
          </w:tcPr>
          <w:p>
            <w:pPr>
              <w:keepLines/>
              <w:spacing w:after="0" w:line="276" w:lineRule="auto"/>
            </w:pPr>
            <w:r>
              <w:rPr>
                <w:rFonts w:ascii="Calibri" w:hAnsi="Calibri" w:eastAsia="Microsoft YaHei"/>
                <w:color w:val="0B2545"/>
                <w:sz w:val="13"/>
              </w:rPr>
              <w:t>Zuowei Wen; Guoliang Yuan; Yong Li; Qingwei Yang; Jun Li; Li Zhao; Lingfeng Wei; Jinwen Zhang</w:t>
            </w:r>
          </w:p>
        </w:tc>
        <w:tc>
          <w:tcPr>
            <w:tcW w:type="dxa" w:w="3200"/>
          </w:tcPr>
          <w:p>
            <w:pPr>
              <w:keepLines/>
              <w:spacing w:after="0" w:line="276" w:lineRule="auto"/>
            </w:pPr>
            <w:r>
              <w:rPr>
                <w:rFonts w:ascii="Calibri" w:hAnsi="Calibri" w:eastAsia="Microsoft YaHei"/>
                <w:color w:val="0B2545"/>
                <w:sz w:val="13"/>
              </w:rPr>
              <w:t>Neutronic analysis and measurement performance assessment of ITER neutron flux monitor system</w:t>
            </w:r>
          </w:p>
        </w:tc>
        <w:tc>
          <w:tcPr>
            <w:tcW w:type="dxa" w:w="1700"/>
          </w:tcPr>
          <w:p>
            <w:pPr>
              <w:keepLines/>
              <w:spacing w:after="0" w:line="276" w:lineRule="auto"/>
            </w:pPr>
            <w:r>
              <w:rPr>
                <w:rFonts w:ascii="Calibri" w:hAnsi="Calibri" w:eastAsia="Microsoft YaHei"/>
                <w:color w:val="0B2545"/>
                <w:sz w:val="13"/>
              </w:rPr>
              <w:t>Fusion Engineering and Design</w:t>
            </w:r>
          </w:p>
        </w:tc>
        <w:tc>
          <w:tcPr>
            <w:tcW w:type="dxa" w:w="2260"/>
          </w:tcPr>
          <w:p>
            <w:pPr>
              <w:keepLines/>
              <w:spacing w:after="0" w:line="276" w:lineRule="auto"/>
            </w:pPr>
            <w:hyperlink r:id="rId87">
              <w:r>
                <w:rPr>
                  <w:rFonts w:ascii="Calibri" w:hAnsi="Calibri" w:eastAsia="Microsoft YaHei"/>
                  <w:color w:val="008C95"/>
                  <w:u w:val="single"/>
                </w:rPr>
                <w:t>打开原始来源 ↗</w:t>
              </w:r>
            </w:hyperlink>
          </w:p>
        </w:tc>
      </w:tr>
      <w:tr>
        <w:trPr>
          <w:cantSplit/>
        </w:trPr>
        <w:tc>
          <w:tcPr>
            <w:tcW w:type="dxa" w:w="600"/>
          </w:tcPr>
          <w:p>
            <w:pPr>
              <w:keepLines/>
              <w:spacing w:after="0" w:line="276" w:lineRule="auto"/>
            </w:pPr>
            <w:r>
              <w:rPr>
                <w:rFonts w:ascii="Calibri" w:hAnsi="Calibri" w:eastAsia="Microsoft YaHei"/>
                <w:color w:val="0B2545"/>
                <w:sz w:val="13"/>
              </w:rPr>
              <w:t>2023</w:t>
            </w:r>
          </w:p>
        </w:tc>
        <w:tc>
          <w:tcPr>
            <w:tcW w:type="dxa" w:w="1600"/>
          </w:tcPr>
          <w:p>
            <w:pPr>
              <w:keepLines/>
              <w:spacing w:after="0" w:line="276" w:lineRule="auto"/>
            </w:pPr>
            <w:r>
              <w:rPr>
                <w:rFonts w:ascii="Calibri" w:hAnsi="Calibri" w:eastAsia="Microsoft YaHei"/>
                <w:color w:val="0B2545"/>
                <w:sz w:val="13"/>
              </w:rPr>
              <w:t>未完整列出</w:t>
            </w:r>
          </w:p>
        </w:tc>
        <w:tc>
          <w:tcPr>
            <w:tcW w:type="dxa" w:w="3200"/>
          </w:tcPr>
          <w:p>
            <w:pPr>
              <w:keepLines/>
              <w:spacing w:after="0" w:line="276" w:lineRule="auto"/>
            </w:pPr>
            <w:r>
              <w:rPr>
                <w:rFonts w:ascii="Calibri" w:hAnsi="Calibri" w:eastAsia="Microsoft YaHei"/>
                <w:color w:val="0B2545"/>
                <w:sz w:val="13"/>
              </w:rPr>
              <w:t>JET Exhaust Detritiation System replacement—design, commissioning, and operation</w:t>
            </w:r>
          </w:p>
        </w:tc>
        <w:tc>
          <w:tcPr>
            <w:tcW w:type="dxa" w:w="1700"/>
          </w:tcPr>
          <w:p>
            <w:pPr>
              <w:keepLines/>
              <w:spacing w:after="0" w:line="276" w:lineRule="auto"/>
            </w:pPr>
            <w:r>
              <w:rPr>
                <w:rFonts w:ascii="Calibri" w:hAnsi="Calibri" w:eastAsia="Microsoft YaHei"/>
                <w:color w:val="0B2545"/>
                <w:sz w:val="13"/>
              </w:rPr>
              <w:t>原始论文 / 官方来源</w:t>
            </w:r>
          </w:p>
        </w:tc>
        <w:tc>
          <w:tcPr>
            <w:tcW w:type="dxa" w:w="2260"/>
          </w:tcPr>
          <w:p>
            <w:pPr>
              <w:keepLines/>
              <w:spacing w:after="0" w:line="276" w:lineRule="auto"/>
            </w:pPr>
            <w:hyperlink r:id="rId148">
              <w:r>
                <w:rPr>
                  <w:rFonts w:ascii="Calibri" w:hAnsi="Calibri" w:eastAsia="Microsoft YaHei"/>
                  <w:color w:val="008C95"/>
                  <w:u w:val="single"/>
                </w:rPr>
                <w:t>打开原始来源 ↗</w:t>
              </w:r>
            </w:hyperlink>
          </w:p>
        </w:tc>
      </w:tr>
      <w:tr>
        <w:trPr>
          <w:cantSplit/>
        </w:trPr>
        <w:tc>
          <w:tcPr>
            <w:tcW w:type="dxa" w:w="600"/>
          </w:tcPr>
          <w:p>
            <w:pPr>
              <w:keepLines/>
              <w:spacing w:after="0" w:line="276" w:lineRule="auto"/>
            </w:pPr>
            <w:r>
              <w:rPr>
                <w:rFonts w:ascii="Calibri" w:hAnsi="Calibri" w:eastAsia="Microsoft YaHei"/>
                <w:color w:val="0B2545"/>
                <w:sz w:val="13"/>
              </w:rPr>
              <w:t>2023</w:t>
            </w:r>
          </w:p>
        </w:tc>
        <w:tc>
          <w:tcPr>
            <w:tcW w:type="dxa" w:w="1600"/>
          </w:tcPr>
          <w:p>
            <w:pPr>
              <w:keepLines/>
              <w:spacing w:after="0" w:line="276" w:lineRule="auto"/>
            </w:pPr>
            <w:r>
              <w:rPr>
                <w:rFonts w:ascii="Calibri" w:hAnsi="Calibri" w:eastAsia="Microsoft YaHei"/>
                <w:color w:val="0B2545"/>
                <w:sz w:val="13"/>
              </w:rPr>
              <w:t>Zichao LIN; Hongming ZHANG; Fudi WANG; Cheonho BAE; Jia FU; Yifei JIN; Di’an LU; Shengyu FU; Jiankang LI; Bo LYU</w:t>
            </w:r>
          </w:p>
        </w:tc>
        <w:tc>
          <w:tcPr>
            <w:tcW w:type="dxa" w:w="3200"/>
          </w:tcPr>
          <w:p>
            <w:pPr>
              <w:keepLines/>
              <w:spacing w:after="0" w:line="276" w:lineRule="auto"/>
            </w:pPr>
            <w:r>
              <w:rPr>
                <w:rFonts w:ascii="Calibri" w:hAnsi="Calibri" w:eastAsia="Microsoft YaHei"/>
                <w:color w:val="0B2545"/>
                <w:sz w:val="13"/>
              </w:rPr>
              <w:t>Inversion techniques to obtain local rotation velocity and ion temperature profiles for the x-ray crystal spectrometer on EAST</w:t>
            </w:r>
          </w:p>
        </w:tc>
        <w:tc>
          <w:tcPr>
            <w:tcW w:type="dxa" w:w="1700"/>
          </w:tcPr>
          <w:p>
            <w:pPr>
              <w:keepLines/>
              <w:spacing w:after="0" w:line="276" w:lineRule="auto"/>
            </w:pPr>
            <w:r>
              <w:rPr>
                <w:rFonts w:ascii="Calibri" w:hAnsi="Calibri" w:eastAsia="Microsoft YaHei"/>
                <w:color w:val="0B2545"/>
                <w:sz w:val="13"/>
              </w:rPr>
              <w:t>Plasma Science and Technology</w:t>
            </w:r>
          </w:p>
        </w:tc>
        <w:tc>
          <w:tcPr>
            <w:tcW w:type="dxa" w:w="2260"/>
          </w:tcPr>
          <w:p>
            <w:pPr>
              <w:keepLines/>
              <w:spacing w:after="0" w:line="276" w:lineRule="auto"/>
            </w:pPr>
            <w:hyperlink r:id="rId62">
              <w:r>
                <w:rPr>
                  <w:rFonts w:ascii="Calibri" w:hAnsi="Calibri" w:eastAsia="Microsoft YaHei"/>
                  <w:color w:val="008C95"/>
                  <w:u w:val="single"/>
                </w:rPr>
                <w:t>打开原始来源 ↗</w:t>
              </w:r>
            </w:hyperlink>
          </w:p>
        </w:tc>
      </w:tr>
      <w:tr>
        <w:trPr>
          <w:cantSplit/>
        </w:trPr>
        <w:tc>
          <w:tcPr>
            <w:tcW w:type="dxa" w:w="600"/>
          </w:tcPr>
          <w:p>
            <w:pPr>
              <w:keepLines/>
              <w:spacing w:after="0" w:line="276" w:lineRule="auto"/>
            </w:pPr>
            <w:r>
              <w:rPr>
                <w:rFonts w:ascii="Calibri" w:hAnsi="Calibri" w:eastAsia="Microsoft YaHei"/>
                <w:color w:val="0B2545"/>
                <w:sz w:val="13"/>
              </w:rPr>
              <w:t>2023</w:t>
            </w:r>
          </w:p>
        </w:tc>
        <w:tc>
          <w:tcPr>
            <w:tcW w:type="dxa" w:w="1600"/>
          </w:tcPr>
          <w:p>
            <w:pPr>
              <w:keepLines/>
              <w:spacing w:after="0" w:line="276" w:lineRule="auto"/>
            </w:pPr>
            <w:r>
              <w:rPr>
                <w:rFonts w:ascii="Calibri" w:hAnsi="Calibri" w:eastAsia="Microsoft YaHei"/>
                <w:color w:val="0B2545"/>
                <w:sz w:val="13"/>
              </w:rPr>
              <w:t>T. E. Benedett; J. Chen; D. L. Brower; R. Yoneda; L. L. Lao; J. McClenaghan</w:t>
            </w:r>
          </w:p>
        </w:tc>
        <w:tc>
          <w:tcPr>
            <w:tcW w:type="dxa" w:w="3200"/>
          </w:tcPr>
          <w:p>
            <w:pPr>
              <w:keepLines/>
              <w:spacing w:after="0" w:line="276" w:lineRule="auto"/>
            </w:pPr>
            <w:r>
              <w:rPr>
                <w:rFonts w:ascii="Calibri" w:hAnsi="Calibri" w:eastAsia="Microsoft YaHei"/>
                <w:color w:val="0B2545"/>
                <w:sz w:val="13"/>
              </w:rPr>
              <w:t>Implementing Faraday effect measurement constraints into the Grad–Shafranov equilibrium fitting code EFIT</w:t>
            </w:r>
          </w:p>
        </w:tc>
        <w:tc>
          <w:tcPr>
            <w:tcW w:type="dxa" w:w="1700"/>
          </w:tcPr>
          <w:p>
            <w:pPr>
              <w:keepLines/>
              <w:spacing w:after="0" w:line="276" w:lineRule="auto"/>
            </w:pPr>
            <w:r>
              <w:rPr>
                <w:rFonts w:ascii="Calibri" w:hAnsi="Calibri" w:eastAsia="Microsoft YaHei"/>
                <w:color w:val="0B2545"/>
                <w:sz w:val="13"/>
              </w:rPr>
              <w:t>Review of Scientific Instruments</w:t>
            </w:r>
          </w:p>
        </w:tc>
        <w:tc>
          <w:tcPr>
            <w:tcW w:type="dxa" w:w="2260"/>
          </w:tcPr>
          <w:p>
            <w:pPr>
              <w:keepLines/>
              <w:spacing w:after="0" w:line="276" w:lineRule="auto"/>
            </w:pPr>
            <w:hyperlink r:id="rId53">
              <w:r>
                <w:rPr>
                  <w:rFonts w:ascii="Calibri" w:hAnsi="Calibri" w:eastAsia="Microsoft YaHei"/>
                  <w:color w:val="008C95"/>
                  <w:u w:val="single"/>
                </w:rPr>
                <w:t>打开原始来源 ↗</w:t>
              </w:r>
            </w:hyperlink>
          </w:p>
        </w:tc>
      </w:tr>
      <w:tr>
        <w:trPr>
          <w:cantSplit/>
        </w:trPr>
        <w:tc>
          <w:tcPr>
            <w:tcW w:type="dxa" w:w="600"/>
          </w:tcPr>
          <w:p>
            <w:pPr>
              <w:keepLines/>
              <w:spacing w:after="0" w:line="276" w:lineRule="auto"/>
            </w:pPr>
            <w:r>
              <w:rPr>
                <w:rFonts w:ascii="Calibri" w:hAnsi="Calibri" w:eastAsia="Microsoft YaHei"/>
                <w:color w:val="0B2545"/>
                <w:sz w:val="13"/>
              </w:rPr>
              <w:t>2023</w:t>
            </w:r>
          </w:p>
        </w:tc>
        <w:tc>
          <w:tcPr>
            <w:tcW w:type="dxa" w:w="1600"/>
          </w:tcPr>
          <w:p>
            <w:pPr>
              <w:keepLines/>
              <w:spacing w:after="0" w:line="276" w:lineRule="auto"/>
            </w:pPr>
            <w:r>
              <w:rPr>
                <w:rFonts w:ascii="Calibri" w:hAnsi="Calibri" w:eastAsia="Microsoft YaHei"/>
                <w:color w:val="0B2545"/>
                <w:sz w:val="13"/>
              </w:rPr>
              <w:t>未完整列出</w:t>
            </w:r>
          </w:p>
        </w:tc>
        <w:tc>
          <w:tcPr>
            <w:tcW w:type="dxa" w:w="3200"/>
          </w:tcPr>
          <w:p>
            <w:pPr>
              <w:keepLines/>
              <w:spacing w:after="0" w:line="276" w:lineRule="auto"/>
            </w:pPr>
            <w:r>
              <w:rPr>
                <w:rFonts w:ascii="Calibri" w:hAnsi="Calibri" w:eastAsia="Microsoft YaHei"/>
                <w:color w:val="0B2545"/>
                <w:sz w:val="13"/>
              </w:rPr>
              <w:t>Design and Prototyping of Remote Handling Electrical Connector for Diagnostic Rack in ITER</w:t>
            </w:r>
          </w:p>
        </w:tc>
        <w:tc>
          <w:tcPr>
            <w:tcW w:type="dxa" w:w="1700"/>
          </w:tcPr>
          <w:p>
            <w:pPr>
              <w:keepLines/>
              <w:spacing w:after="0" w:line="276" w:lineRule="auto"/>
            </w:pPr>
            <w:r>
              <w:rPr>
                <w:rFonts w:ascii="Calibri" w:hAnsi="Calibri" w:eastAsia="Microsoft YaHei"/>
                <w:color w:val="0B2545"/>
                <w:sz w:val="13"/>
              </w:rPr>
              <w:t>原始论文 / 官方来源</w:t>
            </w:r>
          </w:p>
        </w:tc>
        <w:tc>
          <w:tcPr>
            <w:tcW w:type="dxa" w:w="2260"/>
          </w:tcPr>
          <w:p>
            <w:pPr>
              <w:keepLines/>
              <w:spacing w:after="0" w:line="276" w:lineRule="auto"/>
            </w:pPr>
            <w:hyperlink r:id="rId150">
              <w:r>
                <w:rPr>
                  <w:rFonts w:ascii="Calibri" w:hAnsi="Calibri" w:eastAsia="Microsoft YaHei"/>
                  <w:color w:val="008C95"/>
                  <w:u w:val="single"/>
                </w:rPr>
                <w:t>打开原始来源 ↗</w:t>
              </w:r>
            </w:hyperlink>
          </w:p>
        </w:tc>
      </w:tr>
      <w:tr>
        <w:trPr>
          <w:cantSplit/>
        </w:trPr>
        <w:tc>
          <w:tcPr>
            <w:tcW w:type="dxa" w:w="600"/>
          </w:tcPr>
          <w:p>
            <w:pPr>
              <w:keepLines/>
              <w:spacing w:after="0" w:line="276" w:lineRule="auto"/>
            </w:pPr>
            <w:r>
              <w:rPr>
                <w:rFonts w:ascii="Calibri" w:hAnsi="Calibri" w:eastAsia="Microsoft YaHei"/>
                <w:color w:val="0B2545"/>
                <w:sz w:val="13"/>
              </w:rPr>
              <w:t>2022</w:t>
            </w:r>
          </w:p>
        </w:tc>
        <w:tc>
          <w:tcPr>
            <w:tcW w:type="dxa" w:w="1600"/>
          </w:tcPr>
          <w:p>
            <w:pPr>
              <w:keepLines/>
              <w:spacing w:after="0" w:line="276" w:lineRule="auto"/>
            </w:pPr>
            <w:r>
              <w:rPr>
                <w:rFonts w:ascii="Calibri" w:hAnsi="Calibri" w:eastAsia="Microsoft YaHei"/>
                <w:color w:val="0B2545"/>
                <w:sz w:val="13"/>
              </w:rPr>
              <w:t>N. Offeddu; C. Wüthrich; W. Han; C. Theiler; T. Golfinopoulos; J. L. Terry; E. Marmar; C. Galperti; Y. Andrebe; B. P. Duval; R. Bertizzolo; A. Clement; et al. (16 authors)</w:t>
            </w:r>
          </w:p>
        </w:tc>
        <w:tc>
          <w:tcPr>
            <w:tcW w:type="dxa" w:w="3200"/>
          </w:tcPr>
          <w:p>
            <w:pPr>
              <w:keepLines/>
              <w:spacing w:after="0" w:line="276" w:lineRule="auto"/>
            </w:pPr>
            <w:r>
              <w:rPr>
                <w:rFonts w:ascii="Calibri" w:hAnsi="Calibri" w:eastAsia="Microsoft YaHei"/>
                <w:color w:val="0B2545"/>
                <w:sz w:val="13"/>
              </w:rPr>
              <w:t>Gas puff imaging on the TCV tokamak</w:t>
            </w:r>
          </w:p>
        </w:tc>
        <w:tc>
          <w:tcPr>
            <w:tcW w:type="dxa" w:w="1700"/>
          </w:tcPr>
          <w:p>
            <w:pPr>
              <w:keepLines/>
              <w:spacing w:after="0" w:line="276" w:lineRule="auto"/>
            </w:pPr>
            <w:r>
              <w:rPr>
                <w:rFonts w:ascii="Calibri" w:hAnsi="Calibri" w:eastAsia="Microsoft YaHei"/>
                <w:color w:val="0B2545"/>
                <w:sz w:val="13"/>
              </w:rPr>
              <w:t>Review of Scientific Instruments</w:t>
            </w:r>
          </w:p>
        </w:tc>
        <w:tc>
          <w:tcPr>
            <w:tcW w:type="dxa" w:w="2260"/>
          </w:tcPr>
          <w:p>
            <w:pPr>
              <w:keepLines/>
              <w:spacing w:after="0" w:line="276" w:lineRule="auto"/>
            </w:pPr>
            <w:hyperlink r:id="rId111">
              <w:r>
                <w:rPr>
                  <w:rFonts w:ascii="Calibri" w:hAnsi="Calibri" w:eastAsia="Microsoft YaHei"/>
                  <w:color w:val="008C95"/>
                  <w:u w:val="single"/>
                </w:rPr>
                <w:t>打开原始来源 ↗</w:t>
              </w:r>
            </w:hyperlink>
          </w:p>
        </w:tc>
      </w:tr>
      <w:tr>
        <w:trPr>
          <w:cantSplit/>
        </w:trPr>
        <w:tc>
          <w:tcPr>
            <w:tcW w:type="dxa" w:w="600"/>
          </w:tcPr>
          <w:p>
            <w:pPr>
              <w:keepLines/>
              <w:spacing w:after="0" w:line="276" w:lineRule="auto"/>
            </w:pPr>
            <w:r>
              <w:rPr>
                <w:rFonts w:ascii="Calibri" w:hAnsi="Calibri" w:eastAsia="Microsoft YaHei"/>
                <w:color w:val="0B2545"/>
                <w:sz w:val="13"/>
              </w:rPr>
              <w:t>2022</w:t>
            </w:r>
          </w:p>
        </w:tc>
        <w:tc>
          <w:tcPr>
            <w:tcW w:type="dxa" w:w="1600"/>
          </w:tcPr>
          <w:p>
            <w:pPr>
              <w:keepLines/>
              <w:spacing w:after="0" w:line="276" w:lineRule="auto"/>
            </w:pPr>
            <w:r>
              <w:rPr>
                <w:rFonts w:ascii="Calibri" w:hAnsi="Calibri" w:eastAsia="Microsoft YaHei"/>
                <w:color w:val="0B2545"/>
                <w:sz w:val="13"/>
              </w:rPr>
              <w:t>S K Hansen; M Porkolab; J-P Bähner; Z Huang; A von Stechow; O Grulke; E M Edlund; F Wilms; A Bañón Navarro; F Jenko; E Sánchez</w:t>
            </w:r>
          </w:p>
        </w:tc>
        <w:tc>
          <w:tcPr>
            <w:tcW w:type="dxa" w:w="3200"/>
          </w:tcPr>
          <w:p>
            <w:pPr>
              <w:keepLines/>
              <w:spacing w:after="0" w:line="276" w:lineRule="auto"/>
            </w:pPr>
            <w:r>
              <w:rPr>
                <w:rFonts w:ascii="Calibri" w:hAnsi="Calibri" w:eastAsia="Microsoft YaHei"/>
                <w:color w:val="0B2545"/>
                <w:sz w:val="13"/>
              </w:rPr>
              <w:t>Development of a synthetic phase contrast imaging diagnostic for turbulence studies at Wendelstein 7-X</w:t>
            </w:r>
          </w:p>
        </w:tc>
        <w:tc>
          <w:tcPr>
            <w:tcW w:type="dxa" w:w="1700"/>
          </w:tcPr>
          <w:p>
            <w:pPr>
              <w:keepLines/>
              <w:spacing w:after="0" w:line="276" w:lineRule="auto"/>
            </w:pPr>
            <w:r>
              <w:rPr>
                <w:rFonts w:ascii="Calibri" w:hAnsi="Calibri" w:eastAsia="Microsoft YaHei"/>
                <w:color w:val="0B2545"/>
                <w:sz w:val="13"/>
              </w:rPr>
              <w:t>Plasma Physics and Controlled Fusion</w:t>
            </w:r>
          </w:p>
        </w:tc>
        <w:tc>
          <w:tcPr>
            <w:tcW w:type="dxa" w:w="2260"/>
          </w:tcPr>
          <w:p>
            <w:pPr>
              <w:keepLines/>
              <w:spacing w:after="0" w:line="276" w:lineRule="auto"/>
            </w:pPr>
            <w:hyperlink r:id="rId160">
              <w:r>
                <w:rPr>
                  <w:rFonts w:ascii="Calibri" w:hAnsi="Calibri" w:eastAsia="Microsoft YaHei"/>
                  <w:color w:val="008C95"/>
                  <w:u w:val="single"/>
                </w:rPr>
                <w:t>打开原始来源 ↗</w:t>
              </w:r>
            </w:hyperlink>
          </w:p>
        </w:tc>
      </w:tr>
      <w:tr>
        <w:trPr>
          <w:cantSplit/>
        </w:trPr>
        <w:tc>
          <w:tcPr>
            <w:tcW w:type="dxa" w:w="600"/>
          </w:tcPr>
          <w:p>
            <w:pPr>
              <w:keepLines/>
              <w:spacing w:after="0" w:line="276" w:lineRule="auto"/>
            </w:pPr>
            <w:r>
              <w:rPr>
                <w:rFonts w:ascii="Calibri" w:hAnsi="Calibri" w:eastAsia="Microsoft YaHei"/>
                <w:color w:val="0B2545"/>
                <w:sz w:val="13"/>
              </w:rPr>
              <w:t>2022</w:t>
            </w:r>
          </w:p>
        </w:tc>
        <w:tc>
          <w:tcPr>
            <w:tcW w:type="dxa" w:w="1600"/>
          </w:tcPr>
          <w:p>
            <w:pPr>
              <w:keepLines/>
              <w:spacing w:after="0" w:line="276" w:lineRule="auto"/>
            </w:pPr>
            <w:r>
              <w:rPr>
                <w:rFonts w:ascii="Calibri" w:hAnsi="Calibri" w:eastAsia="Microsoft YaHei"/>
                <w:color w:val="0B2545"/>
                <w:sz w:val="13"/>
              </w:rPr>
              <w:t>L.Y. Meng; J.C. Xu; J.B. Liu; L. Cao; P. Wang; A. Li; L. Yu; G.S. Xu; L. Wang</w:t>
            </w:r>
          </w:p>
        </w:tc>
        <w:tc>
          <w:tcPr>
            <w:tcW w:type="dxa" w:w="3200"/>
          </w:tcPr>
          <w:p>
            <w:pPr>
              <w:keepLines/>
              <w:spacing w:after="0" w:line="276" w:lineRule="auto"/>
            </w:pPr>
            <w:r>
              <w:rPr>
                <w:rFonts w:ascii="Calibri" w:hAnsi="Calibri" w:eastAsia="Microsoft YaHei"/>
                <w:color w:val="0B2545"/>
                <w:sz w:val="13"/>
              </w:rPr>
              <w:t>Development of Langmuir probe array for the new lower tungsten divertor in EAST</w:t>
            </w:r>
          </w:p>
        </w:tc>
        <w:tc>
          <w:tcPr>
            <w:tcW w:type="dxa" w:w="1700"/>
          </w:tcPr>
          <w:p>
            <w:pPr>
              <w:keepLines/>
              <w:spacing w:after="0" w:line="276" w:lineRule="auto"/>
            </w:pPr>
            <w:r>
              <w:rPr>
                <w:rFonts w:ascii="Calibri" w:hAnsi="Calibri" w:eastAsia="Microsoft YaHei"/>
                <w:color w:val="0B2545"/>
                <w:sz w:val="13"/>
              </w:rPr>
              <w:t>Fusion Engineering and Design</w:t>
            </w:r>
          </w:p>
        </w:tc>
        <w:tc>
          <w:tcPr>
            <w:tcW w:type="dxa" w:w="2260"/>
          </w:tcPr>
          <w:p>
            <w:pPr>
              <w:keepLines/>
              <w:spacing w:after="0" w:line="276" w:lineRule="auto"/>
            </w:pPr>
            <w:hyperlink r:id="rId113">
              <w:r>
                <w:rPr>
                  <w:rFonts w:ascii="Calibri" w:hAnsi="Calibri" w:eastAsia="Microsoft YaHei"/>
                  <w:color w:val="008C95"/>
                  <w:u w:val="single"/>
                </w:rPr>
                <w:t>打开原始来源 ↗</w:t>
              </w:r>
            </w:hyperlink>
          </w:p>
        </w:tc>
      </w:tr>
      <w:tr>
        <w:trPr>
          <w:cantSplit/>
        </w:trPr>
        <w:tc>
          <w:tcPr>
            <w:tcW w:type="dxa" w:w="600"/>
          </w:tcPr>
          <w:p>
            <w:pPr>
              <w:keepLines/>
              <w:spacing w:after="0" w:line="276" w:lineRule="auto"/>
            </w:pPr>
            <w:r>
              <w:rPr>
                <w:rFonts w:ascii="Calibri" w:hAnsi="Calibri" w:eastAsia="Microsoft YaHei"/>
                <w:color w:val="0B2545"/>
                <w:sz w:val="13"/>
              </w:rPr>
              <w:t>2022</w:t>
            </w:r>
          </w:p>
        </w:tc>
        <w:tc>
          <w:tcPr>
            <w:tcW w:type="dxa" w:w="1600"/>
          </w:tcPr>
          <w:p>
            <w:pPr>
              <w:keepLines/>
              <w:spacing w:after="0" w:line="276" w:lineRule="auto"/>
            </w:pPr>
            <w:r>
              <w:rPr>
                <w:rFonts w:ascii="Calibri" w:hAnsi="Calibri" w:eastAsia="Microsoft YaHei"/>
                <w:color w:val="0B2545"/>
                <w:sz w:val="13"/>
              </w:rPr>
              <w:t>T. Ido; M. Hasegawa; R. Ikezoe; T. Onchi; K. Hanada; H. Idei; K. Kuroda; Y. Nagashima</w:t>
            </w:r>
          </w:p>
        </w:tc>
        <w:tc>
          <w:tcPr>
            <w:tcW w:type="dxa" w:w="3200"/>
          </w:tcPr>
          <w:p>
            <w:pPr>
              <w:keepLines/>
              <w:spacing w:after="0" w:line="276" w:lineRule="auto"/>
            </w:pPr>
            <w:r>
              <w:rPr>
                <w:rFonts w:ascii="Calibri" w:hAnsi="Calibri" w:eastAsia="Microsoft YaHei"/>
                <w:color w:val="0B2545"/>
                <w:sz w:val="13"/>
              </w:rPr>
              <w:t>Conceptual design of a heavy ion beam probe for the QUEST spherical tokamak</w:t>
            </w:r>
          </w:p>
        </w:tc>
        <w:tc>
          <w:tcPr>
            <w:tcW w:type="dxa" w:w="1700"/>
          </w:tcPr>
          <w:p>
            <w:pPr>
              <w:keepLines/>
              <w:spacing w:after="0" w:line="276" w:lineRule="auto"/>
            </w:pPr>
            <w:r>
              <w:rPr>
                <w:rFonts w:ascii="Calibri" w:hAnsi="Calibri" w:eastAsia="Microsoft YaHei"/>
                <w:color w:val="0B2545"/>
                <w:sz w:val="13"/>
              </w:rPr>
              <w:t>Review of Scientific Instruments</w:t>
            </w:r>
          </w:p>
        </w:tc>
        <w:tc>
          <w:tcPr>
            <w:tcW w:type="dxa" w:w="2260"/>
          </w:tcPr>
          <w:p>
            <w:pPr>
              <w:keepLines/>
              <w:spacing w:after="0" w:line="276" w:lineRule="auto"/>
            </w:pPr>
            <w:hyperlink r:id="rId109">
              <w:r>
                <w:rPr>
                  <w:rFonts w:ascii="Calibri" w:hAnsi="Calibri" w:eastAsia="Microsoft YaHei"/>
                  <w:color w:val="008C95"/>
                  <w:u w:val="single"/>
                </w:rPr>
                <w:t>打开原始来源 ↗</w:t>
              </w:r>
            </w:hyperlink>
          </w:p>
        </w:tc>
      </w:tr>
      <w:tr>
        <w:trPr>
          <w:cantSplit/>
        </w:trPr>
        <w:tc>
          <w:tcPr>
            <w:tcW w:type="dxa" w:w="600"/>
          </w:tcPr>
          <w:p>
            <w:pPr>
              <w:keepLines/>
              <w:spacing w:after="0" w:line="276" w:lineRule="auto"/>
            </w:pPr>
            <w:r>
              <w:rPr>
                <w:rFonts w:ascii="Calibri" w:hAnsi="Calibri" w:eastAsia="Microsoft YaHei"/>
                <w:color w:val="0B2545"/>
                <w:sz w:val="13"/>
              </w:rPr>
              <w:t>2021</w:t>
            </w:r>
          </w:p>
        </w:tc>
        <w:tc>
          <w:tcPr>
            <w:tcW w:type="dxa" w:w="1600"/>
          </w:tcPr>
          <w:p>
            <w:pPr>
              <w:keepLines/>
              <w:spacing w:after="0" w:line="276" w:lineRule="auto"/>
            </w:pPr>
            <w:r>
              <w:rPr>
                <w:rFonts w:ascii="Calibri" w:hAnsi="Calibri" w:eastAsia="Microsoft YaHei"/>
                <w:color w:val="0B2545"/>
                <w:sz w:val="13"/>
              </w:rPr>
              <w:t>未完整列出</w:t>
            </w:r>
          </w:p>
        </w:tc>
        <w:tc>
          <w:tcPr>
            <w:tcW w:type="dxa" w:w="3200"/>
          </w:tcPr>
          <w:p>
            <w:pPr>
              <w:keepLines/>
              <w:spacing w:after="0" w:line="276" w:lineRule="auto"/>
            </w:pPr>
            <w:r>
              <w:rPr>
                <w:rFonts w:ascii="Calibri" w:hAnsi="Calibri" w:eastAsia="Microsoft YaHei"/>
                <w:color w:val="0B2545"/>
                <w:sz w:val="13"/>
              </w:rPr>
              <w:t>WEST operation with real time feed back control based on wall component temperature toward machine protection in a steady state tungsten environment</w:t>
            </w:r>
          </w:p>
        </w:tc>
        <w:tc>
          <w:tcPr>
            <w:tcW w:type="dxa" w:w="1700"/>
          </w:tcPr>
          <w:p>
            <w:pPr>
              <w:keepLines/>
              <w:spacing w:after="0" w:line="276" w:lineRule="auto"/>
            </w:pPr>
            <w:r>
              <w:rPr>
                <w:rFonts w:ascii="Calibri" w:hAnsi="Calibri" w:eastAsia="Microsoft YaHei"/>
                <w:color w:val="0B2545"/>
                <w:sz w:val="13"/>
              </w:rPr>
              <w:t>原始论文 / 官方来源</w:t>
            </w:r>
          </w:p>
        </w:tc>
        <w:tc>
          <w:tcPr>
            <w:tcW w:type="dxa" w:w="2260"/>
          </w:tcPr>
          <w:p>
            <w:pPr>
              <w:keepLines/>
              <w:spacing w:after="0" w:line="276" w:lineRule="auto"/>
            </w:pPr>
            <w:hyperlink r:id="rId135">
              <w:r>
                <w:rPr>
                  <w:rFonts w:ascii="Calibri" w:hAnsi="Calibri" w:eastAsia="Microsoft YaHei"/>
                  <w:color w:val="008C95"/>
                  <w:u w:val="single"/>
                </w:rPr>
                <w:t>打开原始来源 ↗</w:t>
              </w:r>
            </w:hyperlink>
          </w:p>
        </w:tc>
      </w:tr>
      <w:tr>
        <w:trPr>
          <w:cantSplit/>
        </w:trPr>
        <w:tc>
          <w:tcPr>
            <w:tcW w:type="dxa" w:w="600"/>
          </w:tcPr>
          <w:p>
            <w:pPr>
              <w:keepLines/>
              <w:spacing w:after="0" w:line="276" w:lineRule="auto"/>
            </w:pPr>
            <w:r>
              <w:rPr>
                <w:rFonts w:ascii="Calibri" w:hAnsi="Calibri" w:eastAsia="Microsoft YaHei"/>
                <w:color w:val="0B2545"/>
                <w:sz w:val="13"/>
              </w:rPr>
              <w:t>2021</w:t>
            </w:r>
          </w:p>
        </w:tc>
        <w:tc>
          <w:tcPr>
            <w:tcW w:type="dxa" w:w="1600"/>
          </w:tcPr>
          <w:p>
            <w:pPr>
              <w:keepLines/>
              <w:spacing w:after="0" w:line="276" w:lineRule="auto"/>
            </w:pPr>
            <w:r>
              <w:rPr>
                <w:rFonts w:ascii="Calibri" w:hAnsi="Calibri" w:eastAsia="Microsoft YaHei"/>
                <w:color w:val="0B2545"/>
                <w:sz w:val="13"/>
              </w:rPr>
              <w:t>A Sperduti; I Klimek; S Conroy; M Cecconello; M Gorelenkova; A Snicker</w:t>
            </w:r>
          </w:p>
        </w:tc>
        <w:tc>
          <w:tcPr>
            <w:tcW w:type="dxa" w:w="3200"/>
          </w:tcPr>
          <w:p>
            <w:pPr>
              <w:keepLines/>
              <w:spacing w:after="0" w:line="276" w:lineRule="auto"/>
            </w:pPr>
            <w:r>
              <w:rPr>
                <w:rFonts w:ascii="Calibri" w:hAnsi="Calibri" w:eastAsia="Microsoft YaHei"/>
                <w:color w:val="0B2545"/>
                <w:sz w:val="13"/>
              </w:rPr>
              <w:t>Validation of neutron emission and neutron energy spectrum calculations on a Mega Ampere Spherical Tokamak with directional relativistic spectrum simulator</w:t>
            </w:r>
          </w:p>
        </w:tc>
        <w:tc>
          <w:tcPr>
            <w:tcW w:type="dxa" w:w="1700"/>
          </w:tcPr>
          <w:p>
            <w:pPr>
              <w:keepLines/>
              <w:spacing w:after="0" w:line="276" w:lineRule="auto"/>
            </w:pPr>
            <w:r>
              <w:rPr>
                <w:rFonts w:ascii="Calibri" w:hAnsi="Calibri" w:eastAsia="Microsoft YaHei"/>
                <w:color w:val="0B2545"/>
                <w:sz w:val="13"/>
              </w:rPr>
              <w:t>Plasma Physics and Controlled Fusion</w:t>
            </w:r>
          </w:p>
        </w:tc>
        <w:tc>
          <w:tcPr>
            <w:tcW w:type="dxa" w:w="2260"/>
          </w:tcPr>
          <w:p>
            <w:pPr>
              <w:keepLines/>
              <w:spacing w:after="0" w:line="276" w:lineRule="auto"/>
            </w:pPr>
            <w:hyperlink r:id="rId184">
              <w:r>
                <w:rPr>
                  <w:rFonts w:ascii="Calibri" w:hAnsi="Calibri" w:eastAsia="Microsoft YaHei"/>
                  <w:color w:val="008C95"/>
                  <w:u w:val="single"/>
                </w:rPr>
                <w:t>打开原始来源 ↗</w:t>
              </w:r>
            </w:hyperlink>
          </w:p>
        </w:tc>
      </w:tr>
      <w:tr>
        <w:trPr>
          <w:cantSplit/>
        </w:trPr>
        <w:tc>
          <w:tcPr>
            <w:tcW w:type="dxa" w:w="600"/>
          </w:tcPr>
          <w:p>
            <w:pPr>
              <w:keepLines/>
              <w:spacing w:after="0" w:line="276" w:lineRule="auto"/>
            </w:pPr>
            <w:r>
              <w:rPr>
                <w:rFonts w:ascii="Calibri" w:hAnsi="Calibri" w:eastAsia="Microsoft YaHei"/>
                <w:color w:val="0B2545"/>
                <w:sz w:val="13"/>
              </w:rPr>
              <w:t>2021</w:t>
            </w:r>
          </w:p>
        </w:tc>
        <w:tc>
          <w:tcPr>
            <w:tcW w:type="dxa" w:w="1600"/>
          </w:tcPr>
          <w:p>
            <w:pPr>
              <w:keepLines/>
              <w:spacing w:after="0" w:line="276" w:lineRule="auto"/>
            </w:pPr>
            <w:r>
              <w:rPr>
                <w:rFonts w:ascii="Calibri" w:hAnsi="Calibri" w:eastAsia="Microsoft YaHei"/>
                <w:color w:val="0B2545"/>
                <w:sz w:val="13"/>
              </w:rPr>
              <w:t>J. Svoboda; J. Cavalier; O. Ficker; M. Imríšek; J. Mlynář; M. Hron</w:t>
            </w:r>
          </w:p>
        </w:tc>
        <w:tc>
          <w:tcPr>
            <w:tcW w:type="dxa" w:w="3200"/>
          </w:tcPr>
          <w:p>
            <w:pPr>
              <w:keepLines/>
              <w:spacing w:after="0" w:line="276" w:lineRule="auto"/>
            </w:pPr>
            <w:r>
              <w:rPr>
                <w:rFonts w:ascii="Calibri" w:hAnsi="Calibri" w:eastAsia="Microsoft YaHei"/>
                <w:color w:val="0B2545"/>
                <w:sz w:val="13"/>
              </w:rPr>
              <w:t>Tomotok: python package for tomography of tokamak plasma radiation</w:t>
            </w:r>
          </w:p>
        </w:tc>
        <w:tc>
          <w:tcPr>
            <w:tcW w:type="dxa" w:w="1700"/>
          </w:tcPr>
          <w:p>
            <w:pPr>
              <w:keepLines/>
              <w:spacing w:after="0" w:line="276" w:lineRule="auto"/>
            </w:pPr>
            <w:r>
              <w:rPr>
                <w:rFonts w:ascii="Calibri" w:hAnsi="Calibri" w:eastAsia="Microsoft YaHei"/>
                <w:color w:val="0B2545"/>
                <w:sz w:val="13"/>
              </w:rPr>
              <w:t>Journal of Instrumentation</w:t>
            </w:r>
          </w:p>
        </w:tc>
        <w:tc>
          <w:tcPr>
            <w:tcW w:type="dxa" w:w="2260"/>
          </w:tcPr>
          <w:p>
            <w:pPr>
              <w:keepLines/>
              <w:spacing w:after="0" w:line="276" w:lineRule="auto"/>
            </w:pPr>
            <w:hyperlink r:id="rId200">
              <w:r>
                <w:rPr>
                  <w:rFonts w:ascii="Calibri" w:hAnsi="Calibri" w:eastAsia="Microsoft YaHei"/>
                  <w:color w:val="008C95"/>
                  <w:u w:val="single"/>
                </w:rPr>
                <w:t>打开原始来源 ↗</w:t>
              </w:r>
            </w:hyperlink>
          </w:p>
        </w:tc>
      </w:tr>
      <w:tr>
        <w:trPr>
          <w:cantSplit/>
        </w:trPr>
        <w:tc>
          <w:tcPr>
            <w:tcW w:type="dxa" w:w="600"/>
          </w:tcPr>
          <w:p>
            <w:pPr>
              <w:keepLines/>
              <w:spacing w:after="0" w:line="276" w:lineRule="auto"/>
            </w:pPr>
            <w:r>
              <w:rPr>
                <w:rFonts w:ascii="Calibri" w:hAnsi="Calibri" w:eastAsia="Microsoft YaHei"/>
                <w:color w:val="0B2545"/>
                <w:sz w:val="13"/>
              </w:rPr>
              <w:t>2021</w:t>
            </w:r>
          </w:p>
        </w:tc>
        <w:tc>
          <w:tcPr>
            <w:tcW w:type="dxa" w:w="1600"/>
          </w:tcPr>
          <w:p>
            <w:pPr>
              <w:keepLines/>
              <w:spacing w:after="0" w:line="276" w:lineRule="auto"/>
            </w:pPr>
            <w:r>
              <w:rPr>
                <w:rFonts w:ascii="Calibri" w:hAnsi="Calibri" w:eastAsia="Microsoft YaHei"/>
                <w:color w:val="0B2545"/>
                <w:sz w:val="13"/>
              </w:rPr>
              <w:t>M. Tomes; M. Carr; A. Meakins; M. Sos; P. Bohm; P. Bilkova; M. Imrisek; F. Jaulmes; I. Borodkina; J. Hecko; M. Hron; R. Panek</w:t>
            </w:r>
          </w:p>
        </w:tc>
        <w:tc>
          <w:tcPr>
            <w:tcW w:type="dxa" w:w="3200"/>
          </w:tcPr>
          <w:p>
            <w:pPr>
              <w:keepLines/>
              <w:spacing w:after="0" w:line="276" w:lineRule="auto"/>
            </w:pPr>
            <w:r>
              <w:rPr>
                <w:rFonts w:ascii="Calibri" w:hAnsi="Calibri" w:eastAsia="Microsoft YaHei"/>
                <w:color w:val="0B2545"/>
                <w:sz w:val="13"/>
              </w:rPr>
              <w:t>Thomson scattering synthetic diagnostic module for the Cherab framework</w:t>
            </w:r>
          </w:p>
        </w:tc>
        <w:tc>
          <w:tcPr>
            <w:tcW w:type="dxa" w:w="1700"/>
          </w:tcPr>
          <w:p>
            <w:pPr>
              <w:keepLines/>
              <w:spacing w:after="0" w:line="276" w:lineRule="auto"/>
            </w:pPr>
            <w:r>
              <w:rPr>
                <w:rFonts w:ascii="Calibri" w:hAnsi="Calibri" w:eastAsia="Microsoft YaHei"/>
                <w:color w:val="0B2545"/>
                <w:sz w:val="13"/>
              </w:rPr>
              <w:t>Review of Scientific Instruments</w:t>
            </w:r>
          </w:p>
        </w:tc>
        <w:tc>
          <w:tcPr>
            <w:tcW w:type="dxa" w:w="2260"/>
          </w:tcPr>
          <w:p>
            <w:pPr>
              <w:keepLines/>
              <w:spacing w:after="0" w:line="276" w:lineRule="auto"/>
            </w:pPr>
            <w:hyperlink r:id="rId166">
              <w:r>
                <w:rPr>
                  <w:rFonts w:ascii="Calibri" w:hAnsi="Calibri" w:eastAsia="Microsoft YaHei"/>
                  <w:color w:val="008C95"/>
                  <w:u w:val="single"/>
                </w:rPr>
                <w:t>打开原始来源 ↗</w:t>
              </w:r>
            </w:hyperlink>
          </w:p>
        </w:tc>
      </w:tr>
      <w:tr>
        <w:trPr>
          <w:cantSplit/>
        </w:trPr>
        <w:tc>
          <w:tcPr>
            <w:tcW w:type="dxa" w:w="600"/>
          </w:tcPr>
          <w:p>
            <w:pPr>
              <w:keepLines/>
              <w:spacing w:after="0" w:line="276" w:lineRule="auto"/>
            </w:pPr>
            <w:r>
              <w:rPr>
                <w:rFonts w:ascii="Calibri" w:hAnsi="Calibri" w:eastAsia="Microsoft YaHei"/>
                <w:color w:val="0B2545"/>
                <w:sz w:val="13"/>
              </w:rPr>
              <w:t>2021</w:t>
            </w:r>
          </w:p>
        </w:tc>
        <w:tc>
          <w:tcPr>
            <w:tcW w:type="dxa" w:w="1600"/>
          </w:tcPr>
          <w:p>
            <w:pPr>
              <w:keepLines/>
              <w:spacing w:after="0" w:line="276" w:lineRule="auto"/>
            </w:pPr>
            <w:r>
              <w:rPr>
                <w:rFonts w:ascii="Calibri" w:hAnsi="Calibri" w:eastAsia="Microsoft YaHei"/>
                <w:color w:val="0B2545"/>
                <w:sz w:val="13"/>
              </w:rPr>
              <w:t>C. Marini; C. S. Collins; M. A. Van Zeeland; K. E. Thome; W. W. Heidbrink; D. Lin</w:t>
            </w:r>
          </w:p>
        </w:tc>
        <w:tc>
          <w:tcPr>
            <w:tcW w:type="dxa" w:w="3200"/>
          </w:tcPr>
          <w:p>
            <w:pPr>
              <w:keepLines/>
              <w:spacing w:after="0" w:line="276" w:lineRule="auto"/>
            </w:pPr>
            <w:r>
              <w:rPr>
                <w:rFonts w:ascii="Calibri" w:hAnsi="Calibri" w:eastAsia="Microsoft YaHei"/>
                <w:color w:val="0B2545"/>
                <w:sz w:val="13"/>
              </w:rPr>
              <w:t>The imaging fast ion D-alpha diagnostic (IFIDA) on DIII-D</w:t>
            </w:r>
          </w:p>
        </w:tc>
        <w:tc>
          <w:tcPr>
            <w:tcW w:type="dxa" w:w="1700"/>
          </w:tcPr>
          <w:p>
            <w:pPr>
              <w:keepLines/>
              <w:spacing w:after="0" w:line="276" w:lineRule="auto"/>
            </w:pPr>
            <w:r>
              <w:rPr>
                <w:rFonts w:ascii="Calibri" w:hAnsi="Calibri" w:eastAsia="Microsoft YaHei"/>
                <w:color w:val="0B2545"/>
                <w:sz w:val="13"/>
              </w:rPr>
              <w:t>Review of Scientific Instruments</w:t>
            </w:r>
          </w:p>
        </w:tc>
        <w:tc>
          <w:tcPr>
            <w:tcW w:type="dxa" w:w="2260"/>
          </w:tcPr>
          <w:p>
            <w:pPr>
              <w:keepLines/>
              <w:spacing w:after="0" w:line="276" w:lineRule="auto"/>
            </w:pPr>
            <w:hyperlink r:id="rId96">
              <w:r>
                <w:rPr>
                  <w:rFonts w:ascii="Calibri" w:hAnsi="Calibri" w:eastAsia="Microsoft YaHei"/>
                  <w:color w:val="008C95"/>
                  <w:u w:val="single"/>
                </w:rPr>
                <w:t>打开原始来源 ↗</w:t>
              </w:r>
            </w:hyperlink>
          </w:p>
        </w:tc>
      </w:tr>
      <w:tr>
        <w:trPr>
          <w:cantSplit/>
        </w:trPr>
        <w:tc>
          <w:tcPr>
            <w:tcW w:type="dxa" w:w="600"/>
          </w:tcPr>
          <w:p>
            <w:pPr>
              <w:keepLines/>
              <w:spacing w:after="0" w:line="276" w:lineRule="auto"/>
            </w:pPr>
            <w:r>
              <w:rPr>
                <w:rFonts w:ascii="Calibri" w:hAnsi="Calibri" w:eastAsia="Microsoft YaHei"/>
                <w:color w:val="0B2545"/>
                <w:sz w:val="13"/>
              </w:rPr>
              <w:t>2021</w:t>
            </w:r>
          </w:p>
        </w:tc>
        <w:tc>
          <w:tcPr>
            <w:tcW w:type="dxa" w:w="1600"/>
          </w:tcPr>
          <w:p>
            <w:pPr>
              <w:keepLines/>
              <w:spacing w:after="0" w:line="276" w:lineRule="auto"/>
            </w:pPr>
            <w:r>
              <w:rPr>
                <w:rFonts w:ascii="Calibri" w:hAnsi="Calibri" w:eastAsia="Microsoft YaHei"/>
                <w:color w:val="0B2545"/>
                <w:sz w:val="13"/>
              </w:rPr>
              <w:t>J. Gonzalez-Martin; M. Garcia-Munoz; B. Sieglin; A. Herrmann; T. Lunt; J. Ayllon-Guerola; J. Galdon-Quiroga; J. Hidalgo-Salaverri; A. Kovacsik; J. F. Rivero-Rodriguez; L. Sanchis; D. Silvagni; et al. (14 authors)</w:t>
            </w:r>
          </w:p>
        </w:tc>
        <w:tc>
          <w:tcPr>
            <w:tcW w:type="dxa" w:w="3200"/>
          </w:tcPr>
          <w:p>
            <w:pPr>
              <w:keepLines/>
              <w:spacing w:after="0" w:line="276" w:lineRule="auto"/>
            </w:pPr>
            <w:r>
              <w:rPr>
                <w:rFonts w:ascii="Calibri" w:hAnsi="Calibri" w:eastAsia="Microsoft YaHei"/>
                <w:color w:val="0B2545"/>
                <w:sz w:val="13"/>
              </w:rPr>
              <w:t>Self-adaptive diagnostic of radial fast-ion loss measurements on the ASDEX Upgrade tokamak (invited)</w:t>
            </w:r>
          </w:p>
        </w:tc>
        <w:tc>
          <w:tcPr>
            <w:tcW w:type="dxa" w:w="1700"/>
          </w:tcPr>
          <w:p>
            <w:pPr>
              <w:keepLines/>
              <w:spacing w:after="0" w:line="276" w:lineRule="auto"/>
            </w:pPr>
            <w:r>
              <w:rPr>
                <w:rFonts w:ascii="Calibri" w:hAnsi="Calibri" w:eastAsia="Microsoft YaHei"/>
                <w:color w:val="0B2545"/>
                <w:sz w:val="13"/>
              </w:rPr>
              <w:t>Review of Scientific Instruments</w:t>
            </w:r>
          </w:p>
        </w:tc>
        <w:tc>
          <w:tcPr>
            <w:tcW w:type="dxa" w:w="2260"/>
          </w:tcPr>
          <w:p>
            <w:pPr>
              <w:keepLines/>
              <w:spacing w:after="0" w:line="276" w:lineRule="auto"/>
            </w:pPr>
            <w:hyperlink r:id="rId101">
              <w:r>
                <w:rPr>
                  <w:rFonts w:ascii="Calibri" w:hAnsi="Calibri" w:eastAsia="Microsoft YaHei"/>
                  <w:color w:val="008C95"/>
                  <w:u w:val="single"/>
                </w:rPr>
                <w:t>打开原始来源 ↗</w:t>
              </w:r>
            </w:hyperlink>
          </w:p>
        </w:tc>
      </w:tr>
      <w:tr>
        <w:trPr>
          <w:cantSplit/>
        </w:trPr>
        <w:tc>
          <w:tcPr>
            <w:tcW w:type="dxa" w:w="600"/>
          </w:tcPr>
          <w:p>
            <w:pPr>
              <w:keepLines/>
              <w:spacing w:after="0" w:line="276" w:lineRule="auto"/>
            </w:pPr>
            <w:r>
              <w:rPr>
                <w:rFonts w:ascii="Calibri" w:hAnsi="Calibri" w:eastAsia="Microsoft YaHei"/>
                <w:color w:val="0B2545"/>
                <w:sz w:val="13"/>
              </w:rPr>
              <w:t>2021</w:t>
            </w:r>
          </w:p>
        </w:tc>
        <w:tc>
          <w:tcPr>
            <w:tcW w:type="dxa" w:w="1600"/>
          </w:tcPr>
          <w:p>
            <w:pPr>
              <w:keepLines/>
              <w:spacing w:after="0" w:line="276" w:lineRule="auto"/>
            </w:pPr>
            <w:r>
              <w:rPr>
                <w:rFonts w:ascii="Calibri" w:hAnsi="Calibri" w:eastAsia="Microsoft YaHei"/>
                <w:color w:val="0B2545"/>
                <w:sz w:val="13"/>
              </w:rPr>
              <w:t>S. R. Haskey; L. Stagner; B. A. Grierson; C. Chrystal; G. H. DeGrandchamp; W. W. Heidbrink; M. A. Van Zeeland; S. Vincena</w:t>
            </w:r>
          </w:p>
        </w:tc>
        <w:tc>
          <w:tcPr>
            <w:tcW w:type="dxa" w:w="3200"/>
          </w:tcPr>
          <w:p>
            <w:pPr>
              <w:keepLines/>
              <w:spacing w:after="0" w:line="276" w:lineRule="auto"/>
            </w:pPr>
            <w:r>
              <w:rPr>
                <w:rFonts w:ascii="Calibri" w:hAnsi="Calibri" w:eastAsia="Microsoft YaHei"/>
                <w:color w:val="0B2545"/>
                <w:sz w:val="13"/>
              </w:rPr>
              <w:t>Radially resolved active charge exchange measurements of the hydrogenic isotope fraction on DIII-D</w:t>
            </w:r>
          </w:p>
        </w:tc>
        <w:tc>
          <w:tcPr>
            <w:tcW w:type="dxa" w:w="1700"/>
          </w:tcPr>
          <w:p>
            <w:pPr>
              <w:keepLines/>
              <w:spacing w:after="0" w:line="276" w:lineRule="auto"/>
            </w:pPr>
            <w:r>
              <w:rPr>
                <w:rFonts w:ascii="Calibri" w:hAnsi="Calibri" w:eastAsia="Microsoft YaHei"/>
                <w:color w:val="0B2545"/>
                <w:sz w:val="13"/>
              </w:rPr>
              <w:t>Review of Scientific Instruments</w:t>
            </w:r>
          </w:p>
        </w:tc>
        <w:tc>
          <w:tcPr>
            <w:tcW w:type="dxa" w:w="2260"/>
          </w:tcPr>
          <w:p>
            <w:pPr>
              <w:keepLines/>
              <w:spacing w:after="0" w:line="276" w:lineRule="auto"/>
            </w:pPr>
            <w:hyperlink r:id="rId67">
              <w:r>
                <w:rPr>
                  <w:rFonts w:ascii="Calibri" w:hAnsi="Calibri" w:eastAsia="Microsoft YaHei"/>
                  <w:color w:val="008C95"/>
                  <w:u w:val="single"/>
                </w:rPr>
                <w:t>打开原始来源 ↗</w:t>
              </w:r>
            </w:hyperlink>
          </w:p>
        </w:tc>
      </w:tr>
      <w:tr>
        <w:trPr>
          <w:cantSplit/>
        </w:trPr>
        <w:tc>
          <w:tcPr>
            <w:tcW w:type="dxa" w:w="600"/>
          </w:tcPr>
          <w:p>
            <w:pPr>
              <w:keepLines/>
              <w:spacing w:after="0" w:line="276" w:lineRule="auto"/>
            </w:pPr>
            <w:r>
              <w:rPr>
                <w:rFonts w:ascii="Calibri" w:hAnsi="Calibri" w:eastAsia="Microsoft YaHei"/>
                <w:color w:val="0B2545"/>
                <w:sz w:val="13"/>
              </w:rPr>
              <w:t>2021</w:t>
            </w:r>
          </w:p>
        </w:tc>
        <w:tc>
          <w:tcPr>
            <w:tcW w:type="dxa" w:w="1600"/>
          </w:tcPr>
          <w:p>
            <w:pPr>
              <w:keepLines/>
              <w:spacing w:after="0" w:line="276" w:lineRule="auto"/>
            </w:pPr>
            <w:r>
              <w:rPr>
                <w:rFonts w:ascii="Calibri" w:hAnsi="Calibri" w:eastAsia="Microsoft YaHei"/>
                <w:color w:val="0B2545"/>
                <w:sz w:val="13"/>
              </w:rPr>
              <w:t>F. Sciortino; N. M. Cao; N. T. Howard; E. S. Marmar; J. E. Rice</w:t>
            </w:r>
          </w:p>
        </w:tc>
        <w:tc>
          <w:tcPr>
            <w:tcW w:type="dxa" w:w="3200"/>
          </w:tcPr>
          <w:p>
            <w:pPr>
              <w:keepLines/>
              <w:spacing w:after="0" w:line="276" w:lineRule="auto"/>
            </w:pPr>
            <w:r>
              <w:rPr>
                <w:rFonts w:ascii="Calibri" w:hAnsi="Calibri" w:eastAsia="Microsoft YaHei"/>
                <w:color w:val="0B2545"/>
                <w:sz w:val="13"/>
              </w:rPr>
              <w:t>Particle transport constraints via Bayesian spectral fitting of multiple atomic lines</w:t>
            </w:r>
          </w:p>
        </w:tc>
        <w:tc>
          <w:tcPr>
            <w:tcW w:type="dxa" w:w="1700"/>
          </w:tcPr>
          <w:p>
            <w:pPr>
              <w:keepLines/>
              <w:spacing w:after="0" w:line="276" w:lineRule="auto"/>
            </w:pPr>
            <w:r>
              <w:rPr>
                <w:rFonts w:ascii="Calibri" w:hAnsi="Calibri" w:eastAsia="Microsoft YaHei"/>
                <w:color w:val="0B2545"/>
                <w:sz w:val="13"/>
              </w:rPr>
              <w:t>Review of Scientific Instruments</w:t>
            </w:r>
          </w:p>
        </w:tc>
        <w:tc>
          <w:tcPr>
            <w:tcW w:type="dxa" w:w="2260"/>
          </w:tcPr>
          <w:p>
            <w:pPr>
              <w:keepLines/>
              <w:spacing w:after="0" w:line="276" w:lineRule="auto"/>
            </w:pPr>
            <w:hyperlink r:id="rId204">
              <w:r>
                <w:rPr>
                  <w:rFonts w:ascii="Calibri" w:hAnsi="Calibri" w:eastAsia="Microsoft YaHei"/>
                  <w:color w:val="008C95"/>
                  <w:u w:val="single"/>
                </w:rPr>
                <w:t>打开原始来源 ↗</w:t>
              </w:r>
            </w:hyperlink>
          </w:p>
        </w:tc>
      </w:tr>
      <w:tr>
        <w:trPr>
          <w:cantSplit/>
        </w:trPr>
        <w:tc>
          <w:tcPr>
            <w:tcW w:type="dxa" w:w="600"/>
          </w:tcPr>
          <w:p>
            <w:pPr>
              <w:keepLines/>
              <w:spacing w:after="0" w:line="276" w:lineRule="auto"/>
            </w:pPr>
            <w:r>
              <w:rPr>
                <w:rFonts w:ascii="Calibri" w:hAnsi="Calibri" w:eastAsia="Microsoft YaHei"/>
                <w:color w:val="0B2545"/>
                <w:sz w:val="13"/>
              </w:rPr>
              <w:t>2021</w:t>
            </w:r>
          </w:p>
        </w:tc>
        <w:tc>
          <w:tcPr>
            <w:tcW w:type="dxa" w:w="1600"/>
          </w:tcPr>
          <w:p>
            <w:pPr>
              <w:keepLines/>
              <w:spacing w:after="0" w:line="276" w:lineRule="auto"/>
            </w:pPr>
            <w:r>
              <w:rPr>
                <w:rFonts w:ascii="Calibri" w:hAnsi="Calibri" w:eastAsia="Microsoft YaHei"/>
                <w:color w:val="0B2545"/>
                <w:sz w:val="13"/>
              </w:rPr>
              <w:t>E. Ricardo; F. da Silva; S. Heuraux; A. Silva</w:t>
            </w:r>
          </w:p>
        </w:tc>
        <w:tc>
          <w:tcPr>
            <w:tcW w:type="dxa" w:w="3200"/>
          </w:tcPr>
          <w:p>
            <w:pPr>
              <w:keepLines/>
              <w:spacing w:after="0" w:line="276" w:lineRule="auto"/>
            </w:pPr>
            <w:r>
              <w:rPr>
                <w:rFonts w:ascii="Calibri" w:hAnsi="Calibri" w:eastAsia="Microsoft YaHei"/>
                <w:color w:val="0B2545"/>
                <w:sz w:val="13"/>
              </w:rPr>
              <w:t>On the edge turbulence effects on the density profile reconstruction using O-mode reflectometers</w:t>
            </w:r>
          </w:p>
        </w:tc>
        <w:tc>
          <w:tcPr>
            <w:tcW w:type="dxa" w:w="1700"/>
          </w:tcPr>
          <w:p>
            <w:pPr>
              <w:keepLines/>
              <w:spacing w:after="0" w:line="276" w:lineRule="auto"/>
            </w:pPr>
            <w:r>
              <w:rPr>
                <w:rFonts w:ascii="Calibri" w:hAnsi="Calibri" w:eastAsia="Microsoft YaHei"/>
                <w:color w:val="0B2545"/>
                <w:sz w:val="13"/>
              </w:rPr>
              <w:t>Fusion Engineering and Design</w:t>
            </w:r>
          </w:p>
        </w:tc>
        <w:tc>
          <w:tcPr>
            <w:tcW w:type="dxa" w:w="2260"/>
          </w:tcPr>
          <w:p>
            <w:pPr>
              <w:keepLines/>
              <w:spacing w:after="0" w:line="276" w:lineRule="auto"/>
            </w:pPr>
            <w:hyperlink r:id="rId178">
              <w:r>
                <w:rPr>
                  <w:rFonts w:ascii="Calibri" w:hAnsi="Calibri" w:eastAsia="Microsoft YaHei"/>
                  <w:color w:val="008C95"/>
                  <w:u w:val="single"/>
                </w:rPr>
                <w:t>打开原始来源 ↗</w:t>
              </w:r>
            </w:hyperlink>
          </w:p>
        </w:tc>
      </w:tr>
      <w:tr>
        <w:trPr>
          <w:cantSplit/>
        </w:trPr>
        <w:tc>
          <w:tcPr>
            <w:tcW w:type="dxa" w:w="600"/>
          </w:tcPr>
          <w:p>
            <w:pPr>
              <w:keepLines/>
              <w:spacing w:after="0" w:line="276" w:lineRule="auto"/>
            </w:pPr>
            <w:r>
              <w:rPr>
                <w:rFonts w:ascii="Calibri" w:hAnsi="Calibri" w:eastAsia="Microsoft YaHei"/>
                <w:color w:val="0B2545"/>
                <w:sz w:val="13"/>
              </w:rPr>
              <w:t>2021</w:t>
            </w:r>
          </w:p>
        </w:tc>
        <w:tc>
          <w:tcPr>
            <w:tcW w:type="dxa" w:w="1600"/>
          </w:tcPr>
          <w:p>
            <w:pPr>
              <w:keepLines/>
              <w:spacing w:after="0" w:line="276" w:lineRule="auto"/>
            </w:pPr>
            <w:r>
              <w:rPr>
                <w:rFonts w:ascii="Calibri" w:hAnsi="Calibri" w:eastAsia="Microsoft YaHei"/>
                <w:color w:val="0B2545"/>
                <w:sz w:val="13"/>
              </w:rPr>
              <w:t>B. Eriksson; S. Conroy; G. Ericsson; J. Eriksson; L. Giacomelli; A. Hjalmarsson; M. Weiszflog</w:t>
            </w:r>
          </w:p>
        </w:tc>
        <w:tc>
          <w:tcPr>
            <w:tcW w:type="dxa" w:w="3200"/>
          </w:tcPr>
          <w:p>
            <w:pPr>
              <w:keepLines/>
              <w:spacing w:after="0" w:line="276" w:lineRule="auto"/>
            </w:pPr>
            <w:r>
              <w:rPr>
                <w:rFonts w:ascii="Calibri" w:hAnsi="Calibri" w:eastAsia="Microsoft YaHei"/>
                <w:color w:val="0B2545"/>
                <w:sz w:val="13"/>
              </w:rPr>
              <w:t>New method for time alignment and time calibration of the TOFOR time-of-flight neutron spectrometer at JET</w:t>
            </w:r>
          </w:p>
        </w:tc>
        <w:tc>
          <w:tcPr>
            <w:tcW w:type="dxa" w:w="1700"/>
          </w:tcPr>
          <w:p>
            <w:pPr>
              <w:keepLines/>
              <w:spacing w:after="0" w:line="276" w:lineRule="auto"/>
            </w:pPr>
            <w:r>
              <w:rPr>
                <w:rFonts w:ascii="Calibri" w:hAnsi="Calibri" w:eastAsia="Microsoft YaHei"/>
                <w:color w:val="0B2545"/>
                <w:sz w:val="13"/>
              </w:rPr>
              <w:t>Review of Scientific Instruments</w:t>
            </w:r>
          </w:p>
        </w:tc>
        <w:tc>
          <w:tcPr>
            <w:tcW w:type="dxa" w:w="2260"/>
          </w:tcPr>
          <w:p>
            <w:pPr>
              <w:keepLines/>
              <w:spacing w:after="0" w:line="276" w:lineRule="auto"/>
            </w:pPr>
            <w:hyperlink r:id="rId90">
              <w:r>
                <w:rPr>
                  <w:rFonts w:ascii="Calibri" w:hAnsi="Calibri" w:eastAsia="Microsoft YaHei"/>
                  <w:color w:val="008C95"/>
                  <w:u w:val="single"/>
                </w:rPr>
                <w:t>打开原始来源 ↗</w:t>
              </w:r>
            </w:hyperlink>
          </w:p>
        </w:tc>
      </w:tr>
      <w:tr>
        <w:trPr>
          <w:cantSplit/>
        </w:trPr>
        <w:tc>
          <w:tcPr>
            <w:tcW w:type="dxa" w:w="600"/>
          </w:tcPr>
          <w:p>
            <w:pPr>
              <w:keepLines/>
              <w:spacing w:after="0" w:line="276" w:lineRule="auto"/>
            </w:pPr>
            <w:r>
              <w:rPr>
                <w:rFonts w:ascii="Calibri" w:hAnsi="Calibri" w:eastAsia="Microsoft YaHei"/>
                <w:color w:val="0B2545"/>
                <w:sz w:val="13"/>
              </w:rPr>
              <w:t>2021</w:t>
            </w:r>
          </w:p>
        </w:tc>
        <w:tc>
          <w:tcPr>
            <w:tcW w:type="dxa" w:w="1600"/>
          </w:tcPr>
          <w:p>
            <w:pPr>
              <w:keepLines/>
              <w:spacing w:after="0" w:line="276" w:lineRule="auto"/>
            </w:pPr>
            <w:r>
              <w:rPr>
                <w:rFonts w:ascii="Calibri" w:hAnsi="Calibri" w:eastAsia="Microsoft YaHei"/>
                <w:color w:val="0B2545"/>
                <w:sz w:val="13"/>
              </w:rPr>
              <w:t>Shin KAJITA; Santosh P. PANDYA; Richard O'CONNOR; Robin BARNSLEY; Huxford ROGER</w:t>
            </w:r>
          </w:p>
        </w:tc>
        <w:tc>
          <w:tcPr>
            <w:tcW w:type="dxa" w:w="3200"/>
          </w:tcPr>
          <w:p>
            <w:pPr>
              <w:keepLines/>
              <w:spacing w:after="0" w:line="276" w:lineRule="auto"/>
            </w:pPr>
            <w:r>
              <w:rPr>
                <w:rFonts w:ascii="Calibri" w:hAnsi="Calibri" w:eastAsia="Microsoft YaHei"/>
                <w:color w:val="0B2545"/>
                <w:sz w:val="13"/>
              </w:rPr>
              <w:t>Investigation of Light Transmission Efficiency in ITER Hard X-Ray Monitor</w:t>
            </w:r>
          </w:p>
        </w:tc>
        <w:tc>
          <w:tcPr>
            <w:tcW w:type="dxa" w:w="1700"/>
          </w:tcPr>
          <w:p>
            <w:pPr>
              <w:keepLines/>
              <w:spacing w:after="0" w:line="276" w:lineRule="auto"/>
            </w:pPr>
            <w:r>
              <w:rPr>
                <w:rFonts w:ascii="Calibri" w:hAnsi="Calibri" w:eastAsia="Microsoft YaHei"/>
                <w:color w:val="0B2545"/>
                <w:sz w:val="13"/>
              </w:rPr>
              <w:t>Plasma and Fusion Research</w:t>
            </w:r>
          </w:p>
        </w:tc>
        <w:tc>
          <w:tcPr>
            <w:tcW w:type="dxa" w:w="2260"/>
          </w:tcPr>
          <w:p>
            <w:pPr>
              <w:keepLines/>
              <w:spacing w:after="0" w:line="276" w:lineRule="auto"/>
            </w:pPr>
            <w:hyperlink r:id="rId84">
              <w:r>
                <w:rPr>
                  <w:rFonts w:ascii="Calibri" w:hAnsi="Calibri" w:eastAsia="Microsoft YaHei"/>
                  <w:color w:val="008C95"/>
                  <w:u w:val="single"/>
                </w:rPr>
                <w:t>打开原始来源 ↗</w:t>
              </w:r>
            </w:hyperlink>
          </w:p>
        </w:tc>
      </w:tr>
      <w:tr>
        <w:trPr>
          <w:cantSplit/>
        </w:trPr>
        <w:tc>
          <w:tcPr>
            <w:tcW w:type="dxa" w:w="600"/>
          </w:tcPr>
          <w:p>
            <w:pPr>
              <w:keepLines/>
              <w:spacing w:after="0" w:line="276" w:lineRule="auto"/>
            </w:pPr>
            <w:r>
              <w:rPr>
                <w:rFonts w:ascii="Calibri" w:hAnsi="Calibri" w:eastAsia="Microsoft YaHei"/>
                <w:color w:val="0B2545"/>
                <w:sz w:val="13"/>
              </w:rPr>
              <w:t>2021</w:t>
            </w:r>
          </w:p>
        </w:tc>
        <w:tc>
          <w:tcPr>
            <w:tcW w:type="dxa" w:w="1600"/>
          </w:tcPr>
          <w:p>
            <w:pPr>
              <w:keepLines/>
              <w:spacing w:after="0" w:line="276" w:lineRule="auto"/>
            </w:pPr>
            <w:r>
              <w:rPr>
                <w:rFonts w:ascii="Calibri" w:hAnsi="Calibri" w:eastAsia="Microsoft YaHei"/>
                <w:color w:val="0B2545"/>
                <w:sz w:val="13"/>
              </w:rPr>
              <w:t>未完整列出</w:t>
            </w:r>
          </w:p>
        </w:tc>
        <w:tc>
          <w:tcPr>
            <w:tcW w:type="dxa" w:w="3200"/>
          </w:tcPr>
          <w:p>
            <w:pPr>
              <w:keepLines/>
              <w:spacing w:after="0" w:line="276" w:lineRule="auto"/>
            </w:pPr>
            <w:r>
              <w:rPr>
                <w:rFonts w:ascii="Calibri" w:hAnsi="Calibri" w:eastAsia="Microsoft YaHei"/>
                <w:color w:val="0B2545"/>
                <w:sz w:val="13"/>
              </w:rPr>
              <w:t>Integrated data analysis with Minerva at W7-X</w:t>
            </w:r>
          </w:p>
        </w:tc>
        <w:tc>
          <w:tcPr>
            <w:tcW w:type="dxa" w:w="1700"/>
          </w:tcPr>
          <w:p>
            <w:pPr>
              <w:keepLines/>
              <w:spacing w:after="0" w:line="276" w:lineRule="auto"/>
            </w:pPr>
            <w:r>
              <w:rPr>
                <w:rFonts w:ascii="Calibri" w:hAnsi="Calibri" w:eastAsia="Microsoft YaHei"/>
                <w:color w:val="0B2545"/>
                <w:sz w:val="13"/>
              </w:rPr>
              <w:t>原始论文 / 官方来源</w:t>
            </w:r>
          </w:p>
        </w:tc>
        <w:tc>
          <w:tcPr>
            <w:tcW w:type="dxa" w:w="2260"/>
          </w:tcPr>
          <w:p>
            <w:pPr>
              <w:keepLines/>
              <w:spacing w:after="0" w:line="276" w:lineRule="auto"/>
            </w:pPr>
            <w:hyperlink r:id="rId197">
              <w:r>
                <w:rPr>
                  <w:rFonts w:ascii="Calibri" w:hAnsi="Calibri" w:eastAsia="Microsoft YaHei"/>
                  <w:color w:val="008C95"/>
                  <w:u w:val="single"/>
                </w:rPr>
                <w:t>打开原始来源 ↗</w:t>
              </w:r>
            </w:hyperlink>
          </w:p>
        </w:tc>
      </w:tr>
      <w:tr>
        <w:trPr>
          <w:cantSplit/>
        </w:trPr>
        <w:tc>
          <w:tcPr>
            <w:tcW w:type="dxa" w:w="600"/>
          </w:tcPr>
          <w:p>
            <w:pPr>
              <w:keepLines/>
              <w:spacing w:after="0" w:line="276" w:lineRule="auto"/>
            </w:pPr>
            <w:r>
              <w:rPr>
                <w:rFonts w:ascii="Calibri" w:hAnsi="Calibri" w:eastAsia="Microsoft YaHei"/>
                <w:color w:val="0B2545"/>
                <w:sz w:val="13"/>
              </w:rPr>
              <w:t>2021</w:t>
            </w:r>
          </w:p>
        </w:tc>
        <w:tc>
          <w:tcPr>
            <w:tcW w:type="dxa" w:w="1600"/>
          </w:tcPr>
          <w:p>
            <w:pPr>
              <w:keepLines/>
              <w:spacing w:after="0" w:line="276" w:lineRule="auto"/>
            </w:pPr>
            <w:r>
              <w:rPr>
                <w:rFonts w:ascii="Calibri" w:hAnsi="Calibri" w:eastAsia="Microsoft YaHei"/>
                <w:color w:val="0B2545"/>
                <w:sz w:val="13"/>
              </w:rPr>
              <w:t>Y. Corre; N. Chanet; R. Cotillard; J. Gaspar; G. Laffont; C. Pocheau; G. Caulier; C. Destouches; J-L. Gardarein; M. Firdaouss; M. Houry; M. Missirlian; et al. (14 authors)</w:t>
            </w:r>
          </w:p>
        </w:tc>
        <w:tc>
          <w:tcPr>
            <w:tcW w:type="dxa" w:w="3200"/>
          </w:tcPr>
          <w:p>
            <w:pPr>
              <w:keepLines/>
              <w:spacing w:after="0" w:line="276" w:lineRule="auto"/>
            </w:pPr>
            <w:r>
              <w:rPr>
                <w:rFonts w:ascii="Calibri" w:hAnsi="Calibri" w:eastAsia="Microsoft YaHei"/>
                <w:color w:val="0B2545"/>
                <w:sz w:val="13"/>
              </w:rPr>
              <w:t>First temperature database achieved with Fiber Bragg Grating sensors in uncooled plasma facing components of the WEST lower divertor</w:t>
            </w:r>
          </w:p>
        </w:tc>
        <w:tc>
          <w:tcPr>
            <w:tcW w:type="dxa" w:w="1700"/>
          </w:tcPr>
          <w:p>
            <w:pPr>
              <w:keepLines/>
              <w:spacing w:after="0" w:line="276" w:lineRule="auto"/>
            </w:pPr>
            <w:r>
              <w:rPr>
                <w:rFonts w:ascii="Calibri" w:hAnsi="Calibri" w:eastAsia="Microsoft YaHei"/>
                <w:color w:val="0B2545"/>
                <w:sz w:val="13"/>
              </w:rPr>
              <w:t>Fusion Engineering and Design</w:t>
            </w:r>
          </w:p>
        </w:tc>
        <w:tc>
          <w:tcPr>
            <w:tcW w:type="dxa" w:w="2260"/>
          </w:tcPr>
          <w:p>
            <w:pPr>
              <w:keepLines/>
              <w:spacing w:after="0" w:line="276" w:lineRule="auto"/>
            </w:pPr>
            <w:hyperlink r:id="rId136">
              <w:r>
                <w:rPr>
                  <w:rFonts w:ascii="Calibri" w:hAnsi="Calibri" w:eastAsia="Microsoft YaHei"/>
                  <w:color w:val="008C95"/>
                  <w:u w:val="single"/>
                </w:rPr>
                <w:t>打开原始来源 ↗</w:t>
              </w:r>
            </w:hyperlink>
          </w:p>
        </w:tc>
      </w:tr>
      <w:tr>
        <w:trPr>
          <w:cantSplit/>
        </w:trPr>
        <w:tc>
          <w:tcPr>
            <w:tcW w:type="dxa" w:w="600"/>
          </w:tcPr>
          <w:p>
            <w:pPr>
              <w:keepLines/>
              <w:spacing w:after="0" w:line="276" w:lineRule="auto"/>
            </w:pPr>
            <w:r>
              <w:rPr>
                <w:rFonts w:ascii="Calibri" w:hAnsi="Calibri" w:eastAsia="Microsoft YaHei"/>
                <w:color w:val="0B2545"/>
                <w:sz w:val="13"/>
              </w:rPr>
              <w:t>2021</w:t>
            </w:r>
          </w:p>
        </w:tc>
        <w:tc>
          <w:tcPr>
            <w:tcW w:type="dxa" w:w="1600"/>
          </w:tcPr>
          <w:p>
            <w:pPr>
              <w:keepLines/>
              <w:spacing w:after="0" w:line="276" w:lineRule="auto"/>
            </w:pPr>
            <w:r>
              <w:rPr>
                <w:rFonts w:ascii="Calibri" w:hAnsi="Calibri" w:eastAsia="Microsoft YaHei"/>
                <w:color w:val="0B2545"/>
                <w:sz w:val="13"/>
              </w:rPr>
              <w:t>Shigeru O’hira; Yuki Edao; Kanetsugu Isobe; Yasunori Iwai</w:t>
            </w:r>
          </w:p>
        </w:tc>
        <w:tc>
          <w:tcPr>
            <w:tcW w:type="dxa" w:w="3200"/>
          </w:tcPr>
          <w:p>
            <w:pPr>
              <w:keepLines/>
              <w:spacing w:after="0" w:line="276" w:lineRule="auto"/>
            </w:pPr>
            <w:r>
              <w:rPr>
                <w:rFonts w:ascii="Calibri" w:hAnsi="Calibri" w:eastAsia="Microsoft YaHei"/>
                <w:color w:val="0B2545"/>
                <w:sz w:val="13"/>
              </w:rPr>
              <w:t>Development of a compact real-time process gas analysis system for tritium accountancy for a DEMO fusion reactor by an application of laser Raman spectroscopy</w:t>
            </w:r>
          </w:p>
        </w:tc>
        <w:tc>
          <w:tcPr>
            <w:tcW w:type="dxa" w:w="1700"/>
          </w:tcPr>
          <w:p>
            <w:pPr>
              <w:keepLines/>
              <w:spacing w:after="0" w:line="276" w:lineRule="auto"/>
            </w:pPr>
            <w:r>
              <w:rPr>
                <w:rFonts w:ascii="Calibri" w:hAnsi="Calibri" w:eastAsia="Microsoft YaHei"/>
                <w:color w:val="0B2545"/>
                <w:sz w:val="13"/>
              </w:rPr>
              <w:t>Fusion Engineering and Design</w:t>
            </w:r>
          </w:p>
        </w:tc>
        <w:tc>
          <w:tcPr>
            <w:tcW w:type="dxa" w:w="2260"/>
          </w:tcPr>
          <w:p>
            <w:pPr>
              <w:keepLines/>
              <w:spacing w:after="0" w:line="276" w:lineRule="auto"/>
            </w:pPr>
            <w:hyperlink r:id="rId147">
              <w:r>
                <w:rPr>
                  <w:rFonts w:ascii="Calibri" w:hAnsi="Calibri" w:eastAsia="Microsoft YaHei"/>
                  <w:color w:val="008C95"/>
                  <w:u w:val="single"/>
                </w:rPr>
                <w:t>打开原始来源 ↗</w:t>
              </w:r>
            </w:hyperlink>
          </w:p>
        </w:tc>
      </w:tr>
      <w:tr>
        <w:trPr>
          <w:cantSplit/>
        </w:trPr>
        <w:tc>
          <w:tcPr>
            <w:tcW w:type="dxa" w:w="600"/>
          </w:tcPr>
          <w:p>
            <w:pPr>
              <w:keepLines/>
              <w:spacing w:after="0" w:line="276" w:lineRule="auto"/>
            </w:pPr>
            <w:r>
              <w:rPr>
                <w:rFonts w:ascii="Calibri" w:hAnsi="Calibri" w:eastAsia="Microsoft YaHei"/>
                <w:color w:val="0B2545"/>
                <w:sz w:val="13"/>
              </w:rPr>
              <w:t>2021</w:t>
            </w:r>
          </w:p>
        </w:tc>
        <w:tc>
          <w:tcPr>
            <w:tcW w:type="dxa" w:w="1600"/>
          </w:tcPr>
          <w:p>
            <w:pPr>
              <w:keepLines/>
              <w:spacing w:after="0" w:line="276" w:lineRule="auto"/>
            </w:pPr>
            <w:r>
              <w:rPr>
                <w:rFonts w:ascii="Calibri" w:hAnsi="Calibri" w:eastAsia="Microsoft YaHei"/>
                <w:color w:val="0B2545"/>
                <w:sz w:val="13"/>
              </w:rPr>
              <w:t>C. Chrystal; S. R. Haskey; K. H. Burrell; B. A. Grierson; C. S. Collins</w:t>
            </w:r>
          </w:p>
        </w:tc>
        <w:tc>
          <w:tcPr>
            <w:tcW w:type="dxa" w:w="3200"/>
          </w:tcPr>
          <w:p>
            <w:pPr>
              <w:keepLines/>
              <w:spacing w:after="0" w:line="276" w:lineRule="auto"/>
            </w:pPr>
            <w:r>
              <w:rPr>
                <w:rFonts w:ascii="Calibri" w:hAnsi="Calibri" w:eastAsia="Microsoft YaHei"/>
                <w:color w:val="0B2545"/>
                <w:sz w:val="13"/>
              </w:rPr>
              <w:t>Charge exchange recombination spectroscopy measurements of DIII-D poloidal rotation with poloidal asymmetry in angular rotation</w:t>
            </w:r>
          </w:p>
        </w:tc>
        <w:tc>
          <w:tcPr>
            <w:tcW w:type="dxa" w:w="1700"/>
          </w:tcPr>
          <w:p>
            <w:pPr>
              <w:keepLines/>
              <w:spacing w:after="0" w:line="276" w:lineRule="auto"/>
            </w:pPr>
            <w:r>
              <w:rPr>
                <w:rFonts w:ascii="Calibri" w:hAnsi="Calibri" w:eastAsia="Microsoft YaHei"/>
                <w:color w:val="0B2545"/>
                <w:sz w:val="13"/>
              </w:rPr>
              <w:t>Review of Scientific Instruments</w:t>
            </w:r>
          </w:p>
        </w:tc>
        <w:tc>
          <w:tcPr>
            <w:tcW w:type="dxa" w:w="2260"/>
          </w:tcPr>
          <w:p>
            <w:pPr>
              <w:keepLines/>
              <w:spacing w:after="0" w:line="276" w:lineRule="auto"/>
            </w:pPr>
            <w:hyperlink r:id="rId59">
              <w:r>
                <w:rPr>
                  <w:rFonts w:ascii="Calibri" w:hAnsi="Calibri" w:eastAsia="Microsoft YaHei"/>
                  <w:color w:val="008C95"/>
                  <w:u w:val="single"/>
                </w:rPr>
                <w:t>打开原始来源 ↗</w:t>
              </w:r>
            </w:hyperlink>
          </w:p>
        </w:tc>
      </w:tr>
      <w:tr>
        <w:trPr>
          <w:cantSplit/>
        </w:trPr>
        <w:tc>
          <w:tcPr>
            <w:tcW w:type="dxa" w:w="600"/>
          </w:tcPr>
          <w:p>
            <w:pPr>
              <w:keepLines/>
              <w:spacing w:after="0" w:line="276" w:lineRule="auto"/>
            </w:pPr>
            <w:r>
              <w:rPr>
                <w:rFonts w:ascii="Calibri" w:hAnsi="Calibri" w:eastAsia="Microsoft YaHei"/>
                <w:color w:val="0B2545"/>
                <w:sz w:val="13"/>
              </w:rPr>
              <w:t>2020</w:t>
            </w:r>
          </w:p>
        </w:tc>
        <w:tc>
          <w:tcPr>
            <w:tcW w:type="dxa" w:w="1600"/>
          </w:tcPr>
          <w:p>
            <w:pPr>
              <w:keepLines/>
              <w:spacing w:after="0" w:line="276" w:lineRule="auto"/>
            </w:pPr>
            <w:r>
              <w:rPr>
                <w:rFonts w:ascii="Calibri" w:hAnsi="Calibri" w:eastAsia="Microsoft YaHei"/>
                <w:color w:val="0B2545"/>
                <w:sz w:val="13"/>
              </w:rPr>
              <w:t>未完整列出</w:t>
            </w:r>
          </w:p>
        </w:tc>
        <w:tc>
          <w:tcPr>
            <w:tcW w:type="dxa" w:w="3200"/>
          </w:tcPr>
          <w:p>
            <w:pPr>
              <w:keepLines/>
              <w:spacing w:after="0" w:line="276" w:lineRule="auto"/>
            </w:pPr>
            <w:r>
              <w:rPr>
                <w:rFonts w:ascii="Calibri" w:hAnsi="Calibri" w:eastAsia="Microsoft YaHei"/>
                <w:color w:val="0B2545"/>
                <w:sz w:val="13"/>
              </w:rPr>
              <w:t>Synthetic modeling of ITER XRCS-Core diagnostic</w:t>
            </w:r>
          </w:p>
        </w:tc>
        <w:tc>
          <w:tcPr>
            <w:tcW w:type="dxa" w:w="1700"/>
          </w:tcPr>
          <w:p>
            <w:pPr>
              <w:keepLines/>
              <w:spacing w:after="0" w:line="276" w:lineRule="auto"/>
            </w:pPr>
            <w:r>
              <w:rPr>
                <w:rFonts w:ascii="Calibri" w:hAnsi="Calibri" w:eastAsia="Microsoft YaHei"/>
                <w:color w:val="0B2545"/>
                <w:sz w:val="13"/>
              </w:rPr>
              <w:t>原始论文 / 官方来源</w:t>
            </w:r>
          </w:p>
        </w:tc>
        <w:tc>
          <w:tcPr>
            <w:tcW w:type="dxa" w:w="2260"/>
          </w:tcPr>
          <w:p>
            <w:pPr>
              <w:keepLines/>
              <w:spacing w:after="0" w:line="276" w:lineRule="auto"/>
            </w:pPr>
            <w:hyperlink r:id="rId173">
              <w:r>
                <w:rPr>
                  <w:rFonts w:ascii="Calibri" w:hAnsi="Calibri" w:eastAsia="Microsoft YaHei"/>
                  <w:color w:val="008C95"/>
                  <w:u w:val="single"/>
                </w:rPr>
                <w:t>打开原始来源 ↗</w:t>
              </w:r>
            </w:hyperlink>
          </w:p>
        </w:tc>
      </w:tr>
      <w:tr>
        <w:trPr>
          <w:cantSplit/>
        </w:trPr>
        <w:tc>
          <w:tcPr>
            <w:tcW w:type="dxa" w:w="600"/>
          </w:tcPr>
          <w:p>
            <w:pPr>
              <w:keepLines/>
              <w:spacing w:after="0" w:line="276" w:lineRule="auto"/>
            </w:pPr>
            <w:r>
              <w:rPr>
                <w:rFonts w:ascii="Calibri" w:hAnsi="Calibri" w:eastAsia="Microsoft YaHei"/>
                <w:color w:val="0B2545"/>
                <w:sz w:val="13"/>
              </w:rPr>
              <w:t>2020</w:t>
            </w:r>
          </w:p>
        </w:tc>
        <w:tc>
          <w:tcPr>
            <w:tcW w:type="dxa" w:w="1600"/>
          </w:tcPr>
          <w:p>
            <w:pPr>
              <w:keepLines/>
              <w:spacing w:after="0" w:line="276" w:lineRule="auto"/>
            </w:pPr>
            <w:r>
              <w:rPr>
                <w:rFonts w:ascii="Calibri" w:hAnsi="Calibri" w:eastAsia="Microsoft YaHei"/>
                <w:color w:val="0B2545"/>
                <w:sz w:val="13"/>
              </w:rPr>
              <w:t>B. Geiger; L. Stagner; W.W. Heidbrink; R. Dux; R. Fischer; Y. Fujiwara; A.V. Garcia; A. S. Jacobsen; A. Jansen van Vuuren; A. N. Karpushov; D. Liu; P. A. Schneider; et al. (15 authors)</w:t>
            </w:r>
          </w:p>
        </w:tc>
        <w:tc>
          <w:tcPr>
            <w:tcW w:type="dxa" w:w="3200"/>
          </w:tcPr>
          <w:p>
            <w:pPr>
              <w:keepLines/>
              <w:spacing w:after="0" w:line="276" w:lineRule="auto"/>
            </w:pPr>
            <w:r>
              <w:rPr>
                <w:rFonts w:ascii="Calibri" w:hAnsi="Calibri" w:eastAsia="Microsoft YaHei"/>
                <w:color w:val="0B2545"/>
                <w:sz w:val="13"/>
              </w:rPr>
              <w:t>Progress in modelling fast-ion D-alpha spectra and neutral particle analyzer fluxes using FIDASIM</w:t>
            </w:r>
          </w:p>
        </w:tc>
        <w:tc>
          <w:tcPr>
            <w:tcW w:type="dxa" w:w="1700"/>
          </w:tcPr>
          <w:p>
            <w:pPr>
              <w:keepLines/>
              <w:spacing w:after="0" w:line="276" w:lineRule="auto"/>
            </w:pPr>
            <w:r>
              <w:rPr>
                <w:rFonts w:ascii="Calibri" w:hAnsi="Calibri" w:eastAsia="Microsoft YaHei"/>
                <w:color w:val="0B2545"/>
                <w:sz w:val="13"/>
              </w:rPr>
              <w:t>Plasma Physics and Controlled Fusion</w:t>
            </w:r>
          </w:p>
        </w:tc>
        <w:tc>
          <w:tcPr>
            <w:tcW w:type="dxa" w:w="2260"/>
          </w:tcPr>
          <w:p>
            <w:pPr>
              <w:keepLines/>
              <w:spacing w:after="0" w:line="276" w:lineRule="auto"/>
            </w:pPr>
            <w:hyperlink r:id="rId68">
              <w:r>
                <w:rPr>
                  <w:rFonts w:ascii="Calibri" w:hAnsi="Calibri" w:eastAsia="Microsoft YaHei"/>
                  <w:color w:val="008C95"/>
                  <w:u w:val="single"/>
                </w:rPr>
                <w:t>打开原始来源 ↗</w:t>
              </w:r>
            </w:hyperlink>
          </w:p>
        </w:tc>
      </w:tr>
      <w:tr>
        <w:trPr>
          <w:cantSplit/>
        </w:trPr>
        <w:tc>
          <w:tcPr>
            <w:tcW w:type="dxa" w:w="600"/>
          </w:tcPr>
          <w:p>
            <w:pPr>
              <w:keepLines/>
              <w:spacing w:after="0" w:line="276" w:lineRule="auto"/>
            </w:pPr>
            <w:r>
              <w:rPr>
                <w:rFonts w:ascii="Calibri" w:hAnsi="Calibri" w:eastAsia="Microsoft YaHei"/>
                <w:color w:val="0B2545"/>
                <w:sz w:val="13"/>
              </w:rPr>
              <w:t>2020</w:t>
            </w:r>
          </w:p>
        </w:tc>
        <w:tc>
          <w:tcPr>
            <w:tcW w:type="dxa" w:w="1600"/>
          </w:tcPr>
          <w:p>
            <w:pPr>
              <w:keepLines/>
              <w:spacing w:after="0" w:line="276" w:lineRule="auto"/>
            </w:pPr>
            <w:r>
              <w:rPr>
                <w:rFonts w:ascii="Calibri" w:hAnsi="Calibri" w:eastAsia="Microsoft YaHei"/>
                <w:color w:val="0B2545"/>
                <w:sz w:val="13"/>
              </w:rPr>
              <w:t>未完整列出</w:t>
            </w:r>
          </w:p>
        </w:tc>
        <w:tc>
          <w:tcPr>
            <w:tcW w:type="dxa" w:w="3200"/>
          </w:tcPr>
          <w:p>
            <w:pPr>
              <w:keepLines/>
              <w:spacing w:after="0" w:line="276" w:lineRule="auto"/>
            </w:pPr>
            <w:r>
              <w:rPr>
                <w:rFonts w:ascii="Calibri" w:hAnsi="Calibri" w:eastAsia="Microsoft YaHei"/>
                <w:color w:val="0B2545"/>
                <w:sz w:val="13"/>
              </w:rPr>
              <w:t>Observation of thermal events on the plasma facing components of Wendelstein 7-X</w:t>
            </w:r>
          </w:p>
        </w:tc>
        <w:tc>
          <w:tcPr>
            <w:tcW w:type="dxa" w:w="1700"/>
          </w:tcPr>
          <w:p>
            <w:pPr>
              <w:keepLines/>
              <w:spacing w:after="0" w:line="276" w:lineRule="auto"/>
            </w:pPr>
            <w:r>
              <w:rPr>
                <w:rFonts w:ascii="Calibri" w:hAnsi="Calibri" w:eastAsia="Microsoft YaHei"/>
                <w:color w:val="0B2545"/>
                <w:sz w:val="13"/>
              </w:rPr>
              <w:t>原始论文 / 官方来源</w:t>
            </w:r>
          </w:p>
        </w:tc>
        <w:tc>
          <w:tcPr>
            <w:tcW w:type="dxa" w:w="2260"/>
          </w:tcPr>
          <w:p>
            <w:pPr>
              <w:keepLines/>
              <w:spacing w:after="0" w:line="276" w:lineRule="auto"/>
            </w:pPr>
            <w:hyperlink r:id="rId137">
              <w:r>
                <w:rPr>
                  <w:rFonts w:ascii="Calibri" w:hAnsi="Calibri" w:eastAsia="Microsoft YaHei"/>
                  <w:color w:val="008C95"/>
                  <w:u w:val="single"/>
                </w:rPr>
                <w:t>打开原始来源 ↗</w:t>
              </w:r>
            </w:hyperlink>
          </w:p>
        </w:tc>
      </w:tr>
      <w:tr>
        <w:trPr>
          <w:cantSplit/>
        </w:trPr>
        <w:tc>
          <w:tcPr>
            <w:tcW w:type="dxa" w:w="600"/>
          </w:tcPr>
          <w:p>
            <w:pPr>
              <w:keepLines/>
              <w:spacing w:after="0" w:line="276" w:lineRule="auto"/>
            </w:pPr>
            <w:r>
              <w:rPr>
                <w:rFonts w:ascii="Calibri" w:hAnsi="Calibri" w:eastAsia="Microsoft YaHei"/>
                <w:color w:val="0B2545"/>
                <w:sz w:val="13"/>
              </w:rPr>
              <w:t>2020</w:t>
            </w:r>
          </w:p>
        </w:tc>
        <w:tc>
          <w:tcPr>
            <w:tcW w:type="dxa" w:w="1600"/>
          </w:tcPr>
          <w:p>
            <w:pPr>
              <w:keepLines/>
              <w:spacing w:after="0" w:line="276" w:lineRule="auto"/>
            </w:pPr>
            <w:r>
              <w:rPr>
                <w:rFonts w:ascii="Calibri" w:hAnsi="Calibri" w:eastAsia="Microsoft YaHei"/>
                <w:color w:val="0B2545"/>
                <w:sz w:val="13"/>
              </w:rPr>
              <w:t>G. Manduchi; A. Rigonii; T.W. Fredian; J.A. Stillerman; A. Neto; F. Sartori</w:t>
            </w:r>
          </w:p>
        </w:tc>
        <w:tc>
          <w:tcPr>
            <w:tcW w:type="dxa" w:w="3200"/>
          </w:tcPr>
          <w:p>
            <w:pPr>
              <w:keepLines/>
              <w:spacing w:after="0" w:line="276" w:lineRule="auto"/>
            </w:pPr>
            <w:r>
              <w:rPr>
                <w:rFonts w:ascii="Calibri" w:hAnsi="Calibri" w:eastAsia="Microsoft YaHei"/>
                <w:color w:val="0B2545"/>
                <w:sz w:val="13"/>
              </w:rPr>
              <w:t>MARTe2 and MDSplus integration for a comprehensive fast control and data acquisition system</w:t>
            </w:r>
          </w:p>
        </w:tc>
        <w:tc>
          <w:tcPr>
            <w:tcW w:type="dxa" w:w="1700"/>
          </w:tcPr>
          <w:p>
            <w:pPr>
              <w:keepLines/>
              <w:spacing w:after="0" w:line="276" w:lineRule="auto"/>
            </w:pPr>
            <w:r>
              <w:rPr>
                <w:rFonts w:ascii="Calibri" w:hAnsi="Calibri" w:eastAsia="Microsoft YaHei"/>
                <w:color w:val="0B2545"/>
                <w:sz w:val="13"/>
              </w:rPr>
              <w:t>Fusion Engineering and Design</w:t>
            </w:r>
          </w:p>
        </w:tc>
        <w:tc>
          <w:tcPr>
            <w:tcW w:type="dxa" w:w="2260"/>
          </w:tcPr>
          <w:p>
            <w:pPr>
              <w:keepLines/>
              <w:spacing w:after="0" w:line="276" w:lineRule="auto"/>
            </w:pPr>
            <w:hyperlink r:id="rId30">
              <w:r>
                <w:rPr>
                  <w:rFonts w:ascii="Calibri" w:hAnsi="Calibri" w:eastAsia="Microsoft YaHei"/>
                  <w:color w:val="008C95"/>
                  <w:u w:val="single"/>
                </w:rPr>
                <w:t>打开原始来源 ↗</w:t>
              </w:r>
            </w:hyperlink>
          </w:p>
        </w:tc>
      </w:tr>
      <w:tr>
        <w:trPr>
          <w:cantSplit/>
        </w:trPr>
        <w:tc>
          <w:tcPr>
            <w:tcW w:type="dxa" w:w="600"/>
          </w:tcPr>
          <w:p>
            <w:pPr>
              <w:keepLines/>
              <w:spacing w:after="0" w:line="276" w:lineRule="auto"/>
            </w:pPr>
            <w:r>
              <w:rPr>
                <w:rFonts w:ascii="Calibri" w:hAnsi="Calibri" w:eastAsia="Microsoft YaHei"/>
                <w:color w:val="0B2545"/>
                <w:sz w:val="13"/>
              </w:rPr>
              <w:t>2020</w:t>
            </w:r>
          </w:p>
        </w:tc>
        <w:tc>
          <w:tcPr>
            <w:tcW w:type="dxa" w:w="1600"/>
          </w:tcPr>
          <w:p>
            <w:pPr>
              <w:keepLines/>
              <w:spacing w:after="0" w:line="276" w:lineRule="auto"/>
            </w:pPr>
            <w:r>
              <w:rPr>
                <w:rFonts w:ascii="Calibri" w:hAnsi="Calibri" w:eastAsia="Microsoft YaHei"/>
                <w:color w:val="0B2545"/>
                <w:sz w:val="13"/>
              </w:rPr>
              <w:t>F. Sciortino; N.T. Howard; E.S. Marmar; T. Odstrcil; N.M. Cao; R. Dux; A.E. Hubbard; J.W. Hughes; J.H. Irby; Y.M. Marzouk; L.M. Milanese; M.L. Reinke; et al. (14 authors)</w:t>
            </w:r>
          </w:p>
        </w:tc>
        <w:tc>
          <w:tcPr>
            <w:tcW w:type="dxa" w:w="3200"/>
          </w:tcPr>
          <w:p>
            <w:pPr>
              <w:keepLines/>
              <w:spacing w:after="0" w:line="276" w:lineRule="auto"/>
            </w:pPr>
            <w:r>
              <w:rPr>
                <w:rFonts w:ascii="Calibri" w:hAnsi="Calibri" w:eastAsia="Microsoft YaHei"/>
                <w:color w:val="0B2545"/>
                <w:sz w:val="13"/>
              </w:rPr>
              <w:t>Inference of experimental radial impurity transport on Alcator C-Mod: Bayesian parameter estimation and model selection</w:t>
            </w:r>
          </w:p>
        </w:tc>
        <w:tc>
          <w:tcPr>
            <w:tcW w:type="dxa" w:w="1700"/>
          </w:tcPr>
          <w:p>
            <w:pPr>
              <w:keepLines/>
              <w:spacing w:after="0" w:line="276" w:lineRule="auto"/>
            </w:pPr>
            <w:r>
              <w:rPr>
                <w:rFonts w:ascii="Calibri" w:hAnsi="Calibri" w:eastAsia="Microsoft YaHei"/>
                <w:color w:val="0B2545"/>
                <w:sz w:val="13"/>
              </w:rPr>
              <w:t>Nuclear Fusion</w:t>
            </w:r>
          </w:p>
        </w:tc>
        <w:tc>
          <w:tcPr>
            <w:tcW w:type="dxa" w:w="2260"/>
          </w:tcPr>
          <w:p>
            <w:pPr>
              <w:keepLines/>
              <w:spacing w:after="0" w:line="276" w:lineRule="auto"/>
            </w:pPr>
            <w:hyperlink r:id="rId203">
              <w:r>
                <w:rPr>
                  <w:rFonts w:ascii="Calibri" w:hAnsi="Calibri" w:eastAsia="Microsoft YaHei"/>
                  <w:color w:val="008C95"/>
                  <w:u w:val="single"/>
                </w:rPr>
                <w:t>打开原始来源 ↗</w:t>
              </w:r>
            </w:hyperlink>
          </w:p>
        </w:tc>
      </w:tr>
      <w:tr>
        <w:trPr>
          <w:cantSplit/>
        </w:trPr>
        <w:tc>
          <w:tcPr>
            <w:tcW w:type="dxa" w:w="600"/>
          </w:tcPr>
          <w:p>
            <w:pPr>
              <w:keepLines/>
              <w:spacing w:after="0" w:line="276" w:lineRule="auto"/>
            </w:pPr>
            <w:r>
              <w:rPr>
                <w:rFonts w:ascii="Calibri" w:hAnsi="Calibri" w:eastAsia="Microsoft YaHei"/>
                <w:color w:val="0B2545"/>
                <w:sz w:val="13"/>
              </w:rPr>
              <w:t>2020</w:t>
            </w:r>
          </w:p>
        </w:tc>
        <w:tc>
          <w:tcPr>
            <w:tcW w:type="dxa" w:w="1600"/>
          </w:tcPr>
          <w:p>
            <w:pPr>
              <w:keepLines/>
              <w:spacing w:after="0" w:line="276" w:lineRule="auto"/>
            </w:pPr>
            <w:r>
              <w:rPr>
                <w:rFonts w:ascii="Calibri" w:hAnsi="Calibri" w:eastAsia="Microsoft YaHei"/>
                <w:color w:val="0B2545"/>
                <w:sz w:val="13"/>
              </w:rPr>
              <w:t>Fusion for Energy</w:t>
            </w:r>
          </w:p>
        </w:tc>
        <w:tc>
          <w:tcPr>
            <w:tcW w:type="dxa" w:w="3200"/>
          </w:tcPr>
          <w:p>
            <w:pPr>
              <w:keepLines/>
              <w:spacing w:after="0" w:line="276" w:lineRule="auto"/>
            </w:pPr>
            <w:r>
              <w:rPr>
                <w:rFonts w:ascii="Calibri" w:hAnsi="Calibri" w:eastAsia="Microsoft YaHei"/>
                <w:color w:val="0B2545"/>
                <w:sz w:val="13"/>
              </w:rPr>
              <w:t>ITER neutron activation system technical specification</w:t>
            </w:r>
          </w:p>
        </w:tc>
        <w:tc>
          <w:tcPr>
            <w:tcW w:type="dxa" w:w="1700"/>
          </w:tcPr>
          <w:p>
            <w:pPr>
              <w:keepLines/>
              <w:spacing w:after="0" w:line="276" w:lineRule="auto"/>
            </w:pPr>
            <w:r>
              <w:rPr>
                <w:rFonts w:ascii="Calibri" w:hAnsi="Calibri" w:eastAsia="Microsoft YaHei"/>
                <w:color w:val="0B2545"/>
                <w:sz w:val="13"/>
              </w:rPr>
              <w:t>Official procurement technical specification</w:t>
            </w:r>
          </w:p>
        </w:tc>
        <w:tc>
          <w:tcPr>
            <w:tcW w:type="dxa" w:w="2260"/>
          </w:tcPr>
          <w:p>
            <w:pPr>
              <w:keepLines/>
              <w:spacing w:after="0" w:line="276" w:lineRule="auto"/>
            </w:pPr>
            <w:hyperlink r:id="rId93">
              <w:r>
                <w:rPr>
                  <w:rFonts w:ascii="Calibri" w:hAnsi="Calibri" w:eastAsia="Microsoft YaHei"/>
                  <w:color w:val="008C95"/>
                  <w:u w:val="single"/>
                </w:rPr>
                <w:t>打开原始来源 ↗</w:t>
              </w:r>
            </w:hyperlink>
          </w:p>
        </w:tc>
      </w:tr>
      <w:tr>
        <w:trPr>
          <w:cantSplit/>
        </w:trPr>
        <w:tc>
          <w:tcPr>
            <w:tcW w:type="dxa" w:w="600"/>
          </w:tcPr>
          <w:p>
            <w:pPr>
              <w:keepLines/>
              <w:spacing w:after="0" w:line="276" w:lineRule="auto"/>
            </w:pPr>
            <w:r>
              <w:rPr>
                <w:rFonts w:ascii="Calibri" w:hAnsi="Calibri" w:eastAsia="Microsoft YaHei"/>
                <w:color w:val="0B2545"/>
                <w:sz w:val="13"/>
              </w:rPr>
              <w:t>2020</w:t>
            </w:r>
          </w:p>
        </w:tc>
        <w:tc>
          <w:tcPr>
            <w:tcW w:type="dxa" w:w="1600"/>
          </w:tcPr>
          <w:p>
            <w:pPr>
              <w:keepLines/>
              <w:spacing w:after="0" w:line="276" w:lineRule="auto"/>
            </w:pPr>
            <w:r>
              <w:rPr>
                <w:rFonts w:ascii="Calibri" w:hAnsi="Calibri" w:eastAsia="Microsoft YaHei"/>
                <w:color w:val="0B2545"/>
                <w:sz w:val="13"/>
              </w:rPr>
              <w:t>Xingli Wang; Zhen Chen; Wanjing Wang; Yuping Xu; Qiang Li; Chunyi Xie; Jichao Wang; Zhongshi Yang; Guang-Nan Luo</w:t>
            </w:r>
          </w:p>
        </w:tc>
        <w:tc>
          <w:tcPr>
            <w:tcW w:type="dxa" w:w="3200"/>
          </w:tcPr>
          <w:p>
            <w:pPr>
              <w:keepLines/>
              <w:spacing w:after="0" w:line="276" w:lineRule="auto"/>
            </w:pPr>
            <w:r>
              <w:rPr>
                <w:rFonts w:ascii="Calibri" w:hAnsi="Calibri" w:eastAsia="Microsoft YaHei"/>
                <w:color w:val="0B2545"/>
                <w:sz w:val="13"/>
              </w:rPr>
              <w:t>Fibre Bragg grating sensors for fusion diagnostics: Temperature monitoring of a tungsten mono-block mock-up under high heat flux</w:t>
            </w:r>
          </w:p>
        </w:tc>
        <w:tc>
          <w:tcPr>
            <w:tcW w:type="dxa" w:w="1700"/>
          </w:tcPr>
          <w:p>
            <w:pPr>
              <w:keepLines/>
              <w:spacing w:after="0" w:line="276" w:lineRule="auto"/>
            </w:pPr>
            <w:r>
              <w:rPr>
                <w:rFonts w:ascii="Calibri" w:hAnsi="Calibri" w:eastAsia="Microsoft YaHei"/>
                <w:color w:val="0B2545"/>
                <w:sz w:val="13"/>
              </w:rPr>
              <w:t>Fusion Engineering and Design</w:t>
            </w:r>
          </w:p>
        </w:tc>
        <w:tc>
          <w:tcPr>
            <w:tcW w:type="dxa" w:w="2260"/>
          </w:tcPr>
          <w:p>
            <w:pPr>
              <w:keepLines/>
              <w:spacing w:after="0" w:line="276" w:lineRule="auto"/>
            </w:pPr>
            <w:hyperlink r:id="rId138">
              <w:r>
                <w:rPr>
                  <w:rFonts w:ascii="Calibri" w:hAnsi="Calibri" w:eastAsia="Microsoft YaHei"/>
                  <w:color w:val="008C95"/>
                  <w:u w:val="single"/>
                </w:rPr>
                <w:t>打开原始来源 ↗</w:t>
              </w:r>
            </w:hyperlink>
          </w:p>
        </w:tc>
      </w:tr>
      <w:tr>
        <w:trPr>
          <w:cantSplit/>
        </w:trPr>
        <w:tc>
          <w:tcPr>
            <w:tcW w:type="dxa" w:w="600"/>
          </w:tcPr>
          <w:p>
            <w:pPr>
              <w:keepLines/>
              <w:spacing w:after="0" w:line="276" w:lineRule="auto"/>
            </w:pPr>
            <w:r>
              <w:rPr>
                <w:rFonts w:ascii="Calibri" w:hAnsi="Calibri" w:eastAsia="Microsoft YaHei"/>
                <w:color w:val="0B2545"/>
                <w:sz w:val="13"/>
              </w:rPr>
              <w:t>2020</w:t>
            </w:r>
          </w:p>
        </w:tc>
        <w:tc>
          <w:tcPr>
            <w:tcW w:type="dxa" w:w="1600"/>
          </w:tcPr>
          <w:p>
            <w:pPr>
              <w:keepLines/>
              <w:spacing w:after="0" w:line="276" w:lineRule="auto"/>
            </w:pPr>
            <w:r>
              <w:rPr>
                <w:rFonts w:ascii="Calibri" w:hAnsi="Calibri" w:eastAsia="Microsoft YaHei"/>
                <w:color w:val="0B2545"/>
                <w:sz w:val="13"/>
              </w:rPr>
              <w:t>S.S. Denk; R. Fischer; E. Poli; O. Maj; S.K. Nielsen; J. Rasmussen; M. Stejner; M. Willensdorfer</w:t>
            </w:r>
          </w:p>
        </w:tc>
        <w:tc>
          <w:tcPr>
            <w:tcW w:type="dxa" w:w="3200"/>
          </w:tcPr>
          <w:p>
            <w:pPr>
              <w:keepLines/>
              <w:spacing w:after="0" w:line="276" w:lineRule="auto"/>
            </w:pPr>
            <w:r>
              <w:rPr>
                <w:rFonts w:ascii="Calibri" w:hAnsi="Calibri" w:eastAsia="Microsoft YaHei"/>
                <w:color w:val="0B2545"/>
                <w:sz w:val="13"/>
              </w:rPr>
              <w:t>ECRad: An electron cyclotron radiation transport solver for advanced data analysis in thermal and non-thermal fusion plasmas</w:t>
            </w:r>
          </w:p>
        </w:tc>
        <w:tc>
          <w:tcPr>
            <w:tcW w:type="dxa" w:w="1700"/>
          </w:tcPr>
          <w:p>
            <w:pPr>
              <w:keepLines/>
              <w:spacing w:after="0" w:line="276" w:lineRule="auto"/>
            </w:pPr>
            <w:r>
              <w:rPr>
                <w:rFonts w:ascii="Calibri" w:hAnsi="Calibri" w:eastAsia="Microsoft YaHei"/>
                <w:color w:val="0B2545"/>
                <w:sz w:val="13"/>
              </w:rPr>
              <w:t>Computer Physics Communications</w:t>
            </w:r>
          </w:p>
        </w:tc>
        <w:tc>
          <w:tcPr>
            <w:tcW w:type="dxa" w:w="2260"/>
          </w:tcPr>
          <w:p>
            <w:pPr>
              <w:keepLines/>
              <w:spacing w:after="0" w:line="276" w:lineRule="auto"/>
            </w:pPr>
            <w:hyperlink r:id="rId175">
              <w:r>
                <w:rPr>
                  <w:rFonts w:ascii="Calibri" w:hAnsi="Calibri" w:eastAsia="Microsoft YaHei"/>
                  <w:color w:val="008C95"/>
                  <w:u w:val="single"/>
                </w:rPr>
                <w:t>打开原始来源 ↗</w:t>
              </w:r>
            </w:hyperlink>
          </w:p>
        </w:tc>
      </w:tr>
      <w:tr>
        <w:trPr>
          <w:cantSplit/>
        </w:trPr>
        <w:tc>
          <w:tcPr>
            <w:tcW w:type="dxa" w:w="600"/>
          </w:tcPr>
          <w:p>
            <w:pPr>
              <w:keepLines/>
              <w:spacing w:after="0" w:line="276" w:lineRule="auto"/>
            </w:pPr>
            <w:r>
              <w:rPr>
                <w:rFonts w:ascii="Calibri" w:hAnsi="Calibri" w:eastAsia="Microsoft YaHei"/>
                <w:color w:val="0B2545"/>
                <w:sz w:val="13"/>
              </w:rPr>
              <w:t>2020</w:t>
            </w:r>
          </w:p>
        </w:tc>
        <w:tc>
          <w:tcPr>
            <w:tcW w:type="dxa" w:w="1600"/>
          </w:tcPr>
          <w:p>
            <w:pPr>
              <w:keepLines/>
              <w:spacing w:after="0" w:line="276" w:lineRule="auto"/>
            </w:pPr>
            <w:r>
              <w:rPr>
                <w:rFonts w:ascii="Calibri" w:hAnsi="Calibri" w:eastAsia="Microsoft YaHei"/>
                <w:color w:val="0B2545"/>
                <w:sz w:val="13"/>
              </w:rPr>
              <w:t>F. Matos; J. Svensson; A. Pavone; T. Odstrčil; F. Jenko</w:t>
            </w:r>
          </w:p>
        </w:tc>
        <w:tc>
          <w:tcPr>
            <w:tcW w:type="dxa" w:w="3200"/>
          </w:tcPr>
          <w:p>
            <w:pPr>
              <w:keepLines/>
              <w:spacing w:after="0" w:line="276" w:lineRule="auto"/>
            </w:pPr>
            <w:r>
              <w:rPr>
                <w:rFonts w:ascii="Calibri" w:hAnsi="Calibri" w:eastAsia="Microsoft YaHei"/>
                <w:color w:val="0B2545"/>
                <w:sz w:val="13"/>
              </w:rPr>
              <w:t>Deep learning for Gaussian process soft x-ray tomography model selection in the ASDEX Upgrade tokamak</w:t>
            </w:r>
          </w:p>
        </w:tc>
        <w:tc>
          <w:tcPr>
            <w:tcW w:type="dxa" w:w="1700"/>
          </w:tcPr>
          <w:p>
            <w:pPr>
              <w:keepLines/>
              <w:spacing w:after="0" w:line="276" w:lineRule="auto"/>
            </w:pPr>
            <w:r>
              <w:rPr>
                <w:rFonts w:ascii="Calibri" w:hAnsi="Calibri" w:eastAsia="Microsoft YaHei"/>
                <w:color w:val="0B2545"/>
                <w:sz w:val="13"/>
              </w:rPr>
              <w:t>Review of Scientific Instruments</w:t>
            </w:r>
          </w:p>
        </w:tc>
        <w:tc>
          <w:tcPr>
            <w:tcW w:type="dxa" w:w="2260"/>
          </w:tcPr>
          <w:p>
            <w:pPr>
              <w:keepLines/>
              <w:spacing w:after="0" w:line="276" w:lineRule="auto"/>
            </w:pPr>
            <w:hyperlink r:id="rId77">
              <w:r>
                <w:rPr>
                  <w:rFonts w:ascii="Calibri" w:hAnsi="Calibri" w:eastAsia="Microsoft YaHei"/>
                  <w:color w:val="008C95"/>
                  <w:u w:val="single"/>
                </w:rPr>
                <w:t>打开原始来源 ↗</w:t>
              </w:r>
            </w:hyperlink>
          </w:p>
        </w:tc>
      </w:tr>
      <w:tr>
        <w:trPr>
          <w:cantSplit/>
        </w:trPr>
        <w:tc>
          <w:tcPr>
            <w:tcW w:type="dxa" w:w="600"/>
          </w:tcPr>
          <w:p>
            <w:pPr>
              <w:keepLines/>
              <w:spacing w:after="0" w:line="276" w:lineRule="auto"/>
            </w:pPr>
            <w:r>
              <w:rPr>
                <w:rFonts w:ascii="Calibri" w:hAnsi="Calibri" w:eastAsia="Microsoft YaHei"/>
                <w:color w:val="0B2545"/>
                <w:sz w:val="13"/>
              </w:rPr>
              <w:t>2020</w:t>
            </w:r>
          </w:p>
        </w:tc>
        <w:tc>
          <w:tcPr>
            <w:tcW w:type="dxa" w:w="1600"/>
          </w:tcPr>
          <w:p>
            <w:pPr>
              <w:keepLines/>
              <w:spacing w:after="0" w:line="276" w:lineRule="auto"/>
            </w:pPr>
            <w:r>
              <w:rPr>
                <w:rFonts w:ascii="Calibri" w:hAnsi="Calibri" w:eastAsia="Microsoft YaHei"/>
                <w:color w:val="0B2545"/>
                <w:sz w:val="13"/>
              </w:rPr>
              <w:t>M. Romanelli; R. Coelho; D. Coster; J. Ferreira; L. Fleury; S. Henderson; J. Hollocombe; F. Imbeaux; T. Jonsson; L. Kogan; O. Meneghini; A. Merle; et al. (19 authors)</w:t>
            </w:r>
          </w:p>
        </w:tc>
        <w:tc>
          <w:tcPr>
            <w:tcW w:type="dxa" w:w="3200"/>
          </w:tcPr>
          <w:p>
            <w:pPr>
              <w:keepLines/>
              <w:spacing w:after="0" w:line="276" w:lineRule="auto"/>
            </w:pPr>
            <w:r>
              <w:rPr>
                <w:rFonts w:ascii="Calibri" w:hAnsi="Calibri" w:eastAsia="Microsoft YaHei"/>
                <w:color w:val="0B2545"/>
                <w:sz w:val="13"/>
              </w:rPr>
              <w:t>Code Integration, Data Verification, and Models Validation Using the ITER Integrated Modeling and Analysis System (IMAS) in EUROfusion</w:t>
            </w:r>
          </w:p>
        </w:tc>
        <w:tc>
          <w:tcPr>
            <w:tcW w:type="dxa" w:w="1700"/>
          </w:tcPr>
          <w:p>
            <w:pPr>
              <w:keepLines/>
              <w:spacing w:after="0" w:line="276" w:lineRule="auto"/>
            </w:pPr>
            <w:r>
              <w:rPr>
                <w:rFonts w:ascii="Calibri" w:hAnsi="Calibri" w:eastAsia="Microsoft YaHei"/>
                <w:color w:val="0B2545"/>
                <w:sz w:val="13"/>
              </w:rPr>
              <w:t>Fusion Science and Technology</w:t>
            </w:r>
          </w:p>
        </w:tc>
        <w:tc>
          <w:tcPr>
            <w:tcW w:type="dxa" w:w="2260"/>
          </w:tcPr>
          <w:p>
            <w:pPr>
              <w:keepLines/>
              <w:spacing w:after="0" w:line="276" w:lineRule="auto"/>
            </w:pPr>
            <w:hyperlink r:id="rId15">
              <w:r>
                <w:rPr>
                  <w:rFonts w:ascii="Calibri" w:hAnsi="Calibri" w:eastAsia="Microsoft YaHei"/>
                  <w:color w:val="008C95"/>
                  <w:u w:val="single"/>
                </w:rPr>
                <w:t>打开原始来源 ↗</w:t>
              </w:r>
            </w:hyperlink>
          </w:p>
        </w:tc>
      </w:tr>
      <w:tr>
        <w:trPr>
          <w:cantSplit/>
        </w:trPr>
        <w:tc>
          <w:tcPr>
            <w:tcW w:type="dxa" w:w="600"/>
          </w:tcPr>
          <w:p>
            <w:pPr>
              <w:keepLines/>
              <w:spacing w:after="0" w:line="276" w:lineRule="auto"/>
            </w:pPr>
            <w:r>
              <w:rPr>
                <w:rFonts w:ascii="Calibri" w:hAnsi="Calibri" w:eastAsia="Microsoft YaHei"/>
                <w:color w:val="0B2545"/>
                <w:sz w:val="13"/>
              </w:rPr>
              <w:t>2020</w:t>
            </w:r>
          </w:p>
        </w:tc>
        <w:tc>
          <w:tcPr>
            <w:tcW w:type="dxa" w:w="1600"/>
          </w:tcPr>
          <w:p>
            <w:pPr>
              <w:keepLines/>
              <w:spacing w:after="0" w:line="276" w:lineRule="auto"/>
            </w:pPr>
            <w:r>
              <w:rPr>
                <w:rFonts w:ascii="Calibri" w:hAnsi="Calibri" w:eastAsia="Microsoft YaHei"/>
                <w:color w:val="0B2545"/>
                <w:sz w:val="13"/>
              </w:rPr>
              <w:t>A. D. Melnik; V. I. Afanasyev; V. I. Davydenko; A. V. Kolmogorov; M. I. Mironov; A. S. Navolotsky; V. G. Nesenevich; M. P. Petrov; S. Ya. Petrov; F. V. Chernyshev</w:t>
            </w:r>
          </w:p>
        </w:tc>
        <w:tc>
          <w:tcPr>
            <w:tcW w:type="dxa" w:w="3200"/>
          </w:tcPr>
          <w:p>
            <w:pPr>
              <w:keepLines/>
              <w:spacing w:after="0" w:line="276" w:lineRule="auto"/>
            </w:pPr>
            <w:r>
              <w:rPr>
                <w:rFonts w:ascii="Calibri" w:hAnsi="Calibri" w:eastAsia="Microsoft YaHei"/>
                <w:color w:val="0B2545"/>
                <w:sz w:val="13"/>
              </w:rPr>
              <w:t>Bench tests of a helium ion source for the neutral particle diagnostic system of the ITER tokamak</w:t>
            </w:r>
          </w:p>
        </w:tc>
        <w:tc>
          <w:tcPr>
            <w:tcW w:type="dxa" w:w="1700"/>
          </w:tcPr>
          <w:p>
            <w:pPr>
              <w:keepLines/>
              <w:spacing w:after="0" w:line="276" w:lineRule="auto"/>
            </w:pPr>
            <w:r>
              <w:rPr>
                <w:rFonts w:ascii="Calibri" w:hAnsi="Calibri" w:eastAsia="Microsoft YaHei"/>
                <w:color w:val="0B2545"/>
                <w:sz w:val="13"/>
              </w:rPr>
              <w:t>Review of Scientific Instruments</w:t>
            </w:r>
          </w:p>
        </w:tc>
        <w:tc>
          <w:tcPr>
            <w:tcW w:type="dxa" w:w="2260"/>
          </w:tcPr>
          <w:p>
            <w:pPr>
              <w:keepLines/>
              <w:spacing w:after="0" w:line="276" w:lineRule="auto"/>
            </w:pPr>
            <w:hyperlink r:id="rId65">
              <w:r>
                <w:rPr>
                  <w:rFonts w:ascii="Calibri" w:hAnsi="Calibri" w:eastAsia="Microsoft YaHei"/>
                  <w:color w:val="008C95"/>
                  <w:u w:val="single"/>
                </w:rPr>
                <w:t>打开原始来源 ↗</w:t>
              </w:r>
            </w:hyperlink>
          </w:p>
        </w:tc>
      </w:tr>
      <w:tr>
        <w:trPr>
          <w:cantSplit/>
        </w:trPr>
        <w:tc>
          <w:tcPr>
            <w:tcW w:type="dxa" w:w="600"/>
          </w:tcPr>
          <w:p>
            <w:pPr>
              <w:keepLines/>
              <w:spacing w:after="0" w:line="276" w:lineRule="auto"/>
            </w:pPr>
            <w:r>
              <w:rPr>
                <w:rFonts w:ascii="Calibri" w:hAnsi="Calibri" w:eastAsia="Microsoft YaHei"/>
                <w:color w:val="0B2545"/>
                <w:sz w:val="13"/>
              </w:rPr>
              <w:t>2020</w:t>
            </w:r>
          </w:p>
        </w:tc>
        <w:tc>
          <w:tcPr>
            <w:tcW w:type="dxa" w:w="1600"/>
          </w:tcPr>
          <w:p>
            <w:pPr>
              <w:keepLines/>
              <w:spacing w:after="0" w:line="276" w:lineRule="auto"/>
            </w:pPr>
            <w:r>
              <w:rPr>
                <w:rFonts w:ascii="Calibri" w:hAnsi="Calibri" w:eastAsia="Microsoft YaHei"/>
                <w:color w:val="0B2545"/>
                <w:sz w:val="13"/>
              </w:rPr>
              <w:t>S. Schmuck; J. Svensson; L. Figini; D. Micheletti; R.B. Morales</w:t>
            </w:r>
          </w:p>
        </w:tc>
        <w:tc>
          <w:tcPr>
            <w:tcW w:type="dxa" w:w="3200"/>
          </w:tcPr>
          <w:p>
            <w:pPr>
              <w:keepLines/>
              <w:spacing w:after="0" w:line="276" w:lineRule="auto"/>
            </w:pPr>
            <w:r>
              <w:rPr>
                <w:rFonts w:ascii="Calibri" w:hAnsi="Calibri" w:eastAsia="Microsoft YaHei"/>
                <w:color w:val="0B2545"/>
                <w:sz w:val="13"/>
              </w:rPr>
              <w:t>Bayesian inference using JET’s microwave diagnostic system</w:t>
            </w:r>
          </w:p>
        </w:tc>
        <w:tc>
          <w:tcPr>
            <w:tcW w:type="dxa" w:w="1700"/>
          </w:tcPr>
          <w:p>
            <w:pPr>
              <w:keepLines/>
              <w:spacing w:after="0" w:line="276" w:lineRule="auto"/>
            </w:pPr>
            <w:r>
              <w:rPr>
                <w:rFonts w:ascii="Calibri" w:hAnsi="Calibri" w:eastAsia="Microsoft YaHei"/>
                <w:color w:val="0B2545"/>
                <w:sz w:val="13"/>
              </w:rPr>
              <w:t>Nuclear Fusion</w:t>
            </w:r>
          </w:p>
        </w:tc>
        <w:tc>
          <w:tcPr>
            <w:tcW w:type="dxa" w:w="2260"/>
          </w:tcPr>
          <w:p>
            <w:pPr>
              <w:keepLines/>
              <w:spacing w:after="0" w:line="276" w:lineRule="auto"/>
            </w:pPr>
            <w:hyperlink r:id="rId199">
              <w:r>
                <w:rPr>
                  <w:rFonts w:ascii="Calibri" w:hAnsi="Calibri" w:eastAsia="Microsoft YaHei"/>
                  <w:color w:val="008C95"/>
                  <w:u w:val="single"/>
                </w:rPr>
                <w:t>打开原始来源 ↗</w:t>
              </w:r>
            </w:hyperlink>
          </w:p>
        </w:tc>
      </w:tr>
      <w:tr>
        <w:trPr>
          <w:cantSplit/>
        </w:trPr>
        <w:tc>
          <w:tcPr>
            <w:tcW w:type="dxa" w:w="600"/>
          </w:tcPr>
          <w:p>
            <w:pPr>
              <w:keepLines/>
              <w:spacing w:after="0" w:line="276" w:lineRule="auto"/>
            </w:pPr>
            <w:r>
              <w:rPr>
                <w:rFonts w:ascii="Calibri" w:hAnsi="Calibri" w:eastAsia="Microsoft YaHei"/>
                <w:color w:val="0B2545"/>
                <w:sz w:val="13"/>
              </w:rPr>
              <w:t>2019</w:t>
            </w:r>
          </w:p>
        </w:tc>
        <w:tc>
          <w:tcPr>
            <w:tcW w:type="dxa" w:w="1600"/>
          </w:tcPr>
          <w:p>
            <w:pPr>
              <w:keepLines/>
              <w:spacing w:after="0" w:line="276" w:lineRule="auto"/>
            </w:pPr>
            <w:r>
              <w:rPr>
                <w:rFonts w:ascii="Calibri" w:hAnsi="Calibri" w:eastAsia="Microsoft YaHei"/>
                <w:color w:val="0B2545"/>
                <w:sz w:val="13"/>
              </w:rPr>
              <w:t>M.M. Xue; D.L. Chen; B. Shen; Y. Wang; T.H. Shi; H.H. Wang; Y.W. Sun; J.P. Qian; H. Xiao; B.J. Xiao</w:t>
            </w:r>
          </w:p>
        </w:tc>
        <w:tc>
          <w:tcPr>
            <w:tcW w:type="dxa" w:w="3200"/>
          </w:tcPr>
          <w:p>
            <w:pPr>
              <w:keepLines/>
              <w:spacing w:after="0" w:line="276" w:lineRule="auto"/>
            </w:pPr>
            <w:r>
              <w:rPr>
                <w:rFonts w:ascii="Calibri" w:hAnsi="Calibri" w:eastAsia="Microsoft YaHei"/>
                <w:color w:val="0B2545"/>
                <w:sz w:val="13"/>
              </w:rPr>
              <w:t>Upgrade of poloidal field coils current measurement system on Experimental Advanced Superconducting Tokamak</w:t>
            </w:r>
          </w:p>
        </w:tc>
        <w:tc>
          <w:tcPr>
            <w:tcW w:type="dxa" w:w="1700"/>
          </w:tcPr>
          <w:p>
            <w:pPr>
              <w:keepLines/>
              <w:spacing w:after="0" w:line="276" w:lineRule="auto"/>
            </w:pPr>
            <w:r>
              <w:rPr>
                <w:rFonts w:ascii="Calibri" w:hAnsi="Calibri" w:eastAsia="Microsoft YaHei"/>
                <w:color w:val="0B2545"/>
                <w:sz w:val="13"/>
              </w:rPr>
              <w:t>Fusion Engineering and Design</w:t>
            </w:r>
          </w:p>
        </w:tc>
        <w:tc>
          <w:tcPr>
            <w:tcW w:type="dxa" w:w="2260"/>
          </w:tcPr>
          <w:p>
            <w:pPr>
              <w:keepLines/>
              <w:spacing w:after="0" w:line="276" w:lineRule="auto"/>
            </w:pPr>
            <w:hyperlink r:id="rId41">
              <w:r>
                <w:rPr>
                  <w:rFonts w:ascii="Calibri" w:hAnsi="Calibri" w:eastAsia="Microsoft YaHei"/>
                  <w:color w:val="008C95"/>
                  <w:u w:val="single"/>
                </w:rPr>
                <w:t>打开原始来源 ↗</w:t>
              </w:r>
            </w:hyperlink>
          </w:p>
        </w:tc>
      </w:tr>
      <w:tr>
        <w:trPr>
          <w:cantSplit/>
        </w:trPr>
        <w:tc>
          <w:tcPr>
            <w:tcW w:type="dxa" w:w="600"/>
          </w:tcPr>
          <w:p>
            <w:pPr>
              <w:keepLines/>
              <w:spacing w:after="0" w:line="276" w:lineRule="auto"/>
            </w:pPr>
            <w:r>
              <w:rPr>
                <w:rFonts w:ascii="Calibri" w:hAnsi="Calibri" w:eastAsia="Microsoft YaHei"/>
                <w:color w:val="0B2545"/>
                <w:sz w:val="13"/>
              </w:rPr>
              <w:t>2019</w:t>
            </w:r>
          </w:p>
        </w:tc>
        <w:tc>
          <w:tcPr>
            <w:tcW w:type="dxa" w:w="1600"/>
          </w:tcPr>
          <w:p>
            <w:pPr>
              <w:keepLines/>
              <w:spacing w:after="0" w:line="276" w:lineRule="auto"/>
            </w:pPr>
            <w:r>
              <w:rPr>
                <w:rFonts w:ascii="Calibri" w:hAnsi="Calibri" w:eastAsia="Microsoft YaHei"/>
                <w:color w:val="0B2545"/>
                <w:sz w:val="13"/>
              </w:rPr>
              <w:t>J. H. Yu; M. J. Baldwin; M. J. Simmonds; A. Založnik</w:t>
            </w:r>
          </w:p>
        </w:tc>
        <w:tc>
          <w:tcPr>
            <w:tcW w:type="dxa" w:w="3200"/>
          </w:tcPr>
          <w:p>
            <w:pPr>
              <w:keepLines/>
              <w:spacing w:after="0" w:line="276" w:lineRule="auto"/>
            </w:pPr>
            <w:r>
              <w:rPr>
                <w:rFonts w:ascii="Calibri" w:hAnsi="Calibri" w:eastAsia="Microsoft YaHei"/>
                <w:color w:val="0B2545"/>
                <w:sz w:val="13"/>
              </w:rPr>
              <w:t>Time-resolved laser-induced desorption spectroscopy (LIDS) for quantified in-situ hydrogen isotope retention measurement and removal from plasma facing materials</w:t>
            </w:r>
          </w:p>
        </w:tc>
        <w:tc>
          <w:tcPr>
            <w:tcW w:type="dxa" w:w="1700"/>
          </w:tcPr>
          <w:p>
            <w:pPr>
              <w:keepLines/>
              <w:spacing w:after="0" w:line="276" w:lineRule="auto"/>
            </w:pPr>
            <w:r>
              <w:rPr>
                <w:rFonts w:ascii="Calibri" w:hAnsi="Calibri" w:eastAsia="Microsoft YaHei"/>
                <w:color w:val="0B2545"/>
                <w:sz w:val="13"/>
              </w:rPr>
              <w:t>Review of Scientific Instruments</w:t>
            </w:r>
          </w:p>
        </w:tc>
        <w:tc>
          <w:tcPr>
            <w:tcW w:type="dxa" w:w="2260"/>
          </w:tcPr>
          <w:p>
            <w:pPr>
              <w:keepLines/>
              <w:spacing w:after="0" w:line="276" w:lineRule="auto"/>
            </w:pPr>
            <w:hyperlink r:id="rId124">
              <w:r>
                <w:rPr>
                  <w:rFonts w:ascii="Calibri" w:hAnsi="Calibri" w:eastAsia="Microsoft YaHei"/>
                  <w:color w:val="008C95"/>
                  <w:u w:val="single"/>
                </w:rPr>
                <w:t>打开原始来源 ↗</w:t>
              </w:r>
            </w:hyperlink>
          </w:p>
        </w:tc>
      </w:tr>
      <w:tr>
        <w:trPr>
          <w:cantSplit/>
        </w:trPr>
        <w:tc>
          <w:tcPr>
            <w:tcW w:type="dxa" w:w="600"/>
          </w:tcPr>
          <w:p>
            <w:pPr>
              <w:keepLines/>
              <w:spacing w:after="0" w:line="276" w:lineRule="auto"/>
            </w:pPr>
            <w:r>
              <w:rPr>
                <w:rFonts w:ascii="Calibri" w:hAnsi="Calibri" w:eastAsia="Microsoft YaHei"/>
                <w:color w:val="0B2545"/>
                <w:sz w:val="13"/>
              </w:rPr>
              <w:t>2019</w:t>
            </w:r>
          </w:p>
        </w:tc>
        <w:tc>
          <w:tcPr>
            <w:tcW w:type="dxa" w:w="1600"/>
          </w:tcPr>
          <w:p>
            <w:pPr>
              <w:keepLines/>
              <w:spacing w:after="0" w:line="276" w:lineRule="auto"/>
            </w:pPr>
            <w:r>
              <w:rPr>
                <w:rFonts w:ascii="Calibri" w:hAnsi="Calibri" w:eastAsia="Microsoft YaHei"/>
                <w:color w:val="0B2545"/>
                <w:sz w:val="13"/>
              </w:rPr>
              <w:t>Fabio Moro; Basilio Esposito; Daniele Marocco; Salvatore Podda; Fulvio Pompili; Marco Riva; Davide Flammini; Andrea Colangeli; Ryszard Kantor</w:t>
            </w:r>
          </w:p>
        </w:tc>
        <w:tc>
          <w:tcPr>
            <w:tcW w:type="dxa" w:w="3200"/>
          </w:tcPr>
          <w:p>
            <w:pPr>
              <w:keepLines/>
              <w:spacing w:after="0" w:line="276" w:lineRule="auto"/>
            </w:pPr>
            <w:r>
              <w:rPr>
                <w:rFonts w:ascii="Calibri" w:hAnsi="Calibri" w:eastAsia="Microsoft YaHei"/>
                <w:color w:val="0B2545"/>
                <w:sz w:val="13"/>
              </w:rPr>
              <w:t>The ITER radial neutron camera in-port system: Nuclear analyses in support of its design development</w:t>
            </w:r>
          </w:p>
        </w:tc>
        <w:tc>
          <w:tcPr>
            <w:tcW w:type="dxa" w:w="1700"/>
          </w:tcPr>
          <w:p>
            <w:pPr>
              <w:keepLines/>
              <w:spacing w:after="0" w:line="276" w:lineRule="auto"/>
            </w:pPr>
            <w:r>
              <w:rPr>
                <w:rFonts w:ascii="Calibri" w:hAnsi="Calibri" w:eastAsia="Microsoft YaHei"/>
                <w:color w:val="0B2545"/>
                <w:sz w:val="13"/>
              </w:rPr>
              <w:t>Fusion Engineering and Design</w:t>
            </w:r>
          </w:p>
        </w:tc>
        <w:tc>
          <w:tcPr>
            <w:tcW w:type="dxa" w:w="2260"/>
          </w:tcPr>
          <w:p>
            <w:pPr>
              <w:keepLines/>
              <w:spacing w:after="0" w:line="276" w:lineRule="auto"/>
            </w:pPr>
            <w:hyperlink r:id="rId89">
              <w:r>
                <w:rPr>
                  <w:rFonts w:ascii="Calibri" w:hAnsi="Calibri" w:eastAsia="Microsoft YaHei"/>
                  <w:color w:val="008C95"/>
                  <w:u w:val="single"/>
                </w:rPr>
                <w:t>打开原始来源 ↗</w:t>
              </w:r>
            </w:hyperlink>
          </w:p>
        </w:tc>
      </w:tr>
      <w:tr>
        <w:trPr>
          <w:cantSplit/>
        </w:trPr>
        <w:tc>
          <w:tcPr>
            <w:tcW w:type="dxa" w:w="600"/>
          </w:tcPr>
          <w:p>
            <w:pPr>
              <w:keepLines/>
              <w:spacing w:after="0" w:line="276" w:lineRule="auto"/>
            </w:pPr>
            <w:r>
              <w:rPr>
                <w:rFonts w:ascii="Calibri" w:hAnsi="Calibri" w:eastAsia="Microsoft YaHei"/>
                <w:color w:val="0B2545"/>
                <w:sz w:val="13"/>
              </w:rPr>
              <w:t>2019</w:t>
            </w:r>
          </w:p>
        </w:tc>
        <w:tc>
          <w:tcPr>
            <w:tcW w:type="dxa" w:w="1600"/>
          </w:tcPr>
          <w:p>
            <w:pPr>
              <w:keepLines/>
              <w:spacing w:after="0" w:line="276" w:lineRule="auto"/>
            </w:pPr>
            <w:r>
              <w:rPr>
                <w:rFonts w:ascii="Calibri" w:hAnsi="Calibri" w:eastAsia="Microsoft YaHei"/>
                <w:color w:val="0B2545"/>
                <w:sz w:val="13"/>
              </w:rPr>
              <w:t>M. Cecconello; R. Miklaszewski; D. Marocco; S. Conroy; F. Moro; B. Esposito; S. Podda; B. Bienkowska; A. Szydlowski</w:t>
            </w:r>
          </w:p>
        </w:tc>
        <w:tc>
          <w:tcPr>
            <w:tcW w:type="dxa" w:w="3200"/>
          </w:tcPr>
          <w:p>
            <w:pPr>
              <w:keepLines/>
              <w:spacing w:after="0" w:line="276" w:lineRule="auto"/>
            </w:pPr>
            <w:r>
              <w:rPr>
                <w:rFonts w:ascii="Calibri" w:hAnsi="Calibri" w:eastAsia="Microsoft YaHei"/>
                <w:color w:val="0B2545"/>
                <w:sz w:val="13"/>
              </w:rPr>
              <w:t>Strategy and guidelines for the calibration of the ITER Radial Neutron Camera</w:t>
            </w:r>
          </w:p>
        </w:tc>
        <w:tc>
          <w:tcPr>
            <w:tcW w:type="dxa" w:w="1700"/>
          </w:tcPr>
          <w:p>
            <w:pPr>
              <w:keepLines/>
              <w:spacing w:after="0" w:line="276" w:lineRule="auto"/>
            </w:pPr>
            <w:r>
              <w:rPr>
                <w:rFonts w:ascii="Calibri" w:hAnsi="Calibri" w:eastAsia="Microsoft YaHei"/>
                <w:color w:val="0B2545"/>
                <w:sz w:val="13"/>
              </w:rPr>
              <w:t>Fusion Engineering and Design</w:t>
            </w:r>
          </w:p>
        </w:tc>
        <w:tc>
          <w:tcPr>
            <w:tcW w:type="dxa" w:w="2260"/>
          </w:tcPr>
          <w:p>
            <w:pPr>
              <w:keepLines/>
              <w:spacing w:after="0" w:line="276" w:lineRule="auto"/>
            </w:pPr>
            <w:hyperlink r:id="rId33">
              <w:r>
                <w:rPr>
                  <w:rFonts w:ascii="Calibri" w:hAnsi="Calibri" w:eastAsia="Microsoft YaHei"/>
                  <w:color w:val="008C95"/>
                  <w:u w:val="single"/>
                </w:rPr>
                <w:t>打开原始来源 ↗</w:t>
              </w:r>
            </w:hyperlink>
          </w:p>
        </w:tc>
      </w:tr>
      <w:tr>
        <w:trPr>
          <w:cantSplit/>
        </w:trPr>
        <w:tc>
          <w:tcPr>
            <w:tcW w:type="dxa" w:w="600"/>
          </w:tcPr>
          <w:p>
            <w:pPr>
              <w:keepLines/>
              <w:spacing w:after="0" w:line="276" w:lineRule="auto"/>
            </w:pPr>
            <w:r>
              <w:rPr>
                <w:rFonts w:ascii="Calibri" w:hAnsi="Calibri" w:eastAsia="Microsoft YaHei"/>
                <w:color w:val="0B2545"/>
                <w:sz w:val="13"/>
              </w:rPr>
              <w:t>2019</w:t>
            </w:r>
          </w:p>
        </w:tc>
        <w:tc>
          <w:tcPr>
            <w:tcW w:type="dxa" w:w="1600"/>
          </w:tcPr>
          <w:p>
            <w:pPr>
              <w:keepLines/>
              <w:spacing w:after="0" w:line="276" w:lineRule="auto"/>
            </w:pPr>
            <w:r>
              <w:rPr>
                <w:rFonts w:ascii="Calibri" w:hAnsi="Calibri" w:eastAsia="Microsoft YaHei"/>
                <w:color w:val="0B2545"/>
                <w:sz w:val="13"/>
              </w:rPr>
              <w:t>Ivan Ďuran; Slavomír Entler; Ondřej Grover; Inessa Bolshakova; Karel Výborný; Martin Kočan; Tomáš Jirman; George Vayakis; Oleksandr Vasyliev; Maksym Radishevskyi; Zhenxing Wang; Daniel Neumaier</w:t>
            </w:r>
          </w:p>
        </w:tc>
        <w:tc>
          <w:tcPr>
            <w:tcW w:type="dxa" w:w="3200"/>
          </w:tcPr>
          <w:p>
            <w:pPr>
              <w:keepLines/>
              <w:spacing w:after="0" w:line="276" w:lineRule="auto"/>
            </w:pPr>
            <w:r>
              <w:rPr>
                <w:rFonts w:ascii="Calibri" w:hAnsi="Calibri" w:eastAsia="Microsoft YaHei"/>
                <w:color w:val="0B2545"/>
                <w:sz w:val="13"/>
              </w:rPr>
              <w:t>Status of steady-state magnetic diagnostic for ITER and outlook for possible materials of Hall sensors for DEMO</w:t>
            </w:r>
          </w:p>
        </w:tc>
        <w:tc>
          <w:tcPr>
            <w:tcW w:type="dxa" w:w="1700"/>
          </w:tcPr>
          <w:p>
            <w:pPr>
              <w:keepLines/>
              <w:spacing w:after="0" w:line="276" w:lineRule="auto"/>
            </w:pPr>
            <w:r>
              <w:rPr>
                <w:rFonts w:ascii="Calibri" w:hAnsi="Calibri" w:eastAsia="Microsoft YaHei"/>
                <w:color w:val="0B2545"/>
                <w:sz w:val="13"/>
              </w:rPr>
              <w:t>Fusion Engineering and Design</w:t>
            </w:r>
          </w:p>
        </w:tc>
        <w:tc>
          <w:tcPr>
            <w:tcW w:type="dxa" w:w="2260"/>
          </w:tcPr>
          <w:p>
            <w:pPr>
              <w:keepLines/>
              <w:spacing w:after="0" w:line="276" w:lineRule="auto"/>
            </w:pPr>
            <w:hyperlink r:id="rId38">
              <w:r>
                <w:rPr>
                  <w:rFonts w:ascii="Calibri" w:hAnsi="Calibri" w:eastAsia="Microsoft YaHei"/>
                  <w:color w:val="008C95"/>
                  <w:u w:val="single"/>
                </w:rPr>
                <w:t>打开原始来源 ↗</w:t>
              </w:r>
            </w:hyperlink>
          </w:p>
        </w:tc>
      </w:tr>
      <w:tr>
        <w:trPr>
          <w:cantSplit/>
        </w:trPr>
        <w:tc>
          <w:tcPr>
            <w:tcW w:type="dxa" w:w="600"/>
          </w:tcPr>
          <w:p>
            <w:pPr>
              <w:keepLines/>
              <w:spacing w:after="0" w:line="276" w:lineRule="auto"/>
            </w:pPr>
            <w:r>
              <w:rPr>
                <w:rFonts w:ascii="Calibri" w:hAnsi="Calibri" w:eastAsia="Microsoft YaHei"/>
                <w:color w:val="0B2545"/>
                <w:sz w:val="13"/>
              </w:rPr>
              <w:t>2019</w:t>
            </w:r>
          </w:p>
        </w:tc>
        <w:tc>
          <w:tcPr>
            <w:tcW w:type="dxa" w:w="1600"/>
          </w:tcPr>
          <w:p>
            <w:pPr>
              <w:keepLines/>
              <w:spacing w:after="0" w:line="276" w:lineRule="auto"/>
            </w:pPr>
            <w:r>
              <w:rPr>
                <w:rFonts w:ascii="Calibri" w:hAnsi="Calibri" w:eastAsia="Microsoft YaHei"/>
                <w:color w:val="0B2545"/>
                <w:sz w:val="13"/>
              </w:rPr>
              <w:t>S. Entler; I. Duran; M. Kocan; G. Vayakis; M. Kohout; J. Sebek; P. Sladek; O. Grover; K. Vyborny</w:t>
            </w:r>
          </w:p>
        </w:tc>
        <w:tc>
          <w:tcPr>
            <w:tcW w:type="dxa" w:w="3200"/>
          </w:tcPr>
          <w:p>
            <w:pPr>
              <w:keepLines/>
              <w:spacing w:after="0" w:line="276" w:lineRule="auto"/>
            </w:pPr>
            <w:r>
              <w:rPr>
                <w:rFonts w:ascii="Calibri" w:hAnsi="Calibri" w:eastAsia="Microsoft YaHei"/>
                <w:color w:val="0B2545"/>
                <w:sz w:val="13"/>
              </w:rPr>
              <w:t>Prospects for the steady-state magnetic diagnostic based on antimony Hall sensors for future fusion power reactors</w:t>
            </w:r>
          </w:p>
        </w:tc>
        <w:tc>
          <w:tcPr>
            <w:tcW w:type="dxa" w:w="1700"/>
          </w:tcPr>
          <w:p>
            <w:pPr>
              <w:keepLines/>
              <w:spacing w:after="0" w:line="276" w:lineRule="auto"/>
            </w:pPr>
            <w:r>
              <w:rPr>
                <w:rFonts w:ascii="Calibri" w:hAnsi="Calibri" w:eastAsia="Microsoft YaHei"/>
                <w:color w:val="0B2545"/>
                <w:sz w:val="13"/>
              </w:rPr>
              <w:t>Fusion Engineering and Design</w:t>
            </w:r>
          </w:p>
        </w:tc>
        <w:tc>
          <w:tcPr>
            <w:tcW w:type="dxa" w:w="2260"/>
          </w:tcPr>
          <w:p>
            <w:pPr>
              <w:keepLines/>
              <w:spacing w:after="0" w:line="276" w:lineRule="auto"/>
            </w:pPr>
            <w:hyperlink r:id="rId39">
              <w:r>
                <w:rPr>
                  <w:rFonts w:ascii="Calibri" w:hAnsi="Calibri" w:eastAsia="Microsoft YaHei"/>
                  <w:color w:val="008C95"/>
                  <w:u w:val="single"/>
                </w:rPr>
                <w:t>打开原始来源 ↗</w:t>
              </w:r>
            </w:hyperlink>
          </w:p>
        </w:tc>
      </w:tr>
      <w:tr>
        <w:trPr>
          <w:cantSplit/>
        </w:trPr>
        <w:tc>
          <w:tcPr>
            <w:tcW w:type="dxa" w:w="600"/>
          </w:tcPr>
          <w:p>
            <w:pPr>
              <w:keepLines/>
              <w:spacing w:after="0" w:line="276" w:lineRule="auto"/>
            </w:pPr>
            <w:r>
              <w:rPr>
                <w:rFonts w:ascii="Calibri" w:hAnsi="Calibri" w:eastAsia="Microsoft YaHei"/>
                <w:color w:val="0B2545"/>
                <w:sz w:val="13"/>
              </w:rPr>
              <w:t>2019</w:t>
            </w:r>
          </w:p>
        </w:tc>
        <w:tc>
          <w:tcPr>
            <w:tcW w:type="dxa" w:w="1600"/>
          </w:tcPr>
          <w:p>
            <w:pPr>
              <w:keepLines/>
              <w:spacing w:after="0" w:line="276" w:lineRule="auto"/>
            </w:pPr>
            <w:r>
              <w:rPr>
                <w:rFonts w:ascii="Calibri" w:hAnsi="Calibri" w:eastAsia="Microsoft YaHei"/>
                <w:color w:val="0B2545"/>
                <w:sz w:val="13"/>
              </w:rPr>
              <w:t>Julian Kates-Harbeck; Alexey Svyatkovskiy; William Tang</w:t>
            </w:r>
          </w:p>
        </w:tc>
        <w:tc>
          <w:tcPr>
            <w:tcW w:type="dxa" w:w="3200"/>
          </w:tcPr>
          <w:p>
            <w:pPr>
              <w:keepLines/>
              <w:spacing w:after="0" w:line="276" w:lineRule="auto"/>
            </w:pPr>
            <w:r>
              <w:rPr>
                <w:rFonts w:ascii="Calibri" w:hAnsi="Calibri" w:eastAsia="Microsoft YaHei"/>
                <w:color w:val="0B2545"/>
                <w:sz w:val="13"/>
              </w:rPr>
              <w:t>Predicting disruptive instabilities in controlled fusion plasmas through deep learning</w:t>
            </w:r>
          </w:p>
        </w:tc>
        <w:tc>
          <w:tcPr>
            <w:tcW w:type="dxa" w:w="1700"/>
          </w:tcPr>
          <w:p>
            <w:pPr>
              <w:keepLines/>
              <w:spacing w:after="0" w:line="276" w:lineRule="auto"/>
            </w:pPr>
            <w:r>
              <w:rPr>
                <w:rFonts w:ascii="Calibri" w:hAnsi="Calibri" w:eastAsia="Microsoft YaHei"/>
                <w:color w:val="0B2545"/>
                <w:sz w:val="13"/>
              </w:rPr>
              <w:t>Nature</w:t>
            </w:r>
          </w:p>
        </w:tc>
        <w:tc>
          <w:tcPr>
            <w:tcW w:type="dxa" w:w="2260"/>
          </w:tcPr>
          <w:p>
            <w:pPr>
              <w:keepLines/>
              <w:spacing w:after="0" w:line="276" w:lineRule="auto"/>
            </w:pPr>
            <w:hyperlink r:id="rId215">
              <w:r>
                <w:rPr>
                  <w:rFonts w:ascii="Calibri" w:hAnsi="Calibri" w:eastAsia="Microsoft YaHei"/>
                  <w:color w:val="008C95"/>
                  <w:u w:val="single"/>
                </w:rPr>
                <w:t>打开原始来源 ↗</w:t>
              </w:r>
            </w:hyperlink>
          </w:p>
        </w:tc>
      </w:tr>
      <w:tr>
        <w:trPr>
          <w:cantSplit/>
        </w:trPr>
        <w:tc>
          <w:tcPr>
            <w:tcW w:type="dxa" w:w="600"/>
          </w:tcPr>
          <w:p>
            <w:pPr>
              <w:keepLines/>
              <w:spacing w:after="0" w:line="276" w:lineRule="auto"/>
            </w:pPr>
            <w:r>
              <w:rPr>
                <w:rFonts w:ascii="Calibri" w:hAnsi="Calibri" w:eastAsia="Microsoft YaHei"/>
                <w:color w:val="0B2545"/>
                <w:sz w:val="13"/>
              </w:rPr>
              <w:t>2019</w:t>
            </w:r>
          </w:p>
        </w:tc>
        <w:tc>
          <w:tcPr>
            <w:tcW w:type="dxa" w:w="1600"/>
          </w:tcPr>
          <w:p>
            <w:pPr>
              <w:keepLines/>
              <w:spacing w:after="0" w:line="276" w:lineRule="auto"/>
            </w:pPr>
            <w:r>
              <w:rPr>
                <w:rFonts w:ascii="Calibri" w:hAnsi="Calibri" w:eastAsia="Microsoft YaHei"/>
                <w:color w:val="0B2545"/>
                <w:sz w:val="13"/>
              </w:rPr>
              <w:t>H. Meister; F. Penzel; Z. Szabo-Balint; R. Reichle; L.C. Ingesson</w:t>
            </w:r>
          </w:p>
        </w:tc>
        <w:tc>
          <w:tcPr>
            <w:tcW w:type="dxa" w:w="3200"/>
          </w:tcPr>
          <w:p>
            <w:pPr>
              <w:keepLines/>
              <w:spacing w:after="0" w:line="276" w:lineRule="auto"/>
            </w:pPr>
            <w:r>
              <w:rPr>
                <w:rFonts w:ascii="Calibri" w:hAnsi="Calibri" w:eastAsia="Microsoft YaHei"/>
                <w:color w:val="0B2545"/>
                <w:sz w:val="13"/>
              </w:rPr>
              <w:t>Performance estimations for the ITER bolometer diagnostic</w:t>
            </w:r>
          </w:p>
        </w:tc>
        <w:tc>
          <w:tcPr>
            <w:tcW w:type="dxa" w:w="1700"/>
          </w:tcPr>
          <w:p>
            <w:pPr>
              <w:keepLines/>
              <w:spacing w:after="0" w:line="276" w:lineRule="auto"/>
            </w:pPr>
            <w:r>
              <w:rPr>
                <w:rFonts w:ascii="Calibri" w:hAnsi="Calibri" w:eastAsia="Microsoft YaHei"/>
                <w:color w:val="0B2545"/>
                <w:sz w:val="13"/>
              </w:rPr>
              <w:t>Fusion Engineering and Design</w:t>
            </w:r>
          </w:p>
        </w:tc>
        <w:tc>
          <w:tcPr>
            <w:tcW w:type="dxa" w:w="2260"/>
          </w:tcPr>
          <w:p>
            <w:pPr>
              <w:keepLines/>
              <w:spacing w:after="0" w:line="276" w:lineRule="auto"/>
            </w:pPr>
            <w:hyperlink r:id="rId72">
              <w:r>
                <w:rPr>
                  <w:rFonts w:ascii="Calibri" w:hAnsi="Calibri" w:eastAsia="Microsoft YaHei"/>
                  <w:color w:val="008C95"/>
                  <w:u w:val="single"/>
                </w:rPr>
                <w:t>打开原始来源 ↗</w:t>
              </w:r>
            </w:hyperlink>
          </w:p>
        </w:tc>
      </w:tr>
      <w:tr>
        <w:trPr>
          <w:cantSplit/>
        </w:trPr>
        <w:tc>
          <w:tcPr>
            <w:tcW w:type="dxa" w:w="600"/>
          </w:tcPr>
          <w:p>
            <w:pPr>
              <w:keepLines/>
              <w:spacing w:after="0" w:line="276" w:lineRule="auto"/>
            </w:pPr>
            <w:r>
              <w:rPr>
                <w:rFonts w:ascii="Calibri" w:hAnsi="Calibri" w:eastAsia="Microsoft YaHei"/>
                <w:color w:val="0B2545"/>
                <w:sz w:val="13"/>
              </w:rPr>
              <w:t>2019</w:t>
            </w:r>
          </w:p>
        </w:tc>
        <w:tc>
          <w:tcPr>
            <w:tcW w:type="dxa" w:w="1600"/>
          </w:tcPr>
          <w:p>
            <w:pPr>
              <w:keepLines/>
              <w:spacing w:after="0" w:line="276" w:lineRule="auto"/>
            </w:pPr>
            <w:r>
              <w:rPr>
                <w:rFonts w:ascii="Calibri" w:hAnsi="Calibri" w:eastAsia="Microsoft YaHei"/>
                <w:color w:val="0B2545"/>
                <w:sz w:val="13"/>
              </w:rPr>
              <w:t>K. Fukui; K. Kamiy; K. Natsume; K. Kawano; T. Isono; K. Kizu; H. Murakami; K. Tsuchiya; R. Heller</w:t>
            </w:r>
          </w:p>
        </w:tc>
        <w:tc>
          <w:tcPr>
            <w:tcW w:type="dxa" w:w="3200"/>
          </w:tcPr>
          <w:p>
            <w:pPr>
              <w:keepLines/>
              <w:spacing w:after="0" w:line="276" w:lineRule="auto"/>
            </w:pPr>
            <w:r>
              <w:rPr>
                <w:rFonts w:ascii="Calibri" w:hAnsi="Calibri" w:eastAsia="Microsoft YaHei"/>
                <w:color w:val="0B2545"/>
                <w:sz w:val="13"/>
              </w:rPr>
              <w:t>Monitoring and control of the magnet system of JT-60SA</w:t>
            </w:r>
          </w:p>
        </w:tc>
        <w:tc>
          <w:tcPr>
            <w:tcW w:type="dxa" w:w="1700"/>
          </w:tcPr>
          <w:p>
            <w:pPr>
              <w:keepLines/>
              <w:spacing w:after="0" w:line="276" w:lineRule="auto"/>
            </w:pPr>
            <w:r>
              <w:rPr>
                <w:rFonts w:ascii="Calibri" w:hAnsi="Calibri" w:eastAsia="Microsoft YaHei"/>
                <w:color w:val="0B2545"/>
                <w:sz w:val="13"/>
              </w:rPr>
              <w:t>Fusion Engineering and Design</w:t>
            </w:r>
          </w:p>
        </w:tc>
        <w:tc>
          <w:tcPr>
            <w:tcW w:type="dxa" w:w="2260"/>
          </w:tcPr>
          <w:p>
            <w:pPr>
              <w:keepLines/>
              <w:spacing w:after="0" w:line="276" w:lineRule="auto"/>
            </w:pPr>
            <w:hyperlink r:id="rId131">
              <w:r>
                <w:rPr>
                  <w:rFonts w:ascii="Calibri" w:hAnsi="Calibri" w:eastAsia="Microsoft YaHei"/>
                  <w:color w:val="008C95"/>
                  <w:u w:val="single"/>
                </w:rPr>
                <w:t>打开原始来源 ↗</w:t>
              </w:r>
            </w:hyperlink>
          </w:p>
        </w:tc>
      </w:tr>
      <w:tr>
        <w:trPr>
          <w:cantSplit/>
        </w:trPr>
        <w:tc>
          <w:tcPr>
            <w:tcW w:type="dxa" w:w="600"/>
          </w:tcPr>
          <w:p>
            <w:pPr>
              <w:keepLines/>
              <w:spacing w:after="0" w:line="276" w:lineRule="auto"/>
            </w:pPr>
            <w:r>
              <w:rPr>
                <w:rFonts w:ascii="Calibri" w:hAnsi="Calibri" w:eastAsia="Microsoft YaHei"/>
                <w:color w:val="0B2545"/>
                <w:sz w:val="13"/>
              </w:rPr>
              <w:t>2019</w:t>
            </w:r>
          </w:p>
        </w:tc>
        <w:tc>
          <w:tcPr>
            <w:tcW w:type="dxa" w:w="1600"/>
          </w:tcPr>
          <w:p>
            <w:pPr>
              <w:keepLines/>
              <w:spacing w:after="0" w:line="276" w:lineRule="auto"/>
            </w:pPr>
            <w:r>
              <w:rPr>
                <w:rFonts w:ascii="Calibri" w:hAnsi="Calibri" w:eastAsia="Microsoft YaHei"/>
                <w:color w:val="0B2545"/>
                <w:sz w:val="13"/>
              </w:rPr>
              <w:t>Divertor spectroscopy team</w:t>
            </w:r>
          </w:p>
        </w:tc>
        <w:tc>
          <w:tcPr>
            <w:tcW w:type="dxa" w:w="3200"/>
          </w:tcPr>
          <w:p>
            <w:pPr>
              <w:keepLines/>
              <w:spacing w:after="0" w:line="276" w:lineRule="auto"/>
            </w:pPr>
            <w:r>
              <w:rPr>
                <w:rFonts w:ascii="Calibri" w:hAnsi="Calibri" w:eastAsia="Microsoft YaHei"/>
                <w:color w:val="0B2545"/>
                <w:sz w:val="13"/>
              </w:rPr>
              <w:t>Inference of divertor ionisation and recombination from Balmer spectroscopy</w:t>
            </w:r>
          </w:p>
        </w:tc>
        <w:tc>
          <w:tcPr>
            <w:tcW w:type="dxa" w:w="1700"/>
          </w:tcPr>
          <w:p>
            <w:pPr>
              <w:keepLines/>
              <w:spacing w:after="0" w:line="276" w:lineRule="auto"/>
            </w:pPr>
            <w:r>
              <w:rPr>
                <w:rFonts w:ascii="Calibri" w:hAnsi="Calibri" w:eastAsia="Microsoft YaHei"/>
                <w:color w:val="0B2545"/>
                <w:sz w:val="13"/>
              </w:rPr>
              <w:t>arXiv</w:t>
            </w:r>
          </w:p>
        </w:tc>
        <w:tc>
          <w:tcPr>
            <w:tcW w:type="dxa" w:w="2260"/>
          </w:tcPr>
          <w:p>
            <w:pPr>
              <w:keepLines/>
              <w:spacing w:after="0" w:line="276" w:lineRule="auto"/>
            </w:pPr>
            <w:hyperlink r:id="rId120">
              <w:r>
                <w:rPr>
                  <w:rFonts w:ascii="Calibri" w:hAnsi="Calibri" w:eastAsia="Microsoft YaHei"/>
                  <w:color w:val="008C95"/>
                  <w:u w:val="single"/>
                </w:rPr>
                <w:t>打开原始来源 ↗</w:t>
              </w:r>
            </w:hyperlink>
          </w:p>
        </w:tc>
      </w:tr>
      <w:tr>
        <w:trPr>
          <w:cantSplit/>
        </w:trPr>
        <w:tc>
          <w:tcPr>
            <w:tcW w:type="dxa" w:w="600"/>
          </w:tcPr>
          <w:p>
            <w:pPr>
              <w:keepLines/>
              <w:spacing w:after="0" w:line="276" w:lineRule="auto"/>
            </w:pPr>
            <w:r>
              <w:rPr>
                <w:rFonts w:ascii="Calibri" w:hAnsi="Calibri" w:eastAsia="Microsoft YaHei"/>
                <w:color w:val="0B2545"/>
                <w:sz w:val="13"/>
              </w:rPr>
              <w:t>2019</w:t>
            </w:r>
          </w:p>
        </w:tc>
        <w:tc>
          <w:tcPr>
            <w:tcW w:type="dxa" w:w="1600"/>
          </w:tcPr>
          <w:p>
            <w:pPr>
              <w:keepLines/>
              <w:spacing w:after="0" w:line="276" w:lineRule="auto"/>
            </w:pPr>
            <w:r>
              <w:rPr>
                <w:rFonts w:ascii="Calibri" w:hAnsi="Calibri" w:eastAsia="Microsoft YaHei"/>
                <w:color w:val="0B2545"/>
                <w:sz w:val="13"/>
              </w:rPr>
              <w:t>未完整列出</w:t>
            </w:r>
          </w:p>
        </w:tc>
        <w:tc>
          <w:tcPr>
            <w:tcW w:type="dxa" w:w="3200"/>
          </w:tcPr>
          <w:p>
            <w:pPr>
              <w:keepLines/>
              <w:spacing w:after="0" w:line="276" w:lineRule="auto"/>
            </w:pPr>
            <w:r>
              <w:rPr>
                <w:rFonts w:ascii="Calibri" w:hAnsi="Calibri" w:eastAsia="Microsoft YaHei"/>
                <w:color w:val="0B2545"/>
                <w:sz w:val="13"/>
              </w:rPr>
              <w:t>High-performance orbit-following code ASCOT5 for Monte Carlo simulations in fusion plasmas</w:t>
            </w:r>
          </w:p>
        </w:tc>
        <w:tc>
          <w:tcPr>
            <w:tcW w:type="dxa" w:w="1700"/>
          </w:tcPr>
          <w:p>
            <w:pPr>
              <w:keepLines/>
              <w:spacing w:after="0" w:line="276" w:lineRule="auto"/>
            </w:pPr>
            <w:r>
              <w:rPr>
                <w:rFonts w:ascii="Calibri" w:hAnsi="Calibri" w:eastAsia="Microsoft YaHei"/>
                <w:color w:val="0B2545"/>
                <w:sz w:val="13"/>
              </w:rPr>
              <w:t>原始论文 / 官方来源</w:t>
            </w:r>
          </w:p>
        </w:tc>
        <w:tc>
          <w:tcPr>
            <w:tcW w:type="dxa" w:w="2260"/>
          </w:tcPr>
          <w:p>
            <w:pPr>
              <w:keepLines/>
              <w:spacing w:after="0" w:line="276" w:lineRule="auto"/>
            </w:pPr>
            <w:hyperlink r:id="rId180">
              <w:r>
                <w:rPr>
                  <w:rFonts w:ascii="Calibri" w:hAnsi="Calibri" w:eastAsia="Microsoft YaHei"/>
                  <w:color w:val="008C95"/>
                  <w:u w:val="single"/>
                </w:rPr>
                <w:t>打开原始来源 ↗</w:t>
              </w:r>
            </w:hyperlink>
          </w:p>
        </w:tc>
      </w:tr>
      <w:tr>
        <w:trPr>
          <w:cantSplit/>
        </w:trPr>
        <w:tc>
          <w:tcPr>
            <w:tcW w:type="dxa" w:w="600"/>
          </w:tcPr>
          <w:p>
            <w:pPr>
              <w:keepLines/>
              <w:spacing w:after="0" w:line="276" w:lineRule="auto"/>
            </w:pPr>
            <w:r>
              <w:rPr>
                <w:rFonts w:ascii="Calibri" w:hAnsi="Calibri" w:eastAsia="Microsoft YaHei"/>
                <w:color w:val="0B2545"/>
                <w:sz w:val="13"/>
              </w:rPr>
              <w:t>2019</w:t>
            </w:r>
          </w:p>
        </w:tc>
        <w:tc>
          <w:tcPr>
            <w:tcW w:type="dxa" w:w="1600"/>
          </w:tcPr>
          <w:p>
            <w:pPr>
              <w:keepLines/>
              <w:spacing w:after="0" w:line="276" w:lineRule="auto"/>
            </w:pPr>
            <w:r>
              <w:rPr>
                <w:rFonts w:ascii="Calibri" w:hAnsi="Calibri" w:eastAsia="Microsoft YaHei"/>
                <w:color w:val="0B2545"/>
                <w:sz w:val="13"/>
              </w:rPr>
              <w:t>M.M. Xue; B. Shen; D.L. Chen; Y. Wang; T.H. Shi; H.H. Wang; Y.W. Sun; J.P. Qian; H. Xiao; B.J. Xiao</w:t>
            </w:r>
          </w:p>
        </w:tc>
        <w:tc>
          <w:tcPr>
            <w:tcW w:type="dxa" w:w="3200"/>
          </w:tcPr>
          <w:p>
            <w:pPr>
              <w:keepLines/>
              <w:spacing w:after="0" w:line="276" w:lineRule="auto"/>
            </w:pPr>
            <w:r>
              <w:rPr>
                <w:rFonts w:ascii="Calibri" w:hAnsi="Calibri" w:eastAsia="Microsoft YaHei"/>
                <w:color w:val="0B2545"/>
                <w:sz w:val="13"/>
              </w:rPr>
              <w:t>Fiber-optic current sensor for plasma current on experimental advanced superconducting tokamak</w:t>
            </w:r>
          </w:p>
        </w:tc>
        <w:tc>
          <w:tcPr>
            <w:tcW w:type="dxa" w:w="1700"/>
          </w:tcPr>
          <w:p>
            <w:pPr>
              <w:keepLines/>
              <w:spacing w:after="0" w:line="276" w:lineRule="auto"/>
            </w:pPr>
            <w:r>
              <w:rPr>
                <w:rFonts w:ascii="Calibri" w:hAnsi="Calibri" w:eastAsia="Microsoft YaHei"/>
                <w:color w:val="0B2545"/>
                <w:sz w:val="13"/>
              </w:rPr>
              <w:t>Fusion Engineering and Design</w:t>
            </w:r>
          </w:p>
        </w:tc>
        <w:tc>
          <w:tcPr>
            <w:tcW w:type="dxa" w:w="2260"/>
          </w:tcPr>
          <w:p>
            <w:pPr>
              <w:keepLines/>
              <w:spacing w:after="0" w:line="276" w:lineRule="auto"/>
            </w:pPr>
            <w:hyperlink r:id="rId40">
              <w:r>
                <w:rPr>
                  <w:rFonts w:ascii="Calibri" w:hAnsi="Calibri" w:eastAsia="Microsoft YaHei"/>
                  <w:color w:val="008C95"/>
                  <w:u w:val="single"/>
                </w:rPr>
                <w:t>打开原始来源 ↗</w:t>
              </w:r>
            </w:hyperlink>
          </w:p>
        </w:tc>
      </w:tr>
      <w:tr>
        <w:trPr>
          <w:cantSplit/>
        </w:trPr>
        <w:tc>
          <w:tcPr>
            <w:tcW w:type="dxa" w:w="600"/>
          </w:tcPr>
          <w:p>
            <w:pPr>
              <w:keepLines/>
              <w:spacing w:after="0" w:line="276" w:lineRule="auto"/>
            </w:pPr>
            <w:r>
              <w:rPr>
                <w:rFonts w:ascii="Calibri" w:hAnsi="Calibri" w:eastAsia="Microsoft YaHei"/>
                <w:color w:val="0B2545"/>
                <w:sz w:val="13"/>
              </w:rPr>
              <w:t>2019</w:t>
            </w:r>
          </w:p>
        </w:tc>
        <w:tc>
          <w:tcPr>
            <w:tcW w:type="dxa" w:w="1600"/>
          </w:tcPr>
          <w:p>
            <w:pPr>
              <w:keepLines/>
              <w:spacing w:after="0" w:line="276" w:lineRule="auto"/>
            </w:pPr>
            <w:r>
              <w:rPr>
                <w:rFonts w:ascii="Calibri" w:hAnsi="Calibri" w:eastAsia="Microsoft YaHei"/>
                <w:color w:val="0B2545"/>
                <w:sz w:val="13"/>
              </w:rPr>
              <w:t>Doğuş Karabulut; Anton Miazin; Andrei Gusarov; Philippe Moreau; Willem Leysen; Patrice Mégret; Marc Wuilpart</w:t>
            </w:r>
          </w:p>
        </w:tc>
        <w:tc>
          <w:tcPr>
            <w:tcW w:type="dxa" w:w="3200"/>
          </w:tcPr>
          <w:p>
            <w:pPr>
              <w:keepLines/>
              <w:spacing w:after="0" w:line="276" w:lineRule="auto"/>
            </w:pPr>
            <w:r>
              <w:rPr>
                <w:rFonts w:ascii="Calibri" w:hAnsi="Calibri" w:eastAsia="Microsoft YaHei"/>
                <w:color w:val="0B2545"/>
                <w:sz w:val="13"/>
              </w:rPr>
              <w:t>Effect of Faraday mirror imperfections in a fiber optic current sensor dedicated to ITER</w:t>
            </w:r>
          </w:p>
        </w:tc>
        <w:tc>
          <w:tcPr>
            <w:tcW w:type="dxa" w:w="1700"/>
          </w:tcPr>
          <w:p>
            <w:pPr>
              <w:keepLines/>
              <w:spacing w:after="0" w:line="276" w:lineRule="auto"/>
            </w:pPr>
            <w:r>
              <w:rPr>
                <w:rFonts w:ascii="Calibri" w:hAnsi="Calibri" w:eastAsia="Microsoft YaHei"/>
                <w:color w:val="0B2545"/>
                <w:sz w:val="13"/>
              </w:rPr>
              <w:t>Fusion Engineering and Design</w:t>
            </w:r>
          </w:p>
        </w:tc>
        <w:tc>
          <w:tcPr>
            <w:tcW w:type="dxa" w:w="2260"/>
          </w:tcPr>
          <w:p>
            <w:pPr>
              <w:keepLines/>
              <w:spacing w:after="0" w:line="276" w:lineRule="auto"/>
            </w:pPr>
            <w:hyperlink r:id="rId42">
              <w:r>
                <w:rPr>
                  <w:rFonts w:ascii="Calibri" w:hAnsi="Calibri" w:eastAsia="Microsoft YaHei"/>
                  <w:color w:val="008C95"/>
                  <w:u w:val="single"/>
                </w:rPr>
                <w:t>打开原始来源 ↗</w:t>
              </w:r>
            </w:hyperlink>
          </w:p>
        </w:tc>
      </w:tr>
      <w:tr>
        <w:trPr>
          <w:cantSplit/>
        </w:trPr>
        <w:tc>
          <w:tcPr>
            <w:tcW w:type="dxa" w:w="600"/>
          </w:tcPr>
          <w:p>
            <w:pPr>
              <w:keepLines/>
              <w:spacing w:after="0" w:line="276" w:lineRule="auto"/>
            </w:pPr>
            <w:r>
              <w:rPr>
                <w:rFonts w:ascii="Calibri" w:hAnsi="Calibri" w:eastAsia="Microsoft YaHei"/>
                <w:color w:val="0B2545"/>
                <w:sz w:val="13"/>
              </w:rPr>
              <w:t>2019</w:t>
            </w:r>
          </w:p>
        </w:tc>
        <w:tc>
          <w:tcPr>
            <w:tcW w:type="dxa" w:w="1600"/>
          </w:tcPr>
          <w:p>
            <w:pPr>
              <w:keepLines/>
              <w:spacing w:after="0" w:line="276" w:lineRule="auto"/>
            </w:pPr>
            <w:r>
              <w:rPr>
                <w:rFonts w:ascii="Calibri" w:hAnsi="Calibri" w:eastAsia="Microsoft YaHei"/>
                <w:color w:val="0B2545"/>
                <w:sz w:val="13"/>
              </w:rPr>
              <w:t>Salvatore Almaviva; Luisa Caneve; Francesco Colao; Giorgio Maddaluno</w:t>
            </w:r>
          </w:p>
        </w:tc>
        <w:tc>
          <w:tcPr>
            <w:tcW w:type="dxa" w:w="3200"/>
          </w:tcPr>
          <w:p>
            <w:pPr>
              <w:keepLines/>
              <w:spacing w:after="0" w:line="276" w:lineRule="auto"/>
            </w:pPr>
            <w:r>
              <w:rPr>
                <w:rFonts w:ascii="Calibri" w:hAnsi="Calibri" w:eastAsia="Microsoft YaHei"/>
                <w:color w:val="0B2545"/>
                <w:sz w:val="13"/>
              </w:rPr>
              <w:t>Deuterium detection and quantification by laser-induced breakdown spectroscopy and calibration-free analysis in ITER relevant samples</w:t>
            </w:r>
          </w:p>
        </w:tc>
        <w:tc>
          <w:tcPr>
            <w:tcW w:type="dxa" w:w="1700"/>
          </w:tcPr>
          <w:p>
            <w:pPr>
              <w:keepLines/>
              <w:spacing w:after="0" w:line="276" w:lineRule="auto"/>
            </w:pPr>
            <w:r>
              <w:rPr>
                <w:rFonts w:ascii="Calibri" w:hAnsi="Calibri" w:eastAsia="Microsoft YaHei"/>
                <w:color w:val="0B2545"/>
                <w:sz w:val="13"/>
              </w:rPr>
              <w:t>Fusion Engineering and Design</w:t>
            </w:r>
          </w:p>
        </w:tc>
        <w:tc>
          <w:tcPr>
            <w:tcW w:type="dxa" w:w="2260"/>
          </w:tcPr>
          <w:p>
            <w:pPr>
              <w:keepLines/>
              <w:spacing w:after="0" w:line="276" w:lineRule="auto"/>
            </w:pPr>
            <w:hyperlink r:id="rId123">
              <w:r>
                <w:rPr>
                  <w:rFonts w:ascii="Calibri" w:hAnsi="Calibri" w:eastAsia="Microsoft YaHei"/>
                  <w:color w:val="008C95"/>
                  <w:u w:val="single"/>
                </w:rPr>
                <w:t>打开原始来源 ↗</w:t>
              </w:r>
            </w:hyperlink>
          </w:p>
        </w:tc>
      </w:tr>
      <w:tr>
        <w:trPr>
          <w:cantSplit/>
        </w:trPr>
        <w:tc>
          <w:tcPr>
            <w:tcW w:type="dxa" w:w="600"/>
          </w:tcPr>
          <w:p>
            <w:pPr>
              <w:keepLines/>
              <w:spacing w:after="0" w:line="276" w:lineRule="auto"/>
            </w:pPr>
            <w:r>
              <w:rPr>
                <w:rFonts w:ascii="Calibri" w:hAnsi="Calibri" w:eastAsia="Microsoft YaHei"/>
                <w:color w:val="0B2545"/>
                <w:sz w:val="13"/>
              </w:rPr>
              <w:t>2019</w:t>
            </w:r>
          </w:p>
        </w:tc>
        <w:tc>
          <w:tcPr>
            <w:tcW w:type="dxa" w:w="1600"/>
          </w:tcPr>
          <w:p>
            <w:pPr>
              <w:keepLines/>
              <w:spacing w:after="0" w:line="276" w:lineRule="auto"/>
            </w:pPr>
            <w:r>
              <w:rPr>
                <w:rFonts w:ascii="Calibri" w:hAnsi="Calibri" w:eastAsia="Microsoft YaHei"/>
                <w:color w:val="0B2545"/>
                <w:sz w:val="13"/>
              </w:rPr>
              <w:t>未完整列出</w:t>
            </w:r>
          </w:p>
        </w:tc>
        <w:tc>
          <w:tcPr>
            <w:tcW w:type="dxa" w:w="3200"/>
          </w:tcPr>
          <w:p>
            <w:pPr>
              <w:keepLines/>
              <w:spacing w:after="0" w:line="276" w:lineRule="auto"/>
            </w:pPr>
            <w:r>
              <w:rPr>
                <w:rFonts w:ascii="Calibri" w:hAnsi="Calibri" w:eastAsia="Microsoft YaHei"/>
                <w:color w:val="0B2545"/>
                <w:sz w:val="13"/>
              </w:rPr>
              <w:t>Comparative study of fast-ion diagnostics using orbit-following simulations</w:t>
            </w:r>
          </w:p>
        </w:tc>
        <w:tc>
          <w:tcPr>
            <w:tcW w:type="dxa" w:w="1700"/>
          </w:tcPr>
          <w:p>
            <w:pPr>
              <w:keepLines/>
              <w:spacing w:after="0" w:line="276" w:lineRule="auto"/>
            </w:pPr>
            <w:r>
              <w:rPr>
                <w:rFonts w:ascii="Calibri" w:hAnsi="Calibri" w:eastAsia="Microsoft YaHei"/>
                <w:color w:val="0B2545"/>
                <w:sz w:val="13"/>
              </w:rPr>
              <w:t>原始论文 / 官方来源</w:t>
            </w:r>
          </w:p>
        </w:tc>
        <w:tc>
          <w:tcPr>
            <w:tcW w:type="dxa" w:w="2260"/>
          </w:tcPr>
          <w:p>
            <w:pPr>
              <w:keepLines/>
              <w:spacing w:after="0" w:line="276" w:lineRule="auto"/>
            </w:pPr>
            <w:hyperlink r:id="rId181">
              <w:r>
                <w:rPr>
                  <w:rFonts w:ascii="Calibri" w:hAnsi="Calibri" w:eastAsia="Microsoft YaHei"/>
                  <w:color w:val="008C95"/>
                  <w:u w:val="single"/>
                </w:rPr>
                <w:t>打开原始来源 ↗</w:t>
              </w:r>
            </w:hyperlink>
          </w:p>
        </w:tc>
      </w:tr>
      <w:tr>
        <w:trPr>
          <w:cantSplit/>
        </w:trPr>
        <w:tc>
          <w:tcPr>
            <w:tcW w:type="dxa" w:w="600"/>
          </w:tcPr>
          <w:p>
            <w:pPr>
              <w:keepLines/>
              <w:spacing w:after="0" w:line="276" w:lineRule="auto"/>
            </w:pPr>
            <w:r>
              <w:rPr>
                <w:rFonts w:ascii="Calibri" w:hAnsi="Calibri" w:eastAsia="Microsoft YaHei"/>
                <w:color w:val="0B2545"/>
                <w:sz w:val="13"/>
              </w:rPr>
              <w:t>2018</w:t>
            </w:r>
          </w:p>
        </w:tc>
        <w:tc>
          <w:tcPr>
            <w:tcW w:type="dxa" w:w="1600"/>
          </w:tcPr>
          <w:p>
            <w:pPr>
              <w:keepLines/>
              <w:spacing w:after="0" w:line="276" w:lineRule="auto"/>
            </w:pPr>
            <w:r>
              <w:rPr>
                <w:rFonts w:ascii="Calibri" w:hAnsi="Calibri" w:eastAsia="Microsoft YaHei"/>
                <w:color w:val="0B2545"/>
                <w:sz w:val="13"/>
              </w:rPr>
              <w:t>未完整列出</w:t>
            </w:r>
          </w:p>
        </w:tc>
        <w:tc>
          <w:tcPr>
            <w:tcW w:type="dxa" w:w="3200"/>
          </w:tcPr>
          <w:p>
            <w:pPr>
              <w:keepLines/>
              <w:spacing w:after="0" w:line="276" w:lineRule="auto"/>
            </w:pPr>
            <w:r>
              <w:rPr>
                <w:rFonts w:ascii="Calibri" w:hAnsi="Calibri" w:eastAsia="Microsoft YaHei"/>
                <w:color w:val="0B2545"/>
                <w:sz w:val="13"/>
              </w:rPr>
              <w:t>The Design of Data Acquisition System for EAST Technical Diagnostic System</w:t>
            </w:r>
          </w:p>
        </w:tc>
        <w:tc>
          <w:tcPr>
            <w:tcW w:type="dxa" w:w="1700"/>
          </w:tcPr>
          <w:p>
            <w:pPr>
              <w:keepLines/>
              <w:spacing w:after="0" w:line="276" w:lineRule="auto"/>
            </w:pPr>
            <w:r>
              <w:rPr>
                <w:rFonts w:ascii="Calibri" w:hAnsi="Calibri" w:eastAsia="Microsoft YaHei"/>
                <w:color w:val="0B2545"/>
                <w:sz w:val="13"/>
              </w:rPr>
              <w:t>原始论文 / 官方来源</w:t>
            </w:r>
          </w:p>
        </w:tc>
        <w:tc>
          <w:tcPr>
            <w:tcW w:type="dxa" w:w="2260"/>
          </w:tcPr>
          <w:p>
            <w:pPr>
              <w:keepLines/>
              <w:spacing w:after="0" w:line="276" w:lineRule="auto"/>
            </w:pPr>
            <w:hyperlink r:id="rId133">
              <w:r>
                <w:rPr>
                  <w:rFonts w:ascii="Calibri" w:hAnsi="Calibri" w:eastAsia="Microsoft YaHei"/>
                  <w:color w:val="008C95"/>
                  <w:u w:val="single"/>
                </w:rPr>
                <w:t>打开原始来源 ↗</w:t>
              </w:r>
            </w:hyperlink>
          </w:p>
        </w:tc>
      </w:tr>
      <w:tr>
        <w:trPr>
          <w:cantSplit/>
        </w:trPr>
        <w:tc>
          <w:tcPr>
            <w:tcW w:type="dxa" w:w="600"/>
          </w:tcPr>
          <w:p>
            <w:pPr>
              <w:keepLines/>
              <w:spacing w:after="0" w:line="276" w:lineRule="auto"/>
            </w:pPr>
            <w:r>
              <w:rPr>
                <w:rFonts w:ascii="Calibri" w:hAnsi="Calibri" w:eastAsia="Microsoft YaHei"/>
                <w:color w:val="0B2545"/>
                <w:sz w:val="13"/>
              </w:rPr>
              <w:t>2018</w:t>
            </w:r>
          </w:p>
        </w:tc>
        <w:tc>
          <w:tcPr>
            <w:tcW w:type="dxa" w:w="1600"/>
          </w:tcPr>
          <w:p>
            <w:pPr>
              <w:keepLines/>
              <w:spacing w:after="0" w:line="276" w:lineRule="auto"/>
            </w:pPr>
            <w:r>
              <w:rPr>
                <w:rFonts w:ascii="Calibri" w:hAnsi="Calibri" w:eastAsia="Microsoft YaHei"/>
                <w:color w:val="0B2545"/>
                <w:sz w:val="13"/>
              </w:rPr>
              <w:t>M. Hoppe; O. Embréus; R.A. Tinguely; R.S. Granetz; A. Stahl; T. Fülöp</w:t>
            </w:r>
          </w:p>
        </w:tc>
        <w:tc>
          <w:tcPr>
            <w:tcW w:type="dxa" w:w="3200"/>
          </w:tcPr>
          <w:p>
            <w:pPr>
              <w:keepLines/>
              <w:spacing w:after="0" w:line="276" w:lineRule="auto"/>
            </w:pPr>
            <w:r>
              <w:rPr>
                <w:rFonts w:ascii="Calibri" w:hAnsi="Calibri" w:eastAsia="Microsoft YaHei"/>
                <w:color w:val="0B2545"/>
                <w:sz w:val="13"/>
              </w:rPr>
              <w:t>SOFT: a synthetic synchrotron diagnostic for runaway electrons</w:t>
            </w:r>
          </w:p>
        </w:tc>
        <w:tc>
          <w:tcPr>
            <w:tcW w:type="dxa" w:w="1700"/>
          </w:tcPr>
          <w:p>
            <w:pPr>
              <w:keepLines/>
              <w:spacing w:after="0" w:line="276" w:lineRule="auto"/>
            </w:pPr>
            <w:r>
              <w:rPr>
                <w:rFonts w:ascii="Calibri" w:hAnsi="Calibri" w:eastAsia="Microsoft YaHei"/>
                <w:color w:val="0B2545"/>
                <w:sz w:val="13"/>
              </w:rPr>
              <w:t>Nuclear Fusion</w:t>
            </w:r>
          </w:p>
        </w:tc>
        <w:tc>
          <w:tcPr>
            <w:tcW w:type="dxa" w:w="2260"/>
          </w:tcPr>
          <w:p>
            <w:pPr>
              <w:keepLines/>
              <w:spacing w:after="0" w:line="276" w:lineRule="auto"/>
            </w:pPr>
            <w:hyperlink r:id="rId167">
              <w:r>
                <w:rPr>
                  <w:rFonts w:ascii="Calibri" w:hAnsi="Calibri" w:eastAsia="Microsoft YaHei"/>
                  <w:color w:val="008C95"/>
                  <w:u w:val="single"/>
                </w:rPr>
                <w:t>打开原始来源 ↗</w:t>
              </w:r>
            </w:hyperlink>
          </w:p>
        </w:tc>
      </w:tr>
      <w:tr>
        <w:trPr>
          <w:cantSplit/>
        </w:trPr>
        <w:tc>
          <w:tcPr>
            <w:tcW w:type="dxa" w:w="600"/>
          </w:tcPr>
          <w:p>
            <w:pPr>
              <w:keepLines/>
              <w:spacing w:after="0" w:line="276" w:lineRule="auto"/>
            </w:pPr>
            <w:r>
              <w:rPr>
                <w:rFonts w:ascii="Calibri" w:hAnsi="Calibri" w:eastAsia="Microsoft YaHei"/>
                <w:color w:val="0B2545"/>
                <w:sz w:val="13"/>
              </w:rPr>
              <w:t>2018</w:t>
            </w:r>
          </w:p>
        </w:tc>
        <w:tc>
          <w:tcPr>
            <w:tcW w:type="dxa" w:w="1600"/>
          </w:tcPr>
          <w:p>
            <w:pPr>
              <w:keepLines/>
              <w:spacing w:after="0" w:line="276" w:lineRule="auto"/>
            </w:pPr>
            <w:r>
              <w:rPr>
                <w:rFonts w:ascii="Calibri" w:hAnsi="Calibri" w:eastAsia="Microsoft YaHei"/>
                <w:color w:val="0B2545"/>
                <w:sz w:val="13"/>
              </w:rPr>
              <w:t>未完整列出</w:t>
            </w:r>
          </w:p>
        </w:tc>
        <w:tc>
          <w:tcPr>
            <w:tcW w:type="dxa" w:w="3200"/>
          </w:tcPr>
          <w:p>
            <w:pPr>
              <w:keepLines/>
              <w:spacing w:after="0" w:line="276" w:lineRule="auto"/>
            </w:pPr>
            <w:r>
              <w:rPr>
                <w:rFonts w:ascii="Calibri" w:hAnsi="Calibri" w:eastAsia="Microsoft YaHei"/>
                <w:color w:val="0B2545"/>
                <w:sz w:val="13"/>
              </w:rPr>
              <w:t>Remote handling confirmed</w:t>
            </w:r>
          </w:p>
        </w:tc>
        <w:tc>
          <w:tcPr>
            <w:tcW w:type="dxa" w:w="1700"/>
          </w:tcPr>
          <w:p>
            <w:pPr>
              <w:keepLines/>
              <w:spacing w:after="0" w:line="276" w:lineRule="auto"/>
            </w:pPr>
            <w:r>
              <w:rPr>
                <w:rFonts w:ascii="Calibri" w:hAnsi="Calibri" w:eastAsia="Microsoft YaHei"/>
                <w:color w:val="0B2545"/>
                <w:sz w:val="13"/>
              </w:rPr>
              <w:t>原始论文 / 官方来源</w:t>
            </w:r>
          </w:p>
        </w:tc>
        <w:tc>
          <w:tcPr>
            <w:tcW w:type="dxa" w:w="2260"/>
          </w:tcPr>
          <w:p>
            <w:pPr>
              <w:keepLines/>
              <w:spacing w:after="0" w:line="276" w:lineRule="auto"/>
            </w:pPr>
            <w:hyperlink r:id="rId151">
              <w:r>
                <w:rPr>
                  <w:rFonts w:ascii="Calibri" w:hAnsi="Calibri" w:eastAsia="Microsoft YaHei"/>
                  <w:color w:val="008C95"/>
                  <w:u w:val="single"/>
                </w:rPr>
                <w:t>打开原始来源 ↗</w:t>
              </w:r>
            </w:hyperlink>
          </w:p>
        </w:tc>
      </w:tr>
      <w:tr>
        <w:trPr>
          <w:cantSplit/>
        </w:trPr>
        <w:tc>
          <w:tcPr>
            <w:tcW w:type="dxa" w:w="600"/>
          </w:tcPr>
          <w:p>
            <w:pPr>
              <w:keepLines/>
              <w:spacing w:after="0" w:line="276" w:lineRule="auto"/>
            </w:pPr>
            <w:r>
              <w:rPr>
                <w:rFonts w:ascii="Calibri" w:hAnsi="Calibri" w:eastAsia="Microsoft YaHei"/>
                <w:color w:val="0B2545"/>
                <w:sz w:val="13"/>
              </w:rPr>
              <w:t>2018</w:t>
            </w:r>
          </w:p>
        </w:tc>
        <w:tc>
          <w:tcPr>
            <w:tcW w:type="dxa" w:w="1600"/>
          </w:tcPr>
          <w:p>
            <w:pPr>
              <w:keepLines/>
              <w:spacing w:after="0" w:line="276" w:lineRule="auto"/>
            </w:pPr>
            <w:r>
              <w:rPr>
                <w:rFonts w:ascii="Calibri" w:hAnsi="Calibri" w:eastAsia="Microsoft YaHei"/>
                <w:color w:val="0B2545"/>
                <w:sz w:val="13"/>
              </w:rPr>
              <w:t>F. Felici; J. Citrin; A.A. Teplukhina; J. Redondo; C. Bourdelle; F. Imbeaux; O. Sauter</w:t>
            </w:r>
          </w:p>
        </w:tc>
        <w:tc>
          <w:tcPr>
            <w:tcW w:type="dxa" w:w="3200"/>
          </w:tcPr>
          <w:p>
            <w:pPr>
              <w:keepLines/>
              <w:spacing w:after="0" w:line="276" w:lineRule="auto"/>
            </w:pPr>
            <w:r>
              <w:rPr>
                <w:rFonts w:ascii="Calibri" w:hAnsi="Calibri" w:eastAsia="Microsoft YaHei"/>
                <w:color w:val="0B2545"/>
                <w:sz w:val="13"/>
              </w:rPr>
              <w:t>Real-time-capable prediction of temperature and density profiles in a tokamak using RAPTOR and a first-principle-based transport model</w:t>
            </w:r>
          </w:p>
        </w:tc>
        <w:tc>
          <w:tcPr>
            <w:tcW w:type="dxa" w:w="1700"/>
          </w:tcPr>
          <w:p>
            <w:pPr>
              <w:keepLines/>
              <w:spacing w:after="0" w:line="276" w:lineRule="auto"/>
            </w:pPr>
            <w:r>
              <w:rPr>
                <w:rFonts w:ascii="Calibri" w:hAnsi="Calibri" w:eastAsia="Microsoft YaHei"/>
                <w:color w:val="0B2545"/>
                <w:sz w:val="13"/>
              </w:rPr>
              <w:t>Nuclear Fusion</w:t>
            </w:r>
          </w:p>
        </w:tc>
        <w:tc>
          <w:tcPr>
            <w:tcW w:type="dxa" w:w="2260"/>
          </w:tcPr>
          <w:p>
            <w:pPr>
              <w:keepLines/>
              <w:spacing w:after="0" w:line="276" w:lineRule="auto"/>
            </w:pPr>
            <w:hyperlink r:id="rId214">
              <w:r>
                <w:rPr>
                  <w:rFonts w:ascii="Calibri" w:hAnsi="Calibri" w:eastAsia="Microsoft YaHei"/>
                  <w:color w:val="008C95"/>
                  <w:u w:val="single"/>
                </w:rPr>
                <w:t>打开原始来源 ↗</w:t>
              </w:r>
            </w:hyperlink>
          </w:p>
        </w:tc>
      </w:tr>
      <w:tr>
        <w:trPr>
          <w:cantSplit/>
        </w:trPr>
        <w:tc>
          <w:tcPr>
            <w:tcW w:type="dxa" w:w="600"/>
          </w:tcPr>
          <w:p>
            <w:pPr>
              <w:keepLines/>
              <w:spacing w:after="0" w:line="276" w:lineRule="auto"/>
            </w:pPr>
            <w:r>
              <w:rPr>
                <w:rFonts w:ascii="Calibri" w:hAnsi="Calibri" w:eastAsia="Microsoft YaHei"/>
                <w:color w:val="0B2545"/>
                <w:sz w:val="13"/>
              </w:rPr>
              <w:t>2018</w:t>
            </w:r>
          </w:p>
        </w:tc>
        <w:tc>
          <w:tcPr>
            <w:tcW w:type="dxa" w:w="1600"/>
          </w:tcPr>
          <w:p>
            <w:pPr>
              <w:keepLines/>
              <w:spacing w:after="0" w:line="276" w:lineRule="auto"/>
            </w:pPr>
            <w:r>
              <w:rPr>
                <w:rFonts w:ascii="Calibri" w:hAnsi="Calibri" w:eastAsia="Microsoft YaHei"/>
                <w:color w:val="0B2545"/>
                <w:sz w:val="13"/>
              </w:rPr>
              <w:t>T. Fredian; J. Stillerman; G. Manduchi; A. Rigoni; K. Erickson; T. Schröder</w:t>
            </w:r>
          </w:p>
        </w:tc>
        <w:tc>
          <w:tcPr>
            <w:tcW w:type="dxa" w:w="3200"/>
          </w:tcPr>
          <w:p>
            <w:pPr>
              <w:keepLines/>
              <w:spacing w:after="0" w:line="276" w:lineRule="auto"/>
            </w:pPr>
            <w:r>
              <w:rPr>
                <w:rFonts w:ascii="Calibri" w:hAnsi="Calibri" w:eastAsia="Microsoft YaHei"/>
                <w:color w:val="0B2545"/>
                <w:sz w:val="13"/>
              </w:rPr>
              <w:t>MDSplus yesterday, today and tomorrow</w:t>
            </w:r>
          </w:p>
        </w:tc>
        <w:tc>
          <w:tcPr>
            <w:tcW w:type="dxa" w:w="1700"/>
          </w:tcPr>
          <w:p>
            <w:pPr>
              <w:keepLines/>
              <w:spacing w:after="0" w:line="276" w:lineRule="auto"/>
            </w:pPr>
            <w:r>
              <w:rPr>
                <w:rFonts w:ascii="Calibri" w:hAnsi="Calibri" w:eastAsia="Microsoft YaHei"/>
                <w:color w:val="0B2545"/>
                <w:sz w:val="13"/>
              </w:rPr>
              <w:t>Fusion Engineering and Design</w:t>
            </w:r>
          </w:p>
        </w:tc>
        <w:tc>
          <w:tcPr>
            <w:tcW w:type="dxa" w:w="2260"/>
          </w:tcPr>
          <w:p>
            <w:pPr>
              <w:keepLines/>
              <w:spacing w:after="0" w:line="276" w:lineRule="auto"/>
            </w:pPr>
            <w:hyperlink r:id="rId19">
              <w:r>
                <w:rPr>
                  <w:rFonts w:ascii="Calibri" w:hAnsi="Calibri" w:eastAsia="Microsoft YaHei"/>
                  <w:color w:val="008C95"/>
                  <w:u w:val="single"/>
                </w:rPr>
                <w:t>打开原始来源 ↗</w:t>
              </w:r>
            </w:hyperlink>
          </w:p>
        </w:tc>
      </w:tr>
      <w:tr>
        <w:trPr>
          <w:cantSplit/>
        </w:trPr>
        <w:tc>
          <w:tcPr>
            <w:tcW w:type="dxa" w:w="600"/>
          </w:tcPr>
          <w:p>
            <w:pPr>
              <w:keepLines/>
              <w:spacing w:after="0" w:line="276" w:lineRule="auto"/>
            </w:pPr>
            <w:r>
              <w:rPr>
                <w:rFonts w:ascii="Calibri" w:hAnsi="Calibri" w:eastAsia="Microsoft YaHei"/>
                <w:color w:val="0B2545"/>
                <w:sz w:val="13"/>
              </w:rPr>
              <w:t>2018</w:t>
            </w:r>
          </w:p>
        </w:tc>
        <w:tc>
          <w:tcPr>
            <w:tcW w:type="dxa" w:w="1600"/>
          </w:tcPr>
          <w:p>
            <w:pPr>
              <w:keepLines/>
              <w:spacing w:after="0" w:line="276" w:lineRule="auto"/>
            </w:pPr>
            <w:r>
              <w:rPr>
                <w:rFonts w:ascii="Calibri" w:hAnsi="Calibri" w:eastAsia="Microsoft YaHei"/>
                <w:color w:val="0B2545"/>
                <w:sz w:val="13"/>
              </w:rPr>
              <w:t>M. Carr; A. Meakins; M. Bernert; P. David; C. Giroud; J. Harrison; S. Henderson; B. Lipschultz; F. Reimold</w:t>
            </w:r>
          </w:p>
        </w:tc>
        <w:tc>
          <w:tcPr>
            <w:tcW w:type="dxa" w:w="3200"/>
          </w:tcPr>
          <w:p>
            <w:pPr>
              <w:keepLines/>
              <w:spacing w:after="0" w:line="276" w:lineRule="auto"/>
            </w:pPr>
            <w:r>
              <w:rPr>
                <w:rFonts w:ascii="Calibri" w:hAnsi="Calibri" w:eastAsia="Microsoft YaHei"/>
                <w:color w:val="0B2545"/>
                <w:sz w:val="13"/>
              </w:rPr>
              <w:t>Description of complex viewing geometries of fusion tomography diagnostics by ray-tracing</w:t>
            </w:r>
          </w:p>
        </w:tc>
        <w:tc>
          <w:tcPr>
            <w:tcW w:type="dxa" w:w="1700"/>
          </w:tcPr>
          <w:p>
            <w:pPr>
              <w:keepLines/>
              <w:spacing w:after="0" w:line="276" w:lineRule="auto"/>
            </w:pPr>
            <w:r>
              <w:rPr>
                <w:rFonts w:ascii="Calibri" w:hAnsi="Calibri" w:eastAsia="Microsoft YaHei"/>
                <w:color w:val="0B2545"/>
                <w:sz w:val="13"/>
              </w:rPr>
              <w:t>Review of Scientific Instruments</w:t>
            </w:r>
          </w:p>
        </w:tc>
        <w:tc>
          <w:tcPr>
            <w:tcW w:type="dxa" w:w="2260"/>
          </w:tcPr>
          <w:p>
            <w:pPr>
              <w:keepLines/>
              <w:spacing w:after="0" w:line="276" w:lineRule="auto"/>
            </w:pPr>
            <w:hyperlink r:id="rId161">
              <w:r>
                <w:rPr>
                  <w:rFonts w:ascii="Calibri" w:hAnsi="Calibri" w:eastAsia="Microsoft YaHei"/>
                  <w:color w:val="008C95"/>
                  <w:u w:val="single"/>
                </w:rPr>
                <w:t>打开原始来源 ↗</w:t>
              </w:r>
            </w:hyperlink>
          </w:p>
        </w:tc>
      </w:tr>
      <w:tr>
        <w:trPr>
          <w:cantSplit/>
        </w:trPr>
        <w:tc>
          <w:tcPr>
            <w:tcW w:type="dxa" w:w="600"/>
          </w:tcPr>
          <w:p>
            <w:pPr>
              <w:keepLines/>
              <w:spacing w:after="0" w:line="276" w:lineRule="auto"/>
            </w:pPr>
            <w:r>
              <w:rPr>
                <w:rFonts w:ascii="Calibri" w:hAnsi="Calibri" w:eastAsia="Microsoft YaHei"/>
                <w:color w:val="0B2545"/>
                <w:sz w:val="13"/>
              </w:rPr>
              <w:t>2018</w:t>
            </w:r>
          </w:p>
        </w:tc>
        <w:tc>
          <w:tcPr>
            <w:tcW w:type="dxa" w:w="1600"/>
          </w:tcPr>
          <w:p>
            <w:pPr>
              <w:keepLines/>
              <w:spacing w:after="0" w:line="276" w:lineRule="auto"/>
            </w:pPr>
            <w:r>
              <w:rPr>
                <w:rFonts w:ascii="Calibri" w:hAnsi="Calibri" w:eastAsia="Microsoft YaHei"/>
                <w:color w:val="0B2545"/>
                <w:sz w:val="13"/>
              </w:rPr>
              <w:t>Dr Carine Giroud; Dr Alex Meakins; Dr Matthew Carr; Dr Alfonso Baciero; Mr Corentin Bertrand</w:t>
            </w:r>
          </w:p>
        </w:tc>
        <w:tc>
          <w:tcPr>
            <w:tcW w:type="dxa" w:w="3200"/>
          </w:tcPr>
          <w:p>
            <w:pPr>
              <w:keepLines/>
              <w:spacing w:after="0" w:line="276" w:lineRule="auto"/>
            </w:pPr>
            <w:r>
              <w:rPr>
                <w:rFonts w:ascii="Calibri" w:hAnsi="Calibri" w:eastAsia="Microsoft YaHei"/>
                <w:color w:val="0B2545"/>
                <w:sz w:val="13"/>
              </w:rPr>
              <w:t>CHERAB Spectroscopy Modelling Framework</w:t>
            </w:r>
          </w:p>
        </w:tc>
        <w:tc>
          <w:tcPr>
            <w:tcW w:type="dxa" w:w="1700"/>
          </w:tcPr>
          <w:p>
            <w:pPr>
              <w:keepLines/>
              <w:spacing w:after="0" w:line="276" w:lineRule="auto"/>
            </w:pPr>
            <w:r>
              <w:rPr>
                <w:rFonts w:ascii="Calibri" w:hAnsi="Calibri" w:eastAsia="Microsoft YaHei"/>
                <w:color w:val="0B2545"/>
                <w:sz w:val="13"/>
              </w:rPr>
              <w:t>Zenodo</w:t>
            </w:r>
          </w:p>
        </w:tc>
        <w:tc>
          <w:tcPr>
            <w:tcW w:type="dxa" w:w="2260"/>
          </w:tcPr>
          <w:p>
            <w:pPr>
              <w:keepLines/>
              <w:spacing w:after="0" w:line="276" w:lineRule="auto"/>
            </w:pPr>
            <w:hyperlink r:id="rId162">
              <w:r>
                <w:rPr>
                  <w:rFonts w:ascii="Calibri" w:hAnsi="Calibri" w:eastAsia="Microsoft YaHei"/>
                  <w:color w:val="008C95"/>
                  <w:u w:val="single"/>
                </w:rPr>
                <w:t>打开原始来源 ↗</w:t>
              </w:r>
            </w:hyperlink>
          </w:p>
        </w:tc>
      </w:tr>
      <w:tr>
        <w:trPr>
          <w:cantSplit/>
        </w:trPr>
        <w:tc>
          <w:tcPr>
            <w:tcW w:type="dxa" w:w="600"/>
          </w:tcPr>
          <w:p>
            <w:pPr>
              <w:keepLines/>
              <w:spacing w:after="0" w:line="276" w:lineRule="auto"/>
            </w:pPr>
            <w:r>
              <w:rPr>
                <w:rFonts w:ascii="Calibri" w:hAnsi="Calibri" w:eastAsia="Microsoft YaHei"/>
                <w:color w:val="0B2545"/>
                <w:sz w:val="13"/>
              </w:rPr>
              <w:t>2018</w:t>
            </w:r>
          </w:p>
        </w:tc>
        <w:tc>
          <w:tcPr>
            <w:tcW w:type="dxa" w:w="1600"/>
          </w:tcPr>
          <w:p>
            <w:pPr>
              <w:keepLines/>
              <w:spacing w:after="0" w:line="276" w:lineRule="auto"/>
            </w:pPr>
            <w:r>
              <w:rPr>
                <w:rFonts w:ascii="Calibri" w:hAnsi="Calibri" w:eastAsia="Microsoft YaHei"/>
                <w:color w:val="0B2545"/>
                <w:sz w:val="13"/>
              </w:rPr>
              <w:t>M. Salewski; M. Nocente; A. S. Jacobsen; F. Binda; C. Cazzaniga; J. Eriksson; B. Geiger; G. Gorini; C. Hellesen; V. G. Kiptily; T. Koskela; S. B. Korsholm; et al. (24 authors)</w:t>
            </w:r>
          </w:p>
        </w:tc>
        <w:tc>
          <w:tcPr>
            <w:tcW w:type="dxa" w:w="3200"/>
          </w:tcPr>
          <w:p>
            <w:pPr>
              <w:keepLines/>
              <w:spacing w:after="0" w:line="276" w:lineRule="auto"/>
            </w:pPr>
            <w:r>
              <w:rPr>
                <w:rFonts w:ascii="Calibri" w:hAnsi="Calibri" w:eastAsia="Microsoft YaHei"/>
                <w:color w:val="0B2545"/>
                <w:sz w:val="13"/>
              </w:rPr>
              <w:t>Bayesian Integrated Data Analysis of Fast-Ion Measurements by Velocity-Space Tomography</w:t>
            </w:r>
          </w:p>
        </w:tc>
        <w:tc>
          <w:tcPr>
            <w:tcW w:type="dxa" w:w="1700"/>
          </w:tcPr>
          <w:p>
            <w:pPr>
              <w:keepLines/>
              <w:spacing w:after="0" w:line="276" w:lineRule="auto"/>
            </w:pPr>
            <w:r>
              <w:rPr>
                <w:rFonts w:ascii="Calibri" w:hAnsi="Calibri" w:eastAsia="Microsoft YaHei"/>
                <w:color w:val="0B2545"/>
                <w:sz w:val="13"/>
              </w:rPr>
              <w:t>Fusion Science and Technology</w:t>
            </w:r>
          </w:p>
        </w:tc>
        <w:tc>
          <w:tcPr>
            <w:tcW w:type="dxa" w:w="2260"/>
          </w:tcPr>
          <w:p>
            <w:pPr>
              <w:keepLines/>
              <w:spacing w:after="0" w:line="276" w:lineRule="auto"/>
            </w:pPr>
            <w:hyperlink r:id="rId202">
              <w:r>
                <w:rPr>
                  <w:rFonts w:ascii="Calibri" w:hAnsi="Calibri" w:eastAsia="Microsoft YaHei"/>
                  <w:color w:val="008C95"/>
                  <w:u w:val="single"/>
                </w:rPr>
                <w:t>打开原始来源 ↗</w:t>
              </w:r>
            </w:hyperlink>
          </w:p>
        </w:tc>
      </w:tr>
      <w:tr>
        <w:trPr>
          <w:cantSplit/>
        </w:trPr>
        <w:tc>
          <w:tcPr>
            <w:tcW w:type="dxa" w:w="600"/>
          </w:tcPr>
          <w:p>
            <w:pPr>
              <w:keepLines/>
              <w:spacing w:after="0" w:line="276" w:lineRule="auto"/>
            </w:pPr>
            <w:r>
              <w:rPr>
                <w:rFonts w:ascii="Calibri" w:hAnsi="Calibri" w:eastAsia="Microsoft YaHei"/>
                <w:color w:val="0B2545"/>
                <w:sz w:val="13"/>
              </w:rPr>
              <w:t>2018</w:t>
            </w:r>
          </w:p>
        </w:tc>
        <w:tc>
          <w:tcPr>
            <w:tcW w:type="dxa" w:w="1600"/>
          </w:tcPr>
          <w:p>
            <w:pPr>
              <w:keepLines/>
              <w:spacing w:after="0" w:line="276" w:lineRule="auto"/>
            </w:pPr>
            <w:r>
              <w:rPr>
                <w:rFonts w:ascii="Calibri" w:hAnsi="Calibri" w:eastAsia="Microsoft YaHei"/>
                <w:color w:val="0B2545"/>
                <w:sz w:val="13"/>
              </w:rPr>
              <w:t>Rui MA; Fan XIA; Fei LING; Jiaxian LI</w:t>
            </w:r>
          </w:p>
        </w:tc>
        <w:tc>
          <w:tcPr>
            <w:tcW w:type="dxa" w:w="3200"/>
          </w:tcPr>
          <w:p>
            <w:pPr>
              <w:keepLines/>
              <w:spacing w:after="0" w:line="276" w:lineRule="auto"/>
            </w:pPr>
            <w:r>
              <w:rPr>
                <w:rFonts w:ascii="Calibri" w:hAnsi="Calibri" w:eastAsia="Microsoft YaHei"/>
                <w:color w:val="0B2545"/>
                <w:sz w:val="13"/>
              </w:rPr>
              <w:t>Acceleration optimization of real-time equilibrium reconstruction for HL-2A tokamak discharge control</w:t>
            </w:r>
          </w:p>
        </w:tc>
        <w:tc>
          <w:tcPr>
            <w:tcW w:type="dxa" w:w="1700"/>
          </w:tcPr>
          <w:p>
            <w:pPr>
              <w:keepLines/>
              <w:spacing w:after="0" w:line="276" w:lineRule="auto"/>
            </w:pPr>
            <w:r>
              <w:rPr>
                <w:rFonts w:ascii="Calibri" w:hAnsi="Calibri" w:eastAsia="Microsoft YaHei"/>
                <w:color w:val="0B2545"/>
                <w:sz w:val="13"/>
              </w:rPr>
              <w:t>Plasma Science and Technology</w:t>
            </w:r>
          </w:p>
        </w:tc>
        <w:tc>
          <w:tcPr>
            <w:tcW w:type="dxa" w:w="2260"/>
          </w:tcPr>
          <w:p>
            <w:pPr>
              <w:keepLines/>
              <w:spacing w:after="0" w:line="276" w:lineRule="auto"/>
            </w:pPr>
            <w:hyperlink r:id="rId46">
              <w:r>
                <w:rPr>
                  <w:rFonts w:ascii="Calibri" w:hAnsi="Calibri" w:eastAsia="Microsoft YaHei"/>
                  <w:color w:val="008C95"/>
                  <w:u w:val="single"/>
                </w:rPr>
                <w:t>打开原始来源 ↗</w:t>
              </w:r>
            </w:hyperlink>
          </w:p>
        </w:tc>
      </w:tr>
      <w:tr>
        <w:trPr>
          <w:cantSplit/>
        </w:trPr>
        <w:tc>
          <w:tcPr>
            <w:tcW w:type="dxa" w:w="600"/>
          </w:tcPr>
          <w:p>
            <w:pPr>
              <w:keepLines/>
              <w:spacing w:after="0" w:line="276" w:lineRule="auto"/>
            </w:pPr>
            <w:r>
              <w:rPr>
                <w:rFonts w:ascii="Calibri" w:hAnsi="Calibri" w:eastAsia="Microsoft YaHei"/>
                <w:color w:val="0B2545"/>
                <w:sz w:val="13"/>
              </w:rPr>
              <w:t>2017</w:t>
            </w:r>
          </w:p>
        </w:tc>
        <w:tc>
          <w:tcPr>
            <w:tcW w:type="dxa" w:w="1600"/>
          </w:tcPr>
          <w:p>
            <w:pPr>
              <w:keepLines/>
              <w:spacing w:after="0" w:line="276" w:lineRule="auto"/>
            </w:pPr>
            <w:r>
              <w:rPr>
                <w:rFonts w:ascii="Calibri" w:hAnsi="Calibri" w:eastAsia="Microsoft YaHei"/>
                <w:color w:val="0B2545"/>
                <w:sz w:val="13"/>
              </w:rPr>
              <w:t>M.A. Chilenski; I.C. Faust; J.R. Walk</w:t>
            </w:r>
          </w:p>
        </w:tc>
        <w:tc>
          <w:tcPr>
            <w:tcW w:type="dxa" w:w="3200"/>
          </w:tcPr>
          <w:p>
            <w:pPr>
              <w:keepLines/>
              <w:spacing w:after="0" w:line="276" w:lineRule="auto"/>
            </w:pPr>
            <w:r>
              <w:rPr>
                <w:rFonts w:ascii="Calibri" w:hAnsi="Calibri" w:eastAsia="Microsoft YaHei"/>
                <w:color w:val="0B2545"/>
                <w:sz w:val="13"/>
              </w:rPr>
              <w:t>eqtools: Modular, extensible, open-source, cross-machine Python tools for working with magnetic equilibria</w:t>
            </w:r>
          </w:p>
        </w:tc>
        <w:tc>
          <w:tcPr>
            <w:tcW w:type="dxa" w:w="1700"/>
          </w:tcPr>
          <w:p>
            <w:pPr>
              <w:keepLines/>
              <w:spacing w:after="0" w:line="276" w:lineRule="auto"/>
            </w:pPr>
            <w:r>
              <w:rPr>
                <w:rFonts w:ascii="Calibri" w:hAnsi="Calibri" w:eastAsia="Microsoft YaHei"/>
                <w:color w:val="0B2545"/>
                <w:sz w:val="13"/>
              </w:rPr>
              <w:t>Computer Physics Communications</w:t>
            </w:r>
          </w:p>
        </w:tc>
        <w:tc>
          <w:tcPr>
            <w:tcW w:type="dxa" w:w="2260"/>
          </w:tcPr>
          <w:p>
            <w:pPr>
              <w:keepLines/>
              <w:spacing w:after="0" w:line="276" w:lineRule="auto"/>
            </w:pPr>
            <w:hyperlink r:id="rId192">
              <w:r>
                <w:rPr>
                  <w:rFonts w:ascii="Calibri" w:hAnsi="Calibri" w:eastAsia="Microsoft YaHei"/>
                  <w:color w:val="008C95"/>
                  <w:u w:val="single"/>
                </w:rPr>
                <w:t>打开原始来源 ↗</w:t>
              </w:r>
            </w:hyperlink>
          </w:p>
        </w:tc>
      </w:tr>
      <w:tr>
        <w:trPr>
          <w:cantSplit/>
        </w:trPr>
        <w:tc>
          <w:tcPr>
            <w:tcW w:type="dxa" w:w="600"/>
          </w:tcPr>
          <w:p>
            <w:pPr>
              <w:keepLines/>
              <w:spacing w:after="0" w:line="276" w:lineRule="auto"/>
            </w:pPr>
            <w:r>
              <w:rPr>
                <w:rFonts w:ascii="Calibri" w:hAnsi="Calibri" w:eastAsia="Microsoft YaHei"/>
                <w:color w:val="0B2545"/>
                <w:sz w:val="13"/>
              </w:rPr>
              <w:t>2017</w:t>
            </w:r>
          </w:p>
        </w:tc>
        <w:tc>
          <w:tcPr>
            <w:tcW w:type="dxa" w:w="1600"/>
          </w:tcPr>
          <w:p>
            <w:pPr>
              <w:keepLines/>
              <w:spacing w:after="0" w:line="276" w:lineRule="auto"/>
            </w:pPr>
            <w:r>
              <w:rPr>
                <w:rFonts w:ascii="Calibri" w:hAnsi="Calibri" w:eastAsia="Microsoft YaHei"/>
                <w:color w:val="0B2545"/>
                <w:sz w:val="13"/>
              </w:rPr>
              <w:t>C. R. Seon; J. H. Hong; I. Song; J. Jang; H. Y. Lee; Y. H. An; B. S. Kim; T. M. Jeon; J. S. Park; W. Choe; H. G. Lee; S. Pak; et al. (18 authors)</w:t>
            </w:r>
          </w:p>
        </w:tc>
        <w:tc>
          <w:tcPr>
            <w:tcW w:type="dxa" w:w="3200"/>
          </w:tcPr>
          <w:p>
            <w:pPr>
              <w:keepLines/>
              <w:spacing w:after="0" w:line="276" w:lineRule="auto"/>
            </w:pPr>
            <w:r>
              <w:rPr>
                <w:rFonts w:ascii="Calibri" w:hAnsi="Calibri" w:eastAsia="Microsoft YaHei"/>
                <w:color w:val="0B2545"/>
                <w:sz w:val="13"/>
              </w:rPr>
              <w:t>VUV spectroscopy in impurity injection experiments at KSTAR using prototype ITER VUV spectrometer</w:t>
            </w:r>
          </w:p>
        </w:tc>
        <w:tc>
          <w:tcPr>
            <w:tcW w:type="dxa" w:w="1700"/>
          </w:tcPr>
          <w:p>
            <w:pPr>
              <w:keepLines/>
              <w:spacing w:after="0" w:line="276" w:lineRule="auto"/>
            </w:pPr>
            <w:r>
              <w:rPr>
                <w:rFonts w:ascii="Calibri" w:hAnsi="Calibri" w:eastAsia="Microsoft YaHei"/>
                <w:color w:val="0B2545"/>
                <w:sz w:val="13"/>
              </w:rPr>
              <w:t>Review of Scientific Instruments</w:t>
            </w:r>
          </w:p>
        </w:tc>
        <w:tc>
          <w:tcPr>
            <w:tcW w:type="dxa" w:w="2260"/>
          </w:tcPr>
          <w:p>
            <w:pPr>
              <w:keepLines/>
              <w:spacing w:after="0" w:line="276" w:lineRule="auto"/>
            </w:pPr>
            <w:hyperlink r:id="rId80">
              <w:r>
                <w:rPr>
                  <w:rFonts w:ascii="Calibri" w:hAnsi="Calibri" w:eastAsia="Microsoft YaHei"/>
                  <w:color w:val="008C95"/>
                  <w:u w:val="single"/>
                </w:rPr>
                <w:t>打开原始来源 ↗</w:t>
              </w:r>
            </w:hyperlink>
          </w:p>
        </w:tc>
      </w:tr>
      <w:tr>
        <w:trPr>
          <w:cantSplit/>
        </w:trPr>
        <w:tc>
          <w:tcPr>
            <w:tcW w:type="dxa" w:w="600"/>
          </w:tcPr>
          <w:p>
            <w:pPr>
              <w:keepLines/>
              <w:spacing w:after="0" w:line="276" w:lineRule="auto"/>
            </w:pPr>
            <w:r>
              <w:rPr>
                <w:rFonts w:ascii="Calibri" w:hAnsi="Calibri" w:eastAsia="Microsoft YaHei"/>
                <w:color w:val="0B2545"/>
                <w:sz w:val="13"/>
              </w:rPr>
              <w:t>2017</w:t>
            </w:r>
          </w:p>
        </w:tc>
        <w:tc>
          <w:tcPr>
            <w:tcW w:type="dxa" w:w="1600"/>
          </w:tcPr>
          <w:p>
            <w:pPr>
              <w:keepLines/>
              <w:spacing w:after="0" w:line="276" w:lineRule="auto"/>
            </w:pPr>
            <w:r>
              <w:rPr>
                <w:rFonts w:ascii="Calibri" w:hAnsi="Calibri" w:eastAsia="Microsoft YaHei"/>
                <w:color w:val="0B2545"/>
                <w:sz w:val="13"/>
              </w:rPr>
              <w:t>Daojing Guo; Qiming Hu; Da Li; Chengshuo Shen; Nengchao Wang; Zhuo Huang; Mingxiang Huang; Yonghua Ding; Guo Xu; Qingquan Yu; Yuejin Tang; Ge Zhuang</w:t>
            </w:r>
          </w:p>
        </w:tc>
        <w:tc>
          <w:tcPr>
            <w:tcW w:type="dxa" w:w="3200"/>
          </w:tcPr>
          <w:p>
            <w:pPr>
              <w:keepLines/>
              <w:spacing w:after="0" w:line="276" w:lineRule="auto"/>
            </w:pPr>
            <w:r>
              <w:rPr>
                <w:rFonts w:ascii="Calibri" w:hAnsi="Calibri" w:eastAsia="Microsoft YaHei"/>
                <w:color w:val="0B2545"/>
                <w:sz w:val="13"/>
              </w:rPr>
              <w:t>Upgrade of the Mirnov probe arrays on the J-TEXT tokamak</w:t>
            </w:r>
          </w:p>
        </w:tc>
        <w:tc>
          <w:tcPr>
            <w:tcW w:type="dxa" w:w="1700"/>
          </w:tcPr>
          <w:p>
            <w:pPr>
              <w:keepLines/>
              <w:spacing w:after="0" w:line="276" w:lineRule="auto"/>
            </w:pPr>
            <w:r>
              <w:rPr>
                <w:rFonts w:ascii="Calibri" w:hAnsi="Calibri" w:eastAsia="Microsoft YaHei"/>
                <w:color w:val="0B2545"/>
                <w:sz w:val="13"/>
              </w:rPr>
              <w:t>Review of Scientific Instruments</w:t>
            </w:r>
          </w:p>
        </w:tc>
        <w:tc>
          <w:tcPr>
            <w:tcW w:type="dxa" w:w="2260"/>
          </w:tcPr>
          <w:p>
            <w:pPr>
              <w:keepLines/>
              <w:spacing w:after="0" w:line="276" w:lineRule="auto"/>
            </w:pPr>
            <w:hyperlink r:id="rId103">
              <w:r>
                <w:rPr>
                  <w:rFonts w:ascii="Calibri" w:hAnsi="Calibri" w:eastAsia="Microsoft YaHei"/>
                  <w:color w:val="008C95"/>
                  <w:u w:val="single"/>
                </w:rPr>
                <w:t>打开原始来源 ↗</w:t>
              </w:r>
            </w:hyperlink>
          </w:p>
        </w:tc>
      </w:tr>
      <w:tr>
        <w:trPr>
          <w:cantSplit/>
        </w:trPr>
        <w:tc>
          <w:tcPr>
            <w:tcW w:type="dxa" w:w="600"/>
          </w:tcPr>
          <w:p>
            <w:pPr>
              <w:keepLines/>
              <w:spacing w:after="0" w:line="276" w:lineRule="auto"/>
            </w:pPr>
            <w:r>
              <w:rPr>
                <w:rFonts w:ascii="Calibri" w:hAnsi="Calibri" w:eastAsia="Microsoft YaHei"/>
                <w:color w:val="0B2545"/>
                <w:sz w:val="13"/>
              </w:rPr>
              <w:t>2017</w:t>
            </w:r>
          </w:p>
        </w:tc>
        <w:tc>
          <w:tcPr>
            <w:tcW w:type="dxa" w:w="1600"/>
          </w:tcPr>
          <w:p>
            <w:pPr>
              <w:keepLines/>
              <w:spacing w:after="0" w:line="276" w:lineRule="auto"/>
            </w:pPr>
            <w:r>
              <w:rPr>
                <w:rFonts w:ascii="Calibri" w:hAnsi="Calibri" w:eastAsia="Microsoft YaHei"/>
                <w:color w:val="0B2545"/>
                <w:sz w:val="13"/>
              </w:rPr>
              <w:t>L Hausammann; R M Churchill; L Shi</w:t>
            </w:r>
          </w:p>
        </w:tc>
        <w:tc>
          <w:tcPr>
            <w:tcW w:type="dxa" w:w="3200"/>
          </w:tcPr>
          <w:p>
            <w:pPr>
              <w:keepLines/>
              <w:spacing w:after="0" w:line="276" w:lineRule="auto"/>
            </w:pPr>
            <w:r>
              <w:rPr>
                <w:rFonts w:ascii="Calibri" w:hAnsi="Calibri" w:eastAsia="Microsoft YaHei"/>
                <w:color w:val="0B2545"/>
                <w:sz w:val="13"/>
              </w:rPr>
              <w:t>Synthetic diagnostic for the beam emission spectroscopy diagnostic using a full optical integration</w:t>
            </w:r>
          </w:p>
        </w:tc>
        <w:tc>
          <w:tcPr>
            <w:tcW w:type="dxa" w:w="1700"/>
          </w:tcPr>
          <w:p>
            <w:pPr>
              <w:keepLines/>
              <w:spacing w:after="0" w:line="276" w:lineRule="auto"/>
            </w:pPr>
            <w:r>
              <w:rPr>
                <w:rFonts w:ascii="Calibri" w:hAnsi="Calibri" w:eastAsia="Microsoft YaHei"/>
                <w:color w:val="0B2545"/>
                <w:sz w:val="13"/>
              </w:rPr>
              <w:t>Plasma Physics and Controlled Fusion</w:t>
            </w:r>
          </w:p>
        </w:tc>
        <w:tc>
          <w:tcPr>
            <w:tcW w:type="dxa" w:w="2260"/>
          </w:tcPr>
          <w:p>
            <w:pPr>
              <w:keepLines/>
              <w:spacing w:after="0" w:line="276" w:lineRule="auto"/>
            </w:pPr>
            <w:hyperlink r:id="rId179">
              <w:r>
                <w:rPr>
                  <w:rFonts w:ascii="Calibri" w:hAnsi="Calibri" w:eastAsia="Microsoft YaHei"/>
                  <w:color w:val="008C95"/>
                  <w:u w:val="single"/>
                </w:rPr>
                <w:t>打开原始来源 ↗</w:t>
              </w:r>
            </w:hyperlink>
          </w:p>
        </w:tc>
      </w:tr>
      <w:tr>
        <w:trPr>
          <w:cantSplit/>
        </w:trPr>
        <w:tc>
          <w:tcPr>
            <w:tcW w:type="dxa" w:w="600"/>
          </w:tcPr>
          <w:p>
            <w:pPr>
              <w:keepLines/>
              <w:spacing w:after="0" w:line="276" w:lineRule="auto"/>
            </w:pPr>
            <w:r>
              <w:rPr>
                <w:rFonts w:ascii="Calibri" w:hAnsi="Calibri" w:eastAsia="Microsoft YaHei"/>
                <w:color w:val="0B2545"/>
                <w:sz w:val="13"/>
              </w:rPr>
              <w:t>2017</w:t>
            </w:r>
          </w:p>
        </w:tc>
        <w:tc>
          <w:tcPr>
            <w:tcW w:type="dxa" w:w="1600"/>
          </w:tcPr>
          <w:p>
            <w:pPr>
              <w:keepLines/>
              <w:spacing w:after="0" w:line="276" w:lineRule="auto"/>
            </w:pPr>
            <w:r>
              <w:rPr>
                <w:rFonts w:ascii="Calibri" w:hAnsi="Calibri" w:eastAsia="Microsoft YaHei"/>
                <w:color w:val="0B2545"/>
                <w:sz w:val="13"/>
              </w:rPr>
              <w:t>K. Verhaegh; B. Lipschultz; B.P. Duval; J.R. Harrison; H. Reimerdes; C. Theiler; B. Labit; R. Maurizio; C. Marini; F. Nespoli; U. Sheikh; C.K. Tsui; et al. (14 authors)</w:t>
            </w:r>
          </w:p>
        </w:tc>
        <w:tc>
          <w:tcPr>
            <w:tcW w:type="dxa" w:w="3200"/>
          </w:tcPr>
          <w:p>
            <w:pPr>
              <w:keepLines/>
              <w:spacing w:after="0" w:line="276" w:lineRule="auto"/>
            </w:pPr>
            <w:r>
              <w:rPr>
                <w:rFonts w:ascii="Calibri" w:hAnsi="Calibri" w:eastAsia="Microsoft YaHei"/>
                <w:color w:val="0B2545"/>
                <w:sz w:val="13"/>
              </w:rPr>
              <w:t>Spectroscopic investigations of divertor detachment in TCV</w:t>
            </w:r>
          </w:p>
        </w:tc>
        <w:tc>
          <w:tcPr>
            <w:tcW w:type="dxa" w:w="1700"/>
          </w:tcPr>
          <w:p>
            <w:pPr>
              <w:keepLines/>
              <w:spacing w:after="0" w:line="276" w:lineRule="auto"/>
            </w:pPr>
            <w:r>
              <w:rPr>
                <w:rFonts w:ascii="Calibri" w:hAnsi="Calibri" w:eastAsia="Microsoft YaHei"/>
                <w:color w:val="0B2545"/>
                <w:sz w:val="13"/>
              </w:rPr>
              <w:t>Nuclear Materials and Energy</w:t>
            </w:r>
          </w:p>
        </w:tc>
        <w:tc>
          <w:tcPr>
            <w:tcW w:type="dxa" w:w="2260"/>
          </w:tcPr>
          <w:p>
            <w:pPr>
              <w:keepLines/>
              <w:spacing w:after="0" w:line="276" w:lineRule="auto"/>
            </w:pPr>
            <w:hyperlink r:id="rId119">
              <w:r>
                <w:rPr>
                  <w:rFonts w:ascii="Calibri" w:hAnsi="Calibri" w:eastAsia="Microsoft YaHei"/>
                  <w:color w:val="008C95"/>
                  <w:u w:val="single"/>
                </w:rPr>
                <w:t>打开原始来源 ↗</w:t>
              </w:r>
            </w:hyperlink>
          </w:p>
        </w:tc>
      </w:tr>
      <w:tr>
        <w:trPr>
          <w:cantSplit/>
        </w:trPr>
        <w:tc>
          <w:tcPr>
            <w:tcW w:type="dxa" w:w="600"/>
          </w:tcPr>
          <w:p>
            <w:pPr>
              <w:keepLines/>
              <w:spacing w:after="0" w:line="276" w:lineRule="auto"/>
            </w:pPr>
            <w:r>
              <w:rPr>
                <w:rFonts w:ascii="Calibri" w:hAnsi="Calibri" w:eastAsia="Microsoft YaHei"/>
                <w:color w:val="0B2545"/>
                <w:sz w:val="13"/>
              </w:rPr>
              <w:t>2017</w:t>
            </w:r>
          </w:p>
        </w:tc>
        <w:tc>
          <w:tcPr>
            <w:tcW w:type="dxa" w:w="1600"/>
          </w:tcPr>
          <w:p>
            <w:pPr>
              <w:keepLines/>
              <w:spacing w:after="0" w:line="276" w:lineRule="auto"/>
            </w:pPr>
            <w:r>
              <w:rPr>
                <w:rFonts w:ascii="Calibri" w:hAnsi="Calibri" w:eastAsia="Microsoft YaHei"/>
                <w:color w:val="0B2545"/>
                <w:sz w:val="13"/>
              </w:rPr>
              <w:t>未完整列出</w:t>
            </w:r>
          </w:p>
        </w:tc>
        <w:tc>
          <w:tcPr>
            <w:tcW w:type="dxa" w:w="3200"/>
          </w:tcPr>
          <w:p>
            <w:pPr>
              <w:keepLines/>
              <w:spacing w:after="0" w:line="276" w:lineRule="auto"/>
            </w:pPr>
            <w:r>
              <w:rPr>
                <w:rFonts w:ascii="Calibri" w:hAnsi="Calibri" w:eastAsia="Microsoft YaHei"/>
                <w:color w:val="0B2545"/>
                <w:sz w:val="13"/>
              </w:rPr>
              <w:t>R&amp;D of a strain monitoring system for the EAST tungsten divertor</w:t>
            </w:r>
          </w:p>
        </w:tc>
        <w:tc>
          <w:tcPr>
            <w:tcW w:type="dxa" w:w="1700"/>
          </w:tcPr>
          <w:p>
            <w:pPr>
              <w:keepLines/>
              <w:spacing w:after="0" w:line="276" w:lineRule="auto"/>
            </w:pPr>
            <w:r>
              <w:rPr>
                <w:rFonts w:ascii="Calibri" w:hAnsi="Calibri" w:eastAsia="Microsoft YaHei"/>
                <w:color w:val="0B2545"/>
                <w:sz w:val="13"/>
              </w:rPr>
              <w:t>原始论文 / 官方来源</w:t>
            </w:r>
          </w:p>
        </w:tc>
        <w:tc>
          <w:tcPr>
            <w:tcW w:type="dxa" w:w="2260"/>
          </w:tcPr>
          <w:p>
            <w:pPr>
              <w:keepLines/>
              <w:spacing w:after="0" w:line="276" w:lineRule="auto"/>
            </w:pPr>
            <w:hyperlink r:id="rId139">
              <w:r>
                <w:rPr>
                  <w:rFonts w:ascii="Calibri" w:hAnsi="Calibri" w:eastAsia="Microsoft YaHei"/>
                  <w:color w:val="008C95"/>
                  <w:u w:val="single"/>
                </w:rPr>
                <w:t>打开原始来源 ↗</w:t>
              </w:r>
            </w:hyperlink>
          </w:p>
        </w:tc>
      </w:tr>
      <w:tr>
        <w:trPr>
          <w:cantSplit/>
        </w:trPr>
        <w:tc>
          <w:tcPr>
            <w:tcW w:type="dxa" w:w="600"/>
          </w:tcPr>
          <w:p>
            <w:pPr>
              <w:keepLines/>
              <w:spacing w:after="0" w:line="276" w:lineRule="auto"/>
            </w:pPr>
            <w:r>
              <w:rPr>
                <w:rFonts w:ascii="Calibri" w:hAnsi="Calibri" w:eastAsia="Microsoft YaHei"/>
                <w:color w:val="0B2545"/>
                <w:sz w:val="13"/>
              </w:rPr>
              <w:t>2017</w:t>
            </w:r>
          </w:p>
        </w:tc>
        <w:tc>
          <w:tcPr>
            <w:tcW w:type="dxa" w:w="1600"/>
          </w:tcPr>
          <w:p>
            <w:pPr>
              <w:keepLines/>
              <w:spacing w:after="0" w:line="276" w:lineRule="auto"/>
            </w:pPr>
            <w:r>
              <w:rPr>
                <w:rFonts w:ascii="Calibri" w:hAnsi="Calibri" w:eastAsia="Microsoft YaHei"/>
                <w:color w:val="0B2545"/>
                <w:sz w:val="13"/>
              </w:rPr>
              <w:t>S. J. Zweben; J. L. Terry; D. P. Stotler; R. J. Maqueda</w:t>
            </w:r>
          </w:p>
        </w:tc>
        <w:tc>
          <w:tcPr>
            <w:tcW w:type="dxa" w:w="3200"/>
          </w:tcPr>
          <w:p>
            <w:pPr>
              <w:keepLines/>
              <w:spacing w:after="0" w:line="276" w:lineRule="auto"/>
            </w:pPr>
            <w:r>
              <w:rPr>
                <w:rFonts w:ascii="Calibri" w:hAnsi="Calibri" w:eastAsia="Microsoft YaHei"/>
                <w:color w:val="0B2545"/>
                <w:sz w:val="13"/>
              </w:rPr>
              <w:t>Invited Review Article: Gas puff imaging diagnostics of edge plasma turbulence in magnetic fusion devices</w:t>
            </w:r>
          </w:p>
        </w:tc>
        <w:tc>
          <w:tcPr>
            <w:tcW w:type="dxa" w:w="1700"/>
          </w:tcPr>
          <w:p>
            <w:pPr>
              <w:keepLines/>
              <w:spacing w:after="0" w:line="276" w:lineRule="auto"/>
            </w:pPr>
            <w:r>
              <w:rPr>
                <w:rFonts w:ascii="Calibri" w:hAnsi="Calibri" w:eastAsia="Microsoft YaHei"/>
                <w:color w:val="0B2545"/>
                <w:sz w:val="13"/>
              </w:rPr>
              <w:t>Review of Scientific Instruments</w:t>
            </w:r>
          </w:p>
        </w:tc>
        <w:tc>
          <w:tcPr>
            <w:tcW w:type="dxa" w:w="2260"/>
          </w:tcPr>
          <w:p>
            <w:pPr>
              <w:keepLines/>
              <w:spacing w:after="0" w:line="276" w:lineRule="auto"/>
            </w:pPr>
            <w:hyperlink r:id="rId112">
              <w:r>
                <w:rPr>
                  <w:rFonts w:ascii="Calibri" w:hAnsi="Calibri" w:eastAsia="Microsoft YaHei"/>
                  <w:color w:val="008C95"/>
                  <w:u w:val="single"/>
                </w:rPr>
                <w:t>打开原始来源 ↗</w:t>
              </w:r>
            </w:hyperlink>
          </w:p>
        </w:tc>
      </w:tr>
      <w:tr>
        <w:trPr>
          <w:cantSplit/>
        </w:trPr>
        <w:tc>
          <w:tcPr>
            <w:tcW w:type="dxa" w:w="600"/>
          </w:tcPr>
          <w:p>
            <w:pPr>
              <w:keepLines/>
              <w:spacing w:after="0" w:line="276" w:lineRule="auto"/>
            </w:pPr>
            <w:r>
              <w:rPr>
                <w:rFonts w:ascii="Calibri" w:hAnsi="Calibri" w:eastAsia="Microsoft YaHei"/>
                <w:color w:val="0B2545"/>
                <w:sz w:val="13"/>
              </w:rPr>
              <w:t>2017</w:t>
            </w:r>
          </w:p>
        </w:tc>
        <w:tc>
          <w:tcPr>
            <w:tcW w:type="dxa" w:w="1600"/>
          </w:tcPr>
          <w:p>
            <w:pPr>
              <w:keepLines/>
              <w:spacing w:after="0" w:line="276" w:lineRule="auto"/>
            </w:pPr>
            <w:r>
              <w:rPr>
                <w:rFonts w:ascii="Calibri" w:hAnsi="Calibri" w:eastAsia="Microsoft YaHei"/>
                <w:color w:val="0B2545"/>
                <w:sz w:val="13"/>
              </w:rPr>
              <w:t>Chiara Piron; Gabriele Manduchi; Paolo Bettini; Federico Felici; Claudio Finotti; Paolo Franz; Ondrej Kudlacek; Giuseppe Marchiori; Lionello Marrelli; J.-M. Moret; Paolo Piovesan; Olivier Sauter; et al. (13 authors)</w:t>
            </w:r>
          </w:p>
        </w:tc>
        <w:tc>
          <w:tcPr>
            <w:tcW w:type="dxa" w:w="3200"/>
          </w:tcPr>
          <w:p>
            <w:pPr>
              <w:keepLines/>
              <w:spacing w:after="0" w:line="276" w:lineRule="auto"/>
            </w:pPr>
            <w:r>
              <w:rPr>
                <w:rFonts w:ascii="Calibri" w:hAnsi="Calibri" w:eastAsia="Microsoft YaHei"/>
                <w:color w:val="0B2545"/>
                <w:sz w:val="13"/>
              </w:rPr>
              <w:t>Integration of the state observer RAPTOR in the real-time MARTe framework at RFX-mod</w:t>
            </w:r>
          </w:p>
        </w:tc>
        <w:tc>
          <w:tcPr>
            <w:tcW w:type="dxa" w:w="1700"/>
          </w:tcPr>
          <w:p>
            <w:pPr>
              <w:keepLines/>
              <w:spacing w:after="0" w:line="276" w:lineRule="auto"/>
            </w:pPr>
            <w:r>
              <w:rPr>
                <w:rFonts w:ascii="Calibri" w:hAnsi="Calibri" w:eastAsia="Microsoft YaHei"/>
                <w:color w:val="0B2545"/>
                <w:sz w:val="13"/>
              </w:rPr>
              <w:t>Fusion Engineering and Design</w:t>
            </w:r>
          </w:p>
        </w:tc>
        <w:tc>
          <w:tcPr>
            <w:tcW w:type="dxa" w:w="2260"/>
          </w:tcPr>
          <w:p>
            <w:pPr>
              <w:keepLines/>
              <w:spacing w:after="0" w:line="276" w:lineRule="auto"/>
            </w:pPr>
            <w:hyperlink r:id="rId213">
              <w:r>
                <w:rPr>
                  <w:rFonts w:ascii="Calibri" w:hAnsi="Calibri" w:eastAsia="Microsoft YaHei"/>
                  <w:color w:val="008C95"/>
                  <w:u w:val="single"/>
                </w:rPr>
                <w:t>打开原始来源 ↗</w:t>
              </w:r>
            </w:hyperlink>
          </w:p>
        </w:tc>
      </w:tr>
      <w:tr>
        <w:trPr>
          <w:cantSplit/>
        </w:trPr>
        <w:tc>
          <w:tcPr>
            <w:tcW w:type="dxa" w:w="600"/>
          </w:tcPr>
          <w:p>
            <w:pPr>
              <w:keepLines/>
              <w:spacing w:after="0" w:line="276" w:lineRule="auto"/>
            </w:pPr>
            <w:r>
              <w:rPr>
                <w:rFonts w:ascii="Calibri" w:hAnsi="Calibri" w:eastAsia="Microsoft YaHei"/>
                <w:color w:val="0B2545"/>
                <w:sz w:val="13"/>
              </w:rPr>
              <w:t>2017</w:t>
            </w:r>
          </w:p>
        </w:tc>
        <w:tc>
          <w:tcPr>
            <w:tcW w:type="dxa" w:w="1600"/>
          </w:tcPr>
          <w:p>
            <w:pPr>
              <w:keepLines/>
              <w:spacing w:after="0" w:line="276" w:lineRule="auto"/>
            </w:pPr>
            <w:r>
              <w:rPr>
                <w:rFonts w:ascii="Calibri" w:hAnsi="Calibri" w:eastAsia="Microsoft YaHei"/>
                <w:color w:val="0B2545"/>
                <w:sz w:val="13"/>
              </w:rPr>
              <w:t>R. Scannell; M. Maslov; G. Naylor; T. O'Gorman; M. Kempenaars; M. Carr; P. Bilkova; P. Bohm; L. Giudicotti; R. Pasqualotto; M. Bassan; G. Vayakis; et al. (14 authors)</w:t>
            </w:r>
          </w:p>
        </w:tc>
        <w:tc>
          <w:tcPr>
            <w:tcW w:type="dxa" w:w="3200"/>
          </w:tcPr>
          <w:p>
            <w:pPr>
              <w:keepLines/>
              <w:spacing w:after="0" w:line="276" w:lineRule="auto"/>
            </w:pPr>
            <w:r>
              <w:rPr>
                <w:rFonts w:ascii="Calibri" w:hAnsi="Calibri" w:eastAsia="Microsoft YaHei"/>
                <w:color w:val="0B2545"/>
                <w:sz w:val="13"/>
              </w:rPr>
              <w:t>Design advances of the Core Plasma Thomson Scattering diagnostic for ITER</w:t>
            </w:r>
          </w:p>
        </w:tc>
        <w:tc>
          <w:tcPr>
            <w:tcW w:type="dxa" w:w="1700"/>
          </w:tcPr>
          <w:p>
            <w:pPr>
              <w:keepLines/>
              <w:spacing w:after="0" w:line="276" w:lineRule="auto"/>
            </w:pPr>
            <w:r>
              <w:rPr>
                <w:rFonts w:ascii="Calibri" w:hAnsi="Calibri" w:eastAsia="Microsoft YaHei"/>
                <w:color w:val="0B2545"/>
                <w:sz w:val="13"/>
              </w:rPr>
              <w:t>Journal of Instrumentation</w:t>
            </w:r>
          </w:p>
        </w:tc>
        <w:tc>
          <w:tcPr>
            <w:tcW w:type="dxa" w:w="2260"/>
          </w:tcPr>
          <w:p>
            <w:pPr>
              <w:keepLines/>
              <w:spacing w:after="0" w:line="276" w:lineRule="auto"/>
            </w:pPr>
            <w:hyperlink r:id="rId50">
              <w:r>
                <w:rPr>
                  <w:rFonts w:ascii="Calibri" w:hAnsi="Calibri" w:eastAsia="Microsoft YaHei"/>
                  <w:color w:val="008C95"/>
                  <w:u w:val="single"/>
                </w:rPr>
                <w:t>打开原始来源 ↗</w:t>
              </w:r>
            </w:hyperlink>
          </w:p>
        </w:tc>
      </w:tr>
      <w:tr>
        <w:trPr>
          <w:cantSplit/>
        </w:trPr>
        <w:tc>
          <w:tcPr>
            <w:tcW w:type="dxa" w:w="600"/>
          </w:tcPr>
          <w:p>
            <w:pPr>
              <w:keepLines/>
              <w:spacing w:after="0" w:line="276" w:lineRule="auto"/>
            </w:pPr>
            <w:r>
              <w:rPr>
                <w:rFonts w:ascii="Calibri" w:hAnsi="Calibri" w:eastAsia="Microsoft YaHei"/>
                <w:color w:val="0B2545"/>
                <w:sz w:val="13"/>
              </w:rPr>
              <w:t>2016</w:t>
            </w:r>
          </w:p>
        </w:tc>
        <w:tc>
          <w:tcPr>
            <w:tcW w:type="dxa" w:w="1600"/>
          </w:tcPr>
          <w:p>
            <w:pPr>
              <w:keepLines/>
              <w:spacing w:after="0" w:line="276" w:lineRule="auto"/>
            </w:pPr>
            <w:r>
              <w:rPr>
                <w:rFonts w:ascii="Calibri" w:hAnsi="Calibri" w:eastAsia="Microsoft YaHei"/>
                <w:color w:val="0B2545"/>
                <w:sz w:val="13"/>
              </w:rPr>
              <w:t>Masao ISHIKAWA; Takashi KONDOH; Keigo TAKEDA; Kiyoshi ITAMI</w:t>
            </w:r>
          </w:p>
        </w:tc>
        <w:tc>
          <w:tcPr>
            <w:tcW w:type="dxa" w:w="3200"/>
          </w:tcPr>
          <w:p>
            <w:pPr>
              <w:keepLines/>
              <w:spacing w:after="0" w:line="276" w:lineRule="auto"/>
            </w:pPr>
            <w:r>
              <w:rPr>
                <w:rFonts w:ascii="Calibri" w:hAnsi="Calibri" w:eastAsia="Microsoft YaHei"/>
                <w:color w:val="0B2545"/>
                <w:sz w:val="13"/>
              </w:rPr>
              <w:t>Neutron Transport Analysis of the Processes Affecting the in situ Calibration of ITER In-Vessel Neutron Flux Monitors Equipped with a Micro-Fission Chamber System</w:t>
            </w:r>
          </w:p>
        </w:tc>
        <w:tc>
          <w:tcPr>
            <w:tcW w:type="dxa" w:w="1700"/>
          </w:tcPr>
          <w:p>
            <w:pPr>
              <w:keepLines/>
              <w:spacing w:after="0" w:line="276" w:lineRule="auto"/>
            </w:pPr>
            <w:r>
              <w:rPr>
                <w:rFonts w:ascii="Calibri" w:hAnsi="Calibri" w:eastAsia="Microsoft YaHei"/>
                <w:color w:val="0B2545"/>
                <w:sz w:val="13"/>
              </w:rPr>
              <w:t>Plasma and Fusion Research</w:t>
            </w:r>
          </w:p>
        </w:tc>
        <w:tc>
          <w:tcPr>
            <w:tcW w:type="dxa" w:w="2260"/>
          </w:tcPr>
          <w:p>
            <w:pPr>
              <w:keepLines/>
              <w:spacing w:after="0" w:line="276" w:lineRule="auto"/>
            </w:pPr>
            <w:hyperlink r:id="rId86">
              <w:r>
                <w:rPr>
                  <w:rFonts w:ascii="Calibri" w:hAnsi="Calibri" w:eastAsia="Microsoft YaHei"/>
                  <w:color w:val="008C95"/>
                  <w:u w:val="single"/>
                </w:rPr>
                <w:t>打开原始来源 ↗</w:t>
              </w:r>
            </w:hyperlink>
          </w:p>
        </w:tc>
      </w:tr>
      <w:tr>
        <w:trPr>
          <w:cantSplit/>
        </w:trPr>
        <w:tc>
          <w:tcPr>
            <w:tcW w:type="dxa" w:w="600"/>
          </w:tcPr>
          <w:p>
            <w:pPr>
              <w:keepLines/>
              <w:spacing w:after="0" w:line="276" w:lineRule="auto"/>
            </w:pPr>
            <w:r>
              <w:rPr>
                <w:rFonts w:ascii="Calibri" w:hAnsi="Calibri" w:eastAsia="Microsoft YaHei"/>
                <w:color w:val="0B2545"/>
                <w:sz w:val="13"/>
              </w:rPr>
              <w:t>2016</w:t>
            </w:r>
          </w:p>
        </w:tc>
        <w:tc>
          <w:tcPr>
            <w:tcW w:type="dxa" w:w="1600"/>
          </w:tcPr>
          <w:p>
            <w:pPr>
              <w:keepLines/>
              <w:spacing w:after="0" w:line="276" w:lineRule="auto"/>
            </w:pPr>
            <w:r>
              <w:rPr>
                <w:rFonts w:ascii="Calibri" w:hAnsi="Calibri" w:eastAsia="Microsoft YaHei"/>
                <w:color w:val="0B2545"/>
                <w:sz w:val="13"/>
              </w:rPr>
              <w:t>H. Qu; T. Zhang; X. Han; H. M. Xiang; F. Wen; K. N. Geng; Y. M. Wang; D. F. Kong; J. Q. Cai; C. B. Huang; Y. Gao; X. Gao; et al. (13 authors)</w:t>
            </w:r>
          </w:p>
        </w:tc>
        <w:tc>
          <w:tcPr>
            <w:tcW w:type="dxa" w:w="3200"/>
          </w:tcPr>
          <w:p>
            <w:pPr>
              <w:keepLines/>
              <w:spacing w:after="0" w:line="276" w:lineRule="auto"/>
            </w:pPr>
            <w:r>
              <w:rPr>
                <w:rFonts w:ascii="Calibri" w:hAnsi="Calibri" w:eastAsia="Microsoft YaHei"/>
                <w:color w:val="0B2545"/>
                <w:sz w:val="13"/>
              </w:rPr>
              <w:t>Multi-channel poloidal correlation reflectometry on experimental advanced superconducting tokamak</w:t>
            </w:r>
          </w:p>
        </w:tc>
        <w:tc>
          <w:tcPr>
            <w:tcW w:type="dxa" w:w="1700"/>
          </w:tcPr>
          <w:p>
            <w:pPr>
              <w:keepLines/>
              <w:spacing w:after="0" w:line="276" w:lineRule="auto"/>
            </w:pPr>
            <w:r>
              <w:rPr>
                <w:rFonts w:ascii="Calibri" w:hAnsi="Calibri" w:eastAsia="Microsoft YaHei"/>
                <w:color w:val="0B2545"/>
                <w:sz w:val="13"/>
              </w:rPr>
              <w:t>Review of Scientific Instruments</w:t>
            </w:r>
          </w:p>
        </w:tc>
        <w:tc>
          <w:tcPr>
            <w:tcW w:type="dxa" w:w="2260"/>
          </w:tcPr>
          <w:p>
            <w:pPr>
              <w:keepLines/>
              <w:spacing w:after="0" w:line="276" w:lineRule="auto"/>
            </w:pPr>
            <w:hyperlink r:id="rId107">
              <w:r>
                <w:rPr>
                  <w:rFonts w:ascii="Calibri" w:hAnsi="Calibri" w:eastAsia="Microsoft YaHei"/>
                  <w:color w:val="008C95"/>
                  <w:u w:val="single"/>
                </w:rPr>
                <w:t>打开原始来源 ↗</w:t>
              </w:r>
            </w:hyperlink>
          </w:p>
        </w:tc>
      </w:tr>
      <w:tr>
        <w:trPr>
          <w:cantSplit/>
        </w:trPr>
        <w:tc>
          <w:tcPr>
            <w:tcW w:type="dxa" w:w="600"/>
          </w:tcPr>
          <w:p>
            <w:pPr>
              <w:keepLines/>
              <w:spacing w:after="0" w:line="276" w:lineRule="auto"/>
            </w:pPr>
            <w:r>
              <w:rPr>
                <w:rFonts w:ascii="Calibri" w:hAnsi="Calibri" w:eastAsia="Microsoft YaHei"/>
                <w:color w:val="0B2545"/>
                <w:sz w:val="13"/>
              </w:rPr>
              <w:t>2016</w:t>
            </w:r>
          </w:p>
        </w:tc>
        <w:tc>
          <w:tcPr>
            <w:tcW w:type="dxa" w:w="1600"/>
          </w:tcPr>
          <w:p>
            <w:pPr>
              <w:keepLines/>
              <w:spacing w:after="0" w:line="276" w:lineRule="auto"/>
            </w:pPr>
            <w:r>
              <w:rPr>
                <w:rFonts w:ascii="Calibri" w:hAnsi="Calibri" w:eastAsia="Microsoft YaHei"/>
                <w:color w:val="0B2545"/>
                <w:sz w:val="13"/>
              </w:rPr>
              <w:t>J. Eriksson; S. Conroy; E. Andersson Sundén; C. Hellesen</w:t>
            </w:r>
          </w:p>
        </w:tc>
        <w:tc>
          <w:tcPr>
            <w:tcW w:type="dxa" w:w="3200"/>
          </w:tcPr>
          <w:p>
            <w:pPr>
              <w:keepLines/>
              <w:spacing w:after="0" w:line="276" w:lineRule="auto"/>
            </w:pPr>
            <w:r>
              <w:rPr>
                <w:rFonts w:ascii="Calibri" w:hAnsi="Calibri" w:eastAsia="Microsoft YaHei"/>
                <w:color w:val="0B2545"/>
                <w:sz w:val="13"/>
              </w:rPr>
              <w:t>Calculating fusion neutron energy spectra from arbitrary reactant distributions</w:t>
            </w:r>
          </w:p>
        </w:tc>
        <w:tc>
          <w:tcPr>
            <w:tcW w:type="dxa" w:w="1700"/>
          </w:tcPr>
          <w:p>
            <w:pPr>
              <w:keepLines/>
              <w:spacing w:after="0" w:line="276" w:lineRule="auto"/>
            </w:pPr>
            <w:r>
              <w:rPr>
                <w:rFonts w:ascii="Calibri" w:hAnsi="Calibri" w:eastAsia="Microsoft YaHei"/>
                <w:color w:val="0B2545"/>
                <w:sz w:val="13"/>
              </w:rPr>
              <w:t>Computer Physics Communications</w:t>
            </w:r>
          </w:p>
        </w:tc>
        <w:tc>
          <w:tcPr>
            <w:tcW w:type="dxa" w:w="2260"/>
          </w:tcPr>
          <w:p>
            <w:pPr>
              <w:keepLines/>
              <w:spacing w:after="0" w:line="276" w:lineRule="auto"/>
            </w:pPr>
            <w:hyperlink r:id="rId183">
              <w:r>
                <w:rPr>
                  <w:rFonts w:ascii="Calibri" w:hAnsi="Calibri" w:eastAsia="Microsoft YaHei"/>
                  <w:color w:val="008C95"/>
                  <w:u w:val="single"/>
                </w:rPr>
                <w:t>打开原始来源 ↗</w:t>
              </w:r>
            </w:hyperlink>
          </w:p>
        </w:tc>
      </w:tr>
      <w:tr>
        <w:trPr>
          <w:cantSplit/>
        </w:trPr>
        <w:tc>
          <w:tcPr>
            <w:tcW w:type="dxa" w:w="600"/>
          </w:tcPr>
          <w:p>
            <w:pPr>
              <w:keepLines/>
              <w:spacing w:after="0" w:line="276" w:lineRule="auto"/>
            </w:pPr>
            <w:r>
              <w:rPr>
                <w:rFonts w:ascii="Calibri" w:hAnsi="Calibri" w:eastAsia="Microsoft YaHei"/>
                <w:color w:val="0B2545"/>
                <w:sz w:val="13"/>
              </w:rPr>
              <w:t>2016</w:t>
            </w:r>
          </w:p>
        </w:tc>
        <w:tc>
          <w:tcPr>
            <w:tcW w:type="dxa" w:w="1600"/>
          </w:tcPr>
          <w:p>
            <w:pPr>
              <w:keepLines/>
              <w:spacing w:after="0" w:line="276" w:lineRule="auto"/>
            </w:pPr>
            <w:r>
              <w:rPr>
                <w:rFonts w:ascii="Calibri" w:hAnsi="Calibri" w:eastAsia="Microsoft YaHei"/>
                <w:color w:val="0B2545"/>
                <w:sz w:val="13"/>
              </w:rPr>
              <w:t>未完整列出</w:t>
            </w:r>
          </w:p>
        </w:tc>
        <w:tc>
          <w:tcPr>
            <w:tcW w:type="dxa" w:w="3200"/>
          </w:tcPr>
          <w:p>
            <w:pPr>
              <w:keepLines/>
              <w:spacing w:after="0" w:line="276" w:lineRule="auto"/>
            </w:pPr>
            <w:r>
              <w:rPr>
                <w:rFonts w:ascii="Calibri" w:hAnsi="Calibri" w:eastAsia="Microsoft YaHei"/>
                <w:color w:val="0B2545"/>
                <w:sz w:val="13"/>
              </w:rPr>
              <w:t>A High Voltage Signal Conditioner for the Quench Detection System of the ITER Superconducting Magnet</w:t>
            </w:r>
          </w:p>
        </w:tc>
        <w:tc>
          <w:tcPr>
            <w:tcW w:type="dxa" w:w="1700"/>
          </w:tcPr>
          <w:p>
            <w:pPr>
              <w:keepLines/>
              <w:spacing w:after="0" w:line="276" w:lineRule="auto"/>
            </w:pPr>
            <w:r>
              <w:rPr>
                <w:rFonts w:ascii="Calibri" w:hAnsi="Calibri" w:eastAsia="Microsoft YaHei"/>
                <w:color w:val="0B2545"/>
                <w:sz w:val="13"/>
              </w:rPr>
              <w:t>原始论文 / 官方来源</w:t>
            </w:r>
          </w:p>
        </w:tc>
        <w:tc>
          <w:tcPr>
            <w:tcW w:type="dxa" w:w="2260"/>
          </w:tcPr>
          <w:p>
            <w:pPr>
              <w:keepLines/>
              <w:spacing w:after="0" w:line="276" w:lineRule="auto"/>
            </w:pPr>
            <w:hyperlink r:id="rId130">
              <w:r>
                <w:rPr>
                  <w:rFonts w:ascii="Calibri" w:hAnsi="Calibri" w:eastAsia="Microsoft YaHei"/>
                  <w:color w:val="008C95"/>
                  <w:u w:val="single"/>
                </w:rPr>
                <w:t>打开原始来源 ↗</w:t>
              </w:r>
            </w:hyperlink>
          </w:p>
        </w:tc>
      </w:tr>
      <w:tr>
        <w:trPr>
          <w:cantSplit/>
        </w:trPr>
        <w:tc>
          <w:tcPr>
            <w:tcW w:type="dxa" w:w="600"/>
          </w:tcPr>
          <w:p>
            <w:pPr>
              <w:keepLines/>
              <w:spacing w:after="0" w:line="276" w:lineRule="auto"/>
            </w:pPr>
            <w:r>
              <w:rPr>
                <w:rFonts w:ascii="Calibri" w:hAnsi="Calibri" w:eastAsia="Microsoft YaHei"/>
                <w:color w:val="0B2545"/>
                <w:sz w:val="13"/>
              </w:rPr>
              <w:t>2015</w:t>
            </w:r>
          </w:p>
        </w:tc>
        <w:tc>
          <w:tcPr>
            <w:tcW w:type="dxa" w:w="1600"/>
          </w:tcPr>
          <w:p>
            <w:pPr>
              <w:keepLines/>
              <w:spacing w:after="0" w:line="276" w:lineRule="auto"/>
            </w:pPr>
            <w:r>
              <w:rPr>
                <w:rFonts w:ascii="Calibri" w:hAnsi="Calibri" w:eastAsia="Microsoft YaHei"/>
                <w:color w:val="0B2545"/>
                <w:sz w:val="13"/>
              </w:rPr>
              <w:t>Philippe Mertens; David A. Castaño Bardawil; Tétény Baross; Wolfgang Biel; Sebastian Friese; Nick Hawkes; Roger J.E. Jaspers; Vladislav Kotov; Yury Krasikov; Andreas Krimmer; Andrey Litnovsky; Oleksander Marchuk; et al. (18 authors)</w:t>
            </w:r>
          </w:p>
        </w:tc>
        <w:tc>
          <w:tcPr>
            <w:tcW w:type="dxa" w:w="3200"/>
          </w:tcPr>
          <w:p>
            <w:pPr>
              <w:keepLines/>
              <w:spacing w:after="0" w:line="276" w:lineRule="auto"/>
            </w:pPr>
            <w:r>
              <w:rPr>
                <w:rFonts w:ascii="Calibri" w:hAnsi="Calibri" w:eastAsia="Microsoft YaHei"/>
                <w:color w:val="0B2545"/>
                <w:sz w:val="13"/>
              </w:rPr>
              <w:t>Status of the R&amp;D activities to the design of an ITER core CXRS diagnostic system</w:t>
            </w:r>
          </w:p>
        </w:tc>
        <w:tc>
          <w:tcPr>
            <w:tcW w:type="dxa" w:w="1700"/>
          </w:tcPr>
          <w:p>
            <w:pPr>
              <w:keepLines/>
              <w:spacing w:after="0" w:line="276" w:lineRule="auto"/>
            </w:pPr>
            <w:r>
              <w:rPr>
                <w:rFonts w:ascii="Calibri" w:hAnsi="Calibri" w:eastAsia="Microsoft YaHei"/>
                <w:color w:val="0B2545"/>
                <w:sz w:val="13"/>
              </w:rPr>
              <w:t>Fusion Engineering and Design</w:t>
            </w:r>
          </w:p>
        </w:tc>
        <w:tc>
          <w:tcPr>
            <w:tcW w:type="dxa" w:w="2260"/>
          </w:tcPr>
          <w:p>
            <w:pPr>
              <w:keepLines/>
              <w:spacing w:after="0" w:line="276" w:lineRule="auto"/>
            </w:pPr>
            <w:hyperlink r:id="rId69">
              <w:r>
                <w:rPr>
                  <w:rFonts w:ascii="Calibri" w:hAnsi="Calibri" w:eastAsia="Microsoft YaHei"/>
                  <w:color w:val="008C95"/>
                  <w:u w:val="single"/>
                </w:rPr>
                <w:t>打开原始来源 ↗</w:t>
              </w:r>
            </w:hyperlink>
          </w:p>
        </w:tc>
      </w:tr>
      <w:tr>
        <w:trPr>
          <w:cantSplit/>
        </w:trPr>
        <w:tc>
          <w:tcPr>
            <w:tcW w:type="dxa" w:w="600"/>
          </w:tcPr>
          <w:p>
            <w:pPr>
              <w:keepLines/>
              <w:spacing w:after="0" w:line="276" w:lineRule="auto"/>
            </w:pPr>
            <w:r>
              <w:rPr>
                <w:rFonts w:ascii="Calibri" w:hAnsi="Calibri" w:eastAsia="Microsoft YaHei"/>
                <w:color w:val="0B2545"/>
                <w:sz w:val="13"/>
              </w:rPr>
              <w:t>2015</w:t>
            </w:r>
          </w:p>
        </w:tc>
        <w:tc>
          <w:tcPr>
            <w:tcW w:type="dxa" w:w="1600"/>
          </w:tcPr>
          <w:p>
            <w:pPr>
              <w:keepLines/>
              <w:spacing w:after="0" w:line="276" w:lineRule="auto"/>
            </w:pPr>
            <w:r>
              <w:rPr>
                <w:rFonts w:ascii="Calibri" w:hAnsi="Calibri" w:eastAsia="Microsoft YaHei"/>
                <w:color w:val="0B2545"/>
                <w:sz w:val="13"/>
              </w:rPr>
              <w:t>R. Reichle; P. Andrew; P. Bates; O. Bede; N. Casal; C.H. Choi; R. Barnsley; C. Damiani; L. Bertalot; G. Dubus; J. Ferreol; G. Jagannathan; et al. (29 authors)</w:t>
            </w:r>
          </w:p>
        </w:tc>
        <w:tc>
          <w:tcPr>
            <w:tcW w:type="dxa" w:w="3200"/>
          </w:tcPr>
          <w:p>
            <w:pPr>
              <w:keepLines/>
              <w:spacing w:after="0" w:line="276" w:lineRule="auto"/>
            </w:pPr>
            <w:r>
              <w:rPr>
                <w:rFonts w:ascii="Calibri" w:hAnsi="Calibri" w:eastAsia="Microsoft YaHei"/>
                <w:color w:val="0B2545"/>
                <w:sz w:val="13"/>
              </w:rPr>
              <w:t>Review of the ITER diagnostics suite for erosion, deposition, dust and tritium measurements</w:t>
            </w:r>
          </w:p>
        </w:tc>
        <w:tc>
          <w:tcPr>
            <w:tcW w:type="dxa" w:w="1700"/>
          </w:tcPr>
          <w:p>
            <w:pPr>
              <w:keepLines/>
              <w:spacing w:after="0" w:line="276" w:lineRule="auto"/>
            </w:pPr>
            <w:r>
              <w:rPr>
                <w:rFonts w:ascii="Calibri" w:hAnsi="Calibri" w:eastAsia="Microsoft YaHei"/>
                <w:color w:val="0B2545"/>
                <w:sz w:val="13"/>
              </w:rPr>
              <w:t>Journal of Nuclear Materials</w:t>
            </w:r>
          </w:p>
        </w:tc>
        <w:tc>
          <w:tcPr>
            <w:tcW w:type="dxa" w:w="2260"/>
          </w:tcPr>
          <w:p>
            <w:pPr>
              <w:keepLines/>
              <w:spacing w:after="0" w:line="276" w:lineRule="auto"/>
            </w:pPr>
            <w:hyperlink r:id="rId125">
              <w:r>
                <w:rPr>
                  <w:rFonts w:ascii="Calibri" w:hAnsi="Calibri" w:eastAsia="Microsoft YaHei"/>
                  <w:color w:val="008C95"/>
                  <w:u w:val="single"/>
                </w:rPr>
                <w:t>打开原始来源 ↗</w:t>
              </w:r>
            </w:hyperlink>
          </w:p>
        </w:tc>
      </w:tr>
      <w:tr>
        <w:trPr>
          <w:cantSplit/>
        </w:trPr>
        <w:tc>
          <w:tcPr>
            <w:tcW w:type="dxa" w:w="600"/>
          </w:tcPr>
          <w:p>
            <w:pPr>
              <w:keepLines/>
              <w:spacing w:after="0" w:line="276" w:lineRule="auto"/>
            </w:pPr>
            <w:r>
              <w:rPr>
                <w:rFonts w:ascii="Calibri" w:hAnsi="Calibri" w:eastAsia="Microsoft YaHei"/>
                <w:color w:val="0B2545"/>
                <w:sz w:val="13"/>
              </w:rPr>
              <w:t>2014</w:t>
            </w:r>
          </w:p>
        </w:tc>
        <w:tc>
          <w:tcPr>
            <w:tcW w:type="dxa" w:w="1600"/>
          </w:tcPr>
          <w:p>
            <w:pPr>
              <w:keepLines/>
              <w:spacing w:after="0" w:line="276" w:lineRule="auto"/>
            </w:pPr>
            <w:r>
              <w:rPr>
                <w:rFonts w:ascii="Calibri" w:hAnsi="Calibri" w:eastAsia="Microsoft YaHei"/>
                <w:color w:val="0B2545"/>
                <w:sz w:val="13"/>
              </w:rPr>
              <w:t>C. R. Seon; J. H. Hong; J. Jang; S. H. Lee; W. Choe; H. H. Lee; M. S. Cheon; S. Pak; H. G. Lee; W. Biel; R. Barnsley</w:t>
            </w:r>
          </w:p>
        </w:tc>
        <w:tc>
          <w:tcPr>
            <w:tcW w:type="dxa" w:w="3200"/>
          </w:tcPr>
          <w:p>
            <w:pPr>
              <w:keepLines/>
              <w:spacing w:after="0" w:line="276" w:lineRule="auto"/>
            </w:pPr>
            <w:r>
              <w:rPr>
                <w:rFonts w:ascii="Calibri" w:hAnsi="Calibri" w:eastAsia="Microsoft YaHei"/>
                <w:color w:val="0B2545"/>
                <w:sz w:val="13"/>
              </w:rPr>
              <w:t>Test of prototype ITER vacuum ultraviolet spectrometer and its application to impurity study in KSTAR plasmas</w:t>
            </w:r>
          </w:p>
        </w:tc>
        <w:tc>
          <w:tcPr>
            <w:tcW w:type="dxa" w:w="1700"/>
          </w:tcPr>
          <w:p>
            <w:pPr>
              <w:keepLines/>
              <w:spacing w:after="0" w:line="276" w:lineRule="auto"/>
            </w:pPr>
            <w:r>
              <w:rPr>
                <w:rFonts w:ascii="Calibri" w:hAnsi="Calibri" w:eastAsia="Microsoft YaHei"/>
                <w:color w:val="0B2545"/>
                <w:sz w:val="13"/>
              </w:rPr>
              <w:t>Review of Scientific Instruments</w:t>
            </w:r>
          </w:p>
        </w:tc>
        <w:tc>
          <w:tcPr>
            <w:tcW w:type="dxa" w:w="2260"/>
          </w:tcPr>
          <w:p>
            <w:pPr>
              <w:keepLines/>
              <w:spacing w:after="0" w:line="276" w:lineRule="auto"/>
            </w:pPr>
            <w:hyperlink r:id="rId79">
              <w:r>
                <w:rPr>
                  <w:rFonts w:ascii="Calibri" w:hAnsi="Calibri" w:eastAsia="Microsoft YaHei"/>
                  <w:color w:val="008C95"/>
                  <w:u w:val="single"/>
                </w:rPr>
                <w:t>打开原始来源 ↗</w:t>
              </w:r>
            </w:hyperlink>
          </w:p>
        </w:tc>
      </w:tr>
      <w:tr>
        <w:trPr>
          <w:cantSplit/>
        </w:trPr>
        <w:tc>
          <w:tcPr>
            <w:tcW w:type="dxa" w:w="600"/>
          </w:tcPr>
          <w:p>
            <w:pPr>
              <w:keepLines/>
              <w:spacing w:after="0" w:line="276" w:lineRule="auto"/>
            </w:pPr>
            <w:r>
              <w:rPr>
                <w:rFonts w:ascii="Calibri" w:hAnsi="Calibri" w:eastAsia="Microsoft YaHei"/>
                <w:color w:val="0B2545"/>
                <w:sz w:val="13"/>
              </w:rPr>
              <w:t>2014</w:t>
            </w:r>
          </w:p>
        </w:tc>
        <w:tc>
          <w:tcPr>
            <w:tcW w:type="dxa" w:w="1600"/>
          </w:tcPr>
          <w:p>
            <w:pPr>
              <w:keepLines/>
              <w:spacing w:after="0" w:line="276" w:lineRule="auto"/>
            </w:pPr>
            <w:r>
              <w:rPr>
                <w:rFonts w:ascii="Calibri" w:hAnsi="Calibri" w:eastAsia="Microsoft YaHei"/>
                <w:color w:val="0B2545"/>
                <w:sz w:val="13"/>
              </w:rPr>
              <w:t>E.E. Mukhin; R.A. Pitts; P. Andrew; I.M. Bukreev; P.V. Chernakov; L. Giudicotti; G. Huijsmans; M.M. Kochergin; A.N. Koval; A.S. Kukushkin; G.S. Kurskiev; A.E. Litvinov; et al. (18 authors)</w:t>
            </w:r>
          </w:p>
        </w:tc>
        <w:tc>
          <w:tcPr>
            <w:tcW w:type="dxa" w:w="3200"/>
          </w:tcPr>
          <w:p>
            <w:pPr>
              <w:keepLines/>
              <w:spacing w:after="0" w:line="276" w:lineRule="auto"/>
            </w:pPr>
            <w:r>
              <w:rPr>
                <w:rFonts w:ascii="Calibri" w:hAnsi="Calibri" w:eastAsia="Microsoft YaHei"/>
                <w:color w:val="0B2545"/>
                <w:sz w:val="13"/>
              </w:rPr>
              <w:t>Physical aspects of divertor Thomson scattering implementation on ITER</w:t>
            </w:r>
          </w:p>
        </w:tc>
        <w:tc>
          <w:tcPr>
            <w:tcW w:type="dxa" w:w="1700"/>
          </w:tcPr>
          <w:p>
            <w:pPr>
              <w:keepLines/>
              <w:spacing w:after="0" w:line="276" w:lineRule="auto"/>
            </w:pPr>
            <w:r>
              <w:rPr>
                <w:rFonts w:ascii="Calibri" w:hAnsi="Calibri" w:eastAsia="Microsoft YaHei"/>
                <w:color w:val="0B2545"/>
                <w:sz w:val="13"/>
              </w:rPr>
              <w:t>Nuclear Fusion</w:t>
            </w:r>
          </w:p>
        </w:tc>
        <w:tc>
          <w:tcPr>
            <w:tcW w:type="dxa" w:w="2260"/>
          </w:tcPr>
          <w:p>
            <w:pPr>
              <w:keepLines/>
              <w:spacing w:after="0" w:line="276" w:lineRule="auto"/>
            </w:pPr>
            <w:hyperlink r:id="rId117">
              <w:r>
                <w:rPr>
                  <w:rFonts w:ascii="Calibri" w:hAnsi="Calibri" w:eastAsia="Microsoft YaHei"/>
                  <w:color w:val="008C95"/>
                  <w:u w:val="single"/>
                </w:rPr>
                <w:t>打开原始来源 ↗</w:t>
              </w:r>
            </w:hyperlink>
          </w:p>
        </w:tc>
      </w:tr>
      <w:tr>
        <w:trPr>
          <w:cantSplit/>
        </w:trPr>
        <w:tc>
          <w:tcPr>
            <w:tcW w:type="dxa" w:w="600"/>
          </w:tcPr>
          <w:p>
            <w:pPr>
              <w:keepLines/>
              <w:spacing w:after="0" w:line="276" w:lineRule="auto"/>
            </w:pPr>
            <w:r>
              <w:rPr>
                <w:rFonts w:ascii="Calibri" w:hAnsi="Calibri" w:eastAsia="Microsoft YaHei"/>
                <w:color w:val="0B2545"/>
                <w:sz w:val="13"/>
              </w:rPr>
              <w:t>2014</w:t>
            </w:r>
          </w:p>
        </w:tc>
        <w:tc>
          <w:tcPr>
            <w:tcW w:type="dxa" w:w="1600"/>
          </w:tcPr>
          <w:p>
            <w:pPr>
              <w:keepLines/>
              <w:spacing w:after="0" w:line="276" w:lineRule="auto"/>
            </w:pPr>
            <w:r>
              <w:rPr>
                <w:rFonts w:ascii="Calibri" w:hAnsi="Calibri" w:eastAsia="Microsoft YaHei"/>
                <w:color w:val="0B2545"/>
                <w:sz w:val="13"/>
              </w:rPr>
              <w:t>D. W. Huang; Z. Y. Chen; Y. H. Luo; R. H. Tong; W. Yan; W. Jin; G. Zhuang</w:t>
            </w:r>
          </w:p>
        </w:tc>
        <w:tc>
          <w:tcPr>
            <w:tcW w:type="dxa" w:w="3200"/>
          </w:tcPr>
          <w:p>
            <w:pPr>
              <w:keepLines/>
              <w:spacing w:after="0" w:line="276" w:lineRule="auto"/>
            </w:pPr>
            <w:r>
              <w:rPr>
                <w:rFonts w:ascii="Calibri" w:hAnsi="Calibri" w:eastAsia="Microsoft YaHei"/>
                <w:color w:val="0B2545"/>
                <w:sz w:val="13"/>
              </w:rPr>
              <w:t>Hard X-ray spatial array diagnostics on Joint Texas Experimental Tokamak</w:t>
            </w:r>
          </w:p>
        </w:tc>
        <w:tc>
          <w:tcPr>
            <w:tcW w:type="dxa" w:w="1700"/>
          </w:tcPr>
          <w:p>
            <w:pPr>
              <w:keepLines/>
              <w:spacing w:after="0" w:line="276" w:lineRule="auto"/>
            </w:pPr>
            <w:r>
              <w:rPr>
                <w:rFonts w:ascii="Calibri" w:hAnsi="Calibri" w:eastAsia="Microsoft YaHei"/>
                <w:color w:val="0B2545"/>
                <w:sz w:val="13"/>
              </w:rPr>
              <w:t>Review of Scientific Instruments</w:t>
            </w:r>
          </w:p>
        </w:tc>
        <w:tc>
          <w:tcPr>
            <w:tcW w:type="dxa" w:w="2260"/>
          </w:tcPr>
          <w:p>
            <w:pPr>
              <w:keepLines/>
              <w:spacing w:after="0" w:line="276" w:lineRule="auto"/>
            </w:pPr>
            <w:hyperlink r:id="rId83">
              <w:r>
                <w:rPr>
                  <w:rFonts w:ascii="Calibri" w:hAnsi="Calibri" w:eastAsia="Microsoft YaHei"/>
                  <w:color w:val="008C95"/>
                  <w:u w:val="single"/>
                </w:rPr>
                <w:t>打开原始来源 ↗</w:t>
              </w:r>
            </w:hyperlink>
          </w:p>
        </w:tc>
      </w:tr>
      <w:tr>
        <w:trPr>
          <w:cantSplit/>
        </w:trPr>
        <w:tc>
          <w:tcPr>
            <w:tcW w:type="dxa" w:w="600"/>
          </w:tcPr>
          <w:p>
            <w:pPr>
              <w:keepLines/>
              <w:spacing w:after="0" w:line="276" w:lineRule="auto"/>
            </w:pPr>
            <w:r>
              <w:rPr>
                <w:rFonts w:ascii="Calibri" w:hAnsi="Calibri" w:eastAsia="Microsoft YaHei"/>
                <w:color w:val="0B2545"/>
                <w:sz w:val="13"/>
              </w:rPr>
              <w:t>2014</w:t>
            </w:r>
          </w:p>
        </w:tc>
        <w:tc>
          <w:tcPr>
            <w:tcW w:type="dxa" w:w="1600"/>
          </w:tcPr>
          <w:p>
            <w:pPr>
              <w:keepLines/>
              <w:spacing w:after="0" w:line="276" w:lineRule="auto"/>
            </w:pPr>
            <w:r>
              <w:rPr>
                <w:rFonts w:ascii="Calibri" w:hAnsi="Calibri" w:eastAsia="Microsoft YaHei"/>
                <w:color w:val="0B2545"/>
                <w:sz w:val="13"/>
              </w:rPr>
              <w:t>T. R. Younkin; T. M. Biewer; C. C. Klepper; C. Marcus</w:t>
            </w:r>
          </w:p>
        </w:tc>
        <w:tc>
          <w:tcPr>
            <w:tcW w:type="dxa" w:w="3200"/>
          </w:tcPr>
          <w:p>
            <w:pPr>
              <w:keepLines/>
              <w:spacing w:after="0" w:line="276" w:lineRule="auto"/>
            </w:pPr>
            <w:r>
              <w:rPr>
                <w:rFonts w:ascii="Calibri" w:hAnsi="Calibri" w:eastAsia="Microsoft YaHei"/>
                <w:color w:val="0B2545"/>
                <w:sz w:val="13"/>
              </w:rPr>
              <w:t>Description of the prototype diagnostic residual gas analyzer for ITER</w:t>
            </w:r>
          </w:p>
        </w:tc>
        <w:tc>
          <w:tcPr>
            <w:tcW w:type="dxa" w:w="1700"/>
          </w:tcPr>
          <w:p>
            <w:pPr>
              <w:keepLines/>
              <w:spacing w:after="0" w:line="276" w:lineRule="auto"/>
            </w:pPr>
            <w:r>
              <w:rPr>
                <w:rFonts w:ascii="Calibri" w:hAnsi="Calibri" w:eastAsia="Microsoft YaHei"/>
                <w:color w:val="0B2545"/>
                <w:sz w:val="13"/>
              </w:rPr>
              <w:t>Review of Scientific Instruments</w:t>
            </w:r>
          </w:p>
        </w:tc>
        <w:tc>
          <w:tcPr>
            <w:tcW w:type="dxa" w:w="2260"/>
          </w:tcPr>
          <w:p>
            <w:pPr>
              <w:keepLines/>
              <w:spacing w:after="0" w:line="276" w:lineRule="auto"/>
            </w:pPr>
            <w:hyperlink r:id="rId142">
              <w:r>
                <w:rPr>
                  <w:rFonts w:ascii="Calibri" w:hAnsi="Calibri" w:eastAsia="Microsoft YaHei"/>
                  <w:color w:val="008C95"/>
                  <w:u w:val="single"/>
                </w:rPr>
                <w:t>打开原始来源 ↗</w:t>
              </w:r>
            </w:hyperlink>
          </w:p>
        </w:tc>
      </w:tr>
      <w:tr>
        <w:trPr>
          <w:cantSplit/>
        </w:trPr>
        <w:tc>
          <w:tcPr>
            <w:tcW w:type="dxa" w:w="600"/>
          </w:tcPr>
          <w:p>
            <w:pPr>
              <w:keepLines/>
              <w:spacing w:after="0" w:line="276" w:lineRule="auto"/>
            </w:pPr>
            <w:r>
              <w:rPr>
                <w:rFonts w:ascii="Calibri" w:hAnsi="Calibri" w:eastAsia="Microsoft YaHei"/>
                <w:color w:val="0B2545"/>
                <w:sz w:val="13"/>
              </w:rPr>
              <w:t>2013</w:t>
            </w:r>
          </w:p>
        </w:tc>
        <w:tc>
          <w:tcPr>
            <w:tcW w:type="dxa" w:w="1600"/>
          </w:tcPr>
          <w:p>
            <w:pPr>
              <w:keepLines/>
              <w:spacing w:after="0" w:line="276" w:lineRule="auto"/>
            </w:pPr>
            <w:r>
              <w:rPr>
                <w:rFonts w:ascii="Calibri" w:hAnsi="Calibri" w:eastAsia="Microsoft YaHei"/>
                <w:color w:val="0B2545"/>
                <w:sz w:val="13"/>
              </w:rPr>
              <w:t>JET LIDAR team</w:t>
            </w:r>
          </w:p>
        </w:tc>
        <w:tc>
          <w:tcPr>
            <w:tcW w:type="dxa" w:w="3200"/>
          </w:tcPr>
          <w:p>
            <w:pPr>
              <w:keepLines/>
              <w:spacing w:after="0" w:line="276" w:lineRule="auto"/>
            </w:pPr>
            <w:r>
              <w:rPr>
                <w:rFonts w:ascii="Calibri" w:hAnsi="Calibri" w:eastAsia="Microsoft YaHei"/>
                <w:color w:val="0B2545"/>
                <w:sz w:val="13"/>
              </w:rPr>
              <w:t>The JET LIDAR Thomson scattering diagnostic</w:t>
            </w:r>
          </w:p>
        </w:tc>
        <w:tc>
          <w:tcPr>
            <w:tcW w:type="dxa" w:w="1700"/>
          </w:tcPr>
          <w:p>
            <w:pPr>
              <w:keepLines/>
              <w:spacing w:after="0" w:line="276" w:lineRule="auto"/>
            </w:pPr>
            <w:r>
              <w:rPr>
                <w:rFonts w:ascii="Calibri" w:hAnsi="Calibri" w:eastAsia="Microsoft YaHei"/>
                <w:color w:val="0B2545"/>
                <w:sz w:val="13"/>
              </w:rPr>
              <w:t>arXiv</w:t>
            </w:r>
          </w:p>
        </w:tc>
        <w:tc>
          <w:tcPr>
            <w:tcW w:type="dxa" w:w="2260"/>
          </w:tcPr>
          <w:p>
            <w:pPr>
              <w:keepLines/>
              <w:spacing w:after="0" w:line="276" w:lineRule="auto"/>
            </w:pPr>
            <w:hyperlink r:id="rId51">
              <w:r>
                <w:rPr>
                  <w:rFonts w:ascii="Calibri" w:hAnsi="Calibri" w:eastAsia="Microsoft YaHei"/>
                  <w:color w:val="008C95"/>
                  <w:u w:val="single"/>
                </w:rPr>
                <w:t>打开原始来源 ↗</w:t>
              </w:r>
            </w:hyperlink>
          </w:p>
        </w:tc>
      </w:tr>
      <w:tr>
        <w:trPr>
          <w:cantSplit/>
        </w:trPr>
        <w:tc>
          <w:tcPr>
            <w:tcW w:type="dxa" w:w="600"/>
          </w:tcPr>
          <w:p>
            <w:pPr>
              <w:keepLines/>
              <w:spacing w:after="0" w:line="276" w:lineRule="auto"/>
            </w:pPr>
            <w:r>
              <w:rPr>
                <w:rFonts w:ascii="Calibri" w:hAnsi="Calibri" w:eastAsia="Microsoft YaHei"/>
                <w:color w:val="0B2545"/>
                <w:sz w:val="13"/>
              </w:rPr>
              <w:t>2013</w:t>
            </w:r>
          </w:p>
        </w:tc>
        <w:tc>
          <w:tcPr>
            <w:tcW w:type="dxa" w:w="1600"/>
          </w:tcPr>
          <w:p>
            <w:pPr>
              <w:keepLines/>
              <w:spacing w:after="0" w:line="276" w:lineRule="auto"/>
            </w:pPr>
            <w:r>
              <w:rPr>
                <w:rFonts w:ascii="Calibri" w:hAnsi="Calibri" w:eastAsia="Microsoft YaHei"/>
                <w:color w:val="0B2545"/>
                <w:sz w:val="13"/>
              </w:rPr>
              <w:t>未完整列出</w:t>
            </w:r>
          </w:p>
        </w:tc>
        <w:tc>
          <w:tcPr>
            <w:tcW w:type="dxa" w:w="3200"/>
          </w:tcPr>
          <w:p>
            <w:pPr>
              <w:keepLines/>
              <w:spacing w:after="0" w:line="276" w:lineRule="auto"/>
            </w:pPr>
            <w:r>
              <w:rPr>
                <w:rFonts w:ascii="Calibri" w:hAnsi="Calibri" w:eastAsia="Microsoft YaHei"/>
                <w:color w:val="0B2545"/>
                <w:sz w:val="13"/>
              </w:rPr>
              <w:t>Spectroscopic localization of water leaks in ITER</w:t>
            </w:r>
          </w:p>
        </w:tc>
        <w:tc>
          <w:tcPr>
            <w:tcW w:type="dxa" w:w="1700"/>
          </w:tcPr>
          <w:p>
            <w:pPr>
              <w:keepLines/>
              <w:spacing w:after="0" w:line="276" w:lineRule="auto"/>
            </w:pPr>
            <w:r>
              <w:rPr>
                <w:rFonts w:ascii="Calibri" w:hAnsi="Calibri" w:eastAsia="Microsoft YaHei"/>
                <w:color w:val="0B2545"/>
                <w:sz w:val="13"/>
              </w:rPr>
              <w:t>原始论文 / 官方来源</w:t>
            </w:r>
          </w:p>
        </w:tc>
        <w:tc>
          <w:tcPr>
            <w:tcW w:type="dxa" w:w="2260"/>
          </w:tcPr>
          <w:p>
            <w:pPr>
              <w:keepLines/>
              <w:spacing w:after="0" w:line="276" w:lineRule="auto"/>
            </w:pPr>
            <w:hyperlink r:id="rId144">
              <w:r>
                <w:rPr>
                  <w:rFonts w:ascii="Calibri" w:hAnsi="Calibri" w:eastAsia="Microsoft YaHei"/>
                  <w:color w:val="008C95"/>
                  <w:u w:val="single"/>
                </w:rPr>
                <w:t>打开原始来源 ↗</w:t>
              </w:r>
            </w:hyperlink>
          </w:p>
        </w:tc>
      </w:tr>
      <w:tr>
        <w:trPr>
          <w:cantSplit/>
        </w:trPr>
        <w:tc>
          <w:tcPr>
            <w:tcW w:type="dxa" w:w="600"/>
          </w:tcPr>
          <w:p>
            <w:pPr>
              <w:keepLines/>
              <w:spacing w:after="0" w:line="276" w:lineRule="auto"/>
            </w:pPr>
            <w:r>
              <w:rPr>
                <w:rFonts w:ascii="Calibri" w:hAnsi="Calibri" w:eastAsia="Microsoft YaHei"/>
                <w:color w:val="0B2545"/>
                <w:sz w:val="13"/>
              </w:rPr>
              <w:t>2013</w:t>
            </w:r>
          </w:p>
        </w:tc>
        <w:tc>
          <w:tcPr>
            <w:tcW w:type="dxa" w:w="1600"/>
          </w:tcPr>
          <w:p>
            <w:pPr>
              <w:keepLines/>
              <w:spacing w:after="0" w:line="276" w:lineRule="auto"/>
            </w:pPr>
            <w:r>
              <w:rPr>
                <w:rFonts w:ascii="Calibri" w:hAnsi="Calibri" w:eastAsia="Microsoft YaHei"/>
                <w:color w:val="0B2545"/>
                <w:sz w:val="13"/>
              </w:rPr>
              <w:t>N Teplova (Kosolapova); K Itoh; S-I Itoh; E Gusakov; S Heuraux; S Inagaki; M Sasaki; T Kobayashi; Y Nagashima; S Oldenbürger; A Fujisawa</w:t>
            </w:r>
          </w:p>
        </w:tc>
        <w:tc>
          <w:tcPr>
            <w:tcW w:type="dxa" w:w="3200"/>
          </w:tcPr>
          <w:p>
            <w:pPr>
              <w:keepLines/>
              <w:spacing w:after="0" w:line="276" w:lineRule="auto"/>
            </w:pPr>
            <w:r>
              <w:rPr>
                <w:rFonts w:ascii="Calibri" w:hAnsi="Calibri" w:eastAsia="Microsoft YaHei"/>
                <w:color w:val="0B2545"/>
                <w:sz w:val="13"/>
              </w:rPr>
              <w:t>On turbulence-correlation analysis based on correlation reflectometry</w:t>
            </w:r>
          </w:p>
        </w:tc>
        <w:tc>
          <w:tcPr>
            <w:tcW w:type="dxa" w:w="1700"/>
          </w:tcPr>
          <w:p>
            <w:pPr>
              <w:keepLines/>
              <w:spacing w:after="0" w:line="276" w:lineRule="auto"/>
            </w:pPr>
            <w:r>
              <w:rPr>
                <w:rFonts w:ascii="Calibri" w:hAnsi="Calibri" w:eastAsia="Microsoft YaHei"/>
                <w:color w:val="0B2545"/>
                <w:sz w:val="13"/>
              </w:rPr>
              <w:t>Physica Scripta</w:t>
            </w:r>
          </w:p>
        </w:tc>
        <w:tc>
          <w:tcPr>
            <w:tcW w:type="dxa" w:w="2260"/>
          </w:tcPr>
          <w:p>
            <w:pPr>
              <w:keepLines/>
              <w:spacing w:after="0" w:line="276" w:lineRule="auto"/>
            </w:pPr>
            <w:hyperlink r:id="rId108">
              <w:r>
                <w:rPr>
                  <w:rFonts w:ascii="Calibri" w:hAnsi="Calibri" w:eastAsia="Microsoft YaHei"/>
                  <w:color w:val="008C95"/>
                  <w:u w:val="single"/>
                </w:rPr>
                <w:t>打开原始来源 ↗</w:t>
              </w:r>
            </w:hyperlink>
          </w:p>
        </w:tc>
      </w:tr>
      <w:tr>
        <w:trPr>
          <w:cantSplit/>
        </w:trPr>
        <w:tc>
          <w:tcPr>
            <w:tcW w:type="dxa" w:w="600"/>
          </w:tcPr>
          <w:p>
            <w:pPr>
              <w:keepLines/>
              <w:spacing w:after="0" w:line="276" w:lineRule="auto"/>
            </w:pPr>
            <w:r>
              <w:rPr>
                <w:rFonts w:ascii="Calibri" w:hAnsi="Calibri" w:eastAsia="Microsoft YaHei"/>
                <w:color w:val="0B2545"/>
                <w:sz w:val="13"/>
              </w:rPr>
              <w:t>2013</w:t>
            </w:r>
          </w:p>
        </w:tc>
        <w:tc>
          <w:tcPr>
            <w:tcW w:type="dxa" w:w="1600"/>
          </w:tcPr>
          <w:p>
            <w:pPr>
              <w:keepLines/>
              <w:spacing w:after="0" w:line="276" w:lineRule="auto"/>
            </w:pPr>
            <w:r>
              <w:rPr>
                <w:rFonts w:ascii="Calibri" w:hAnsi="Calibri" w:eastAsia="Microsoft YaHei"/>
                <w:color w:val="0B2545"/>
                <w:sz w:val="13"/>
              </w:rPr>
              <w:t>C A Michael; N Conway; B Crowley; O Jones; W W Heidbrink; S Pinches; E Braeken; R Akers; C Challis; M Turnyanskiy; A Patel; D Muir; et al. (14 authors)</w:t>
            </w:r>
          </w:p>
        </w:tc>
        <w:tc>
          <w:tcPr>
            <w:tcW w:type="dxa" w:w="3200"/>
          </w:tcPr>
          <w:p>
            <w:pPr>
              <w:keepLines/>
              <w:spacing w:after="0" w:line="276" w:lineRule="auto"/>
            </w:pPr>
            <w:r>
              <w:rPr>
                <w:rFonts w:ascii="Calibri" w:hAnsi="Calibri" w:eastAsia="Microsoft YaHei"/>
                <w:color w:val="0B2545"/>
                <w:sz w:val="13"/>
              </w:rPr>
              <w:t>Dual view FIDA measurements on MAST</w:t>
            </w:r>
          </w:p>
        </w:tc>
        <w:tc>
          <w:tcPr>
            <w:tcW w:type="dxa" w:w="1700"/>
          </w:tcPr>
          <w:p>
            <w:pPr>
              <w:keepLines/>
              <w:spacing w:after="0" w:line="276" w:lineRule="auto"/>
            </w:pPr>
            <w:r>
              <w:rPr>
                <w:rFonts w:ascii="Calibri" w:hAnsi="Calibri" w:eastAsia="Microsoft YaHei"/>
                <w:color w:val="0B2545"/>
                <w:sz w:val="13"/>
              </w:rPr>
              <w:t>Plasma Physics and Controlled Fusion</w:t>
            </w:r>
          </w:p>
        </w:tc>
        <w:tc>
          <w:tcPr>
            <w:tcW w:type="dxa" w:w="2260"/>
          </w:tcPr>
          <w:p>
            <w:pPr>
              <w:keepLines/>
              <w:spacing w:after="0" w:line="276" w:lineRule="auto"/>
            </w:pPr>
            <w:hyperlink r:id="rId97">
              <w:r>
                <w:rPr>
                  <w:rFonts w:ascii="Calibri" w:hAnsi="Calibri" w:eastAsia="Microsoft YaHei"/>
                  <w:color w:val="008C95"/>
                  <w:u w:val="single"/>
                </w:rPr>
                <w:t>打开原始来源 ↗</w:t>
              </w:r>
            </w:hyperlink>
          </w:p>
        </w:tc>
      </w:tr>
      <w:tr>
        <w:trPr>
          <w:cantSplit/>
        </w:trPr>
        <w:tc>
          <w:tcPr>
            <w:tcW w:type="dxa" w:w="600"/>
          </w:tcPr>
          <w:p>
            <w:pPr>
              <w:keepLines/>
              <w:spacing w:after="0" w:line="276" w:lineRule="auto"/>
            </w:pPr>
            <w:r>
              <w:rPr>
                <w:rFonts w:ascii="Calibri" w:hAnsi="Calibri" w:eastAsia="Microsoft YaHei"/>
                <w:color w:val="0B2545"/>
                <w:sz w:val="13"/>
              </w:rPr>
              <w:t>2013</w:t>
            </w:r>
          </w:p>
        </w:tc>
        <w:tc>
          <w:tcPr>
            <w:tcW w:type="dxa" w:w="1600"/>
          </w:tcPr>
          <w:p>
            <w:pPr>
              <w:keepLines/>
              <w:spacing w:after="0" w:line="276" w:lineRule="auto"/>
            </w:pPr>
            <w:r>
              <w:rPr>
                <w:rFonts w:ascii="Calibri" w:hAnsi="Calibri" w:eastAsia="Microsoft YaHei"/>
                <w:color w:val="0B2545"/>
                <w:sz w:val="13"/>
              </w:rPr>
              <w:t>Masaki TAKEUCHI; Tatsuo SUGIE; Hiroaki OGAWA; Masao ISHIKAWA; Takahiko SHIMADA; Yoshinori KUSAMA</w:t>
            </w:r>
          </w:p>
        </w:tc>
        <w:tc>
          <w:tcPr>
            <w:tcW w:type="dxa" w:w="3200"/>
          </w:tcPr>
          <w:p>
            <w:pPr>
              <w:keepLines/>
              <w:spacing w:after="0" w:line="276" w:lineRule="auto"/>
            </w:pPr>
            <w:r>
              <w:rPr>
                <w:rFonts w:ascii="Calibri" w:hAnsi="Calibri" w:eastAsia="Microsoft YaHei"/>
                <w:color w:val="0B2545"/>
                <w:sz w:val="13"/>
              </w:rPr>
              <w:t>Development of Divertor IR Thermography for ITER</w:t>
            </w:r>
          </w:p>
        </w:tc>
        <w:tc>
          <w:tcPr>
            <w:tcW w:type="dxa" w:w="1700"/>
          </w:tcPr>
          <w:p>
            <w:pPr>
              <w:keepLines/>
              <w:spacing w:after="0" w:line="276" w:lineRule="auto"/>
            </w:pPr>
            <w:r>
              <w:rPr>
                <w:rFonts w:ascii="Calibri" w:hAnsi="Calibri" w:eastAsia="Microsoft YaHei"/>
                <w:color w:val="0B2545"/>
                <w:sz w:val="13"/>
              </w:rPr>
              <w:t>Plasma and Fusion Research</w:t>
            </w:r>
          </w:p>
        </w:tc>
        <w:tc>
          <w:tcPr>
            <w:tcW w:type="dxa" w:w="2260"/>
          </w:tcPr>
          <w:p>
            <w:pPr>
              <w:keepLines/>
              <w:spacing w:after="0" w:line="276" w:lineRule="auto"/>
            </w:pPr>
            <w:hyperlink r:id="rId114">
              <w:r>
                <w:rPr>
                  <w:rFonts w:ascii="Calibri" w:hAnsi="Calibri" w:eastAsia="Microsoft YaHei"/>
                  <w:color w:val="008C95"/>
                  <w:u w:val="single"/>
                </w:rPr>
                <w:t>打开原始来源 ↗</w:t>
              </w:r>
            </w:hyperlink>
          </w:p>
        </w:tc>
      </w:tr>
      <w:tr>
        <w:trPr>
          <w:cantSplit/>
        </w:trPr>
        <w:tc>
          <w:tcPr>
            <w:tcW w:type="dxa" w:w="600"/>
          </w:tcPr>
          <w:p>
            <w:pPr>
              <w:keepLines/>
              <w:spacing w:after="0" w:line="276" w:lineRule="auto"/>
            </w:pPr>
            <w:r>
              <w:rPr>
                <w:rFonts w:ascii="Calibri" w:hAnsi="Calibri" w:eastAsia="Microsoft YaHei"/>
                <w:color w:val="0B2545"/>
                <w:sz w:val="13"/>
              </w:rPr>
              <w:t>2013</w:t>
            </w:r>
          </w:p>
        </w:tc>
        <w:tc>
          <w:tcPr>
            <w:tcW w:type="dxa" w:w="1600"/>
          </w:tcPr>
          <w:p>
            <w:pPr>
              <w:keepLines/>
              <w:spacing w:after="0" w:line="276" w:lineRule="auto"/>
            </w:pPr>
            <w:r>
              <w:rPr>
                <w:rFonts w:ascii="Calibri" w:hAnsi="Calibri" w:eastAsia="Microsoft YaHei"/>
                <w:color w:val="0B2545"/>
                <w:sz w:val="13"/>
              </w:rPr>
              <w:t>Vasile Zoita; Sorin Soare; Teddy Craciunescu; Marian Curuia; Vasily Kiptily; Nick Balshaw; Patrick Blanchard; David Croft; Andrea Murari; Brian Syme</w:t>
            </w:r>
          </w:p>
        </w:tc>
        <w:tc>
          <w:tcPr>
            <w:tcW w:type="dxa" w:w="3200"/>
          </w:tcPr>
          <w:p>
            <w:pPr>
              <w:keepLines/>
              <w:spacing w:after="0" w:line="276" w:lineRule="auto"/>
            </w:pPr>
            <w:r>
              <w:rPr>
                <w:rFonts w:ascii="Calibri" w:hAnsi="Calibri" w:eastAsia="Microsoft YaHei"/>
                <w:color w:val="0B2545"/>
                <w:sz w:val="13"/>
              </w:rPr>
              <w:t>Definition of the radiation fields for the JET gamma-ray spectrometer diagnostics</w:t>
            </w:r>
          </w:p>
        </w:tc>
        <w:tc>
          <w:tcPr>
            <w:tcW w:type="dxa" w:w="1700"/>
          </w:tcPr>
          <w:p>
            <w:pPr>
              <w:keepLines/>
              <w:spacing w:after="0" w:line="276" w:lineRule="auto"/>
            </w:pPr>
            <w:r>
              <w:rPr>
                <w:rFonts w:ascii="Calibri" w:hAnsi="Calibri" w:eastAsia="Microsoft YaHei"/>
                <w:color w:val="0B2545"/>
                <w:sz w:val="13"/>
              </w:rPr>
              <w:t>Fusion Engineering and Design</w:t>
            </w:r>
          </w:p>
        </w:tc>
        <w:tc>
          <w:tcPr>
            <w:tcW w:type="dxa" w:w="2260"/>
          </w:tcPr>
          <w:p>
            <w:pPr>
              <w:keepLines/>
              <w:spacing w:after="0" w:line="276" w:lineRule="auto"/>
            </w:pPr>
            <w:hyperlink r:id="rId94">
              <w:r>
                <w:rPr>
                  <w:rFonts w:ascii="Calibri" w:hAnsi="Calibri" w:eastAsia="Microsoft YaHei"/>
                  <w:color w:val="008C95"/>
                  <w:u w:val="single"/>
                </w:rPr>
                <w:t>打开原始来源 ↗</w:t>
              </w:r>
            </w:hyperlink>
          </w:p>
        </w:tc>
      </w:tr>
      <w:tr>
        <w:trPr>
          <w:cantSplit/>
        </w:trPr>
        <w:tc>
          <w:tcPr>
            <w:tcW w:type="dxa" w:w="600"/>
          </w:tcPr>
          <w:p>
            <w:pPr>
              <w:keepLines/>
              <w:spacing w:after="0" w:line="276" w:lineRule="auto"/>
            </w:pPr>
            <w:r>
              <w:rPr>
                <w:rFonts w:ascii="Calibri" w:hAnsi="Calibri" w:eastAsia="Microsoft YaHei"/>
                <w:color w:val="0B2545"/>
                <w:sz w:val="13"/>
              </w:rPr>
              <w:t>2013</w:t>
            </w:r>
          </w:p>
        </w:tc>
        <w:tc>
          <w:tcPr>
            <w:tcW w:type="dxa" w:w="1600"/>
          </w:tcPr>
          <w:p>
            <w:pPr>
              <w:keepLines/>
              <w:spacing w:after="0" w:line="276" w:lineRule="auto"/>
            </w:pPr>
            <w:r>
              <w:rPr>
                <w:rFonts w:ascii="Calibri" w:hAnsi="Calibri" w:eastAsia="Microsoft YaHei"/>
                <w:color w:val="0B2545"/>
                <w:sz w:val="13"/>
              </w:rPr>
              <w:t>未完整列出</w:t>
            </w:r>
          </w:p>
        </w:tc>
        <w:tc>
          <w:tcPr>
            <w:tcW w:type="dxa" w:w="3200"/>
          </w:tcPr>
          <w:p>
            <w:pPr>
              <w:keepLines/>
              <w:spacing w:after="0" w:line="276" w:lineRule="auto"/>
            </w:pPr>
            <w:r>
              <w:rPr>
                <w:rFonts w:ascii="Calibri" w:hAnsi="Calibri" w:eastAsia="Microsoft YaHei"/>
                <w:color w:val="0B2545"/>
                <w:sz w:val="13"/>
              </w:rPr>
              <w:t>3,000 sensors for detecting the quench</w:t>
            </w:r>
          </w:p>
        </w:tc>
        <w:tc>
          <w:tcPr>
            <w:tcW w:type="dxa" w:w="1700"/>
          </w:tcPr>
          <w:p>
            <w:pPr>
              <w:keepLines/>
              <w:spacing w:after="0" w:line="276" w:lineRule="auto"/>
            </w:pPr>
            <w:r>
              <w:rPr>
                <w:rFonts w:ascii="Calibri" w:hAnsi="Calibri" w:eastAsia="Microsoft YaHei"/>
                <w:color w:val="0B2545"/>
                <w:sz w:val="13"/>
              </w:rPr>
              <w:t>原始论文 / 官方来源</w:t>
            </w:r>
          </w:p>
        </w:tc>
        <w:tc>
          <w:tcPr>
            <w:tcW w:type="dxa" w:w="2260"/>
          </w:tcPr>
          <w:p>
            <w:pPr>
              <w:keepLines/>
              <w:spacing w:after="0" w:line="276" w:lineRule="auto"/>
            </w:pPr>
            <w:hyperlink r:id="rId129">
              <w:r>
                <w:rPr>
                  <w:rFonts w:ascii="Calibri" w:hAnsi="Calibri" w:eastAsia="Microsoft YaHei"/>
                  <w:color w:val="008C95"/>
                  <w:u w:val="single"/>
                </w:rPr>
                <w:t>打开原始来源 ↗</w:t>
              </w:r>
            </w:hyperlink>
          </w:p>
        </w:tc>
      </w:tr>
      <w:tr>
        <w:trPr>
          <w:cantSplit/>
        </w:trPr>
        <w:tc>
          <w:tcPr>
            <w:tcW w:type="dxa" w:w="600"/>
          </w:tcPr>
          <w:p>
            <w:pPr>
              <w:keepLines/>
              <w:spacing w:after="0" w:line="276" w:lineRule="auto"/>
            </w:pPr>
            <w:r>
              <w:rPr>
                <w:rFonts w:ascii="Calibri" w:hAnsi="Calibri" w:eastAsia="Microsoft YaHei"/>
                <w:color w:val="0B2545"/>
                <w:sz w:val="13"/>
              </w:rPr>
              <w:t>2012</w:t>
            </w:r>
          </w:p>
        </w:tc>
        <w:tc>
          <w:tcPr>
            <w:tcW w:type="dxa" w:w="1600"/>
          </w:tcPr>
          <w:p>
            <w:pPr>
              <w:keepLines/>
              <w:spacing w:after="0" w:line="276" w:lineRule="auto"/>
            </w:pPr>
            <w:r>
              <w:rPr>
                <w:rFonts w:ascii="Calibri" w:hAnsi="Calibri" w:eastAsia="Microsoft YaHei"/>
                <w:color w:val="0B2545"/>
                <w:sz w:val="13"/>
              </w:rPr>
              <w:t>D. Guszejnov; G. I. Pokol; I. Pusztai; D. Refy; S. Zoletnik; M. Lampert; Y. U. Nam</w:t>
            </w:r>
          </w:p>
        </w:tc>
        <w:tc>
          <w:tcPr>
            <w:tcW w:type="dxa" w:w="3200"/>
          </w:tcPr>
          <w:p>
            <w:pPr>
              <w:keepLines/>
              <w:spacing w:after="0" w:line="276" w:lineRule="auto"/>
            </w:pPr>
            <w:r>
              <w:rPr>
                <w:rFonts w:ascii="Calibri" w:hAnsi="Calibri" w:eastAsia="Microsoft YaHei"/>
                <w:color w:val="0B2545"/>
                <w:sz w:val="13"/>
              </w:rPr>
              <w:t>Three-dimensional modeling of beam emission spectroscopy measurements in fusion plasmas</w:t>
            </w:r>
          </w:p>
        </w:tc>
        <w:tc>
          <w:tcPr>
            <w:tcW w:type="dxa" w:w="1700"/>
          </w:tcPr>
          <w:p>
            <w:pPr>
              <w:keepLines/>
              <w:spacing w:after="0" w:line="276" w:lineRule="auto"/>
            </w:pPr>
            <w:r>
              <w:rPr>
                <w:rFonts w:ascii="Calibri" w:hAnsi="Calibri" w:eastAsia="Microsoft YaHei"/>
                <w:color w:val="0B2545"/>
                <w:sz w:val="13"/>
              </w:rPr>
              <w:t>Review of Scientific Instruments</w:t>
            </w:r>
          </w:p>
        </w:tc>
        <w:tc>
          <w:tcPr>
            <w:tcW w:type="dxa" w:w="2260"/>
          </w:tcPr>
          <w:p>
            <w:pPr>
              <w:keepLines/>
              <w:spacing w:after="0" w:line="276" w:lineRule="auto"/>
            </w:pPr>
            <w:hyperlink r:id="rId190">
              <w:r>
                <w:rPr>
                  <w:rFonts w:ascii="Calibri" w:hAnsi="Calibri" w:eastAsia="Microsoft YaHei"/>
                  <w:color w:val="008C95"/>
                  <w:u w:val="single"/>
                </w:rPr>
                <w:t>打开原始来源 ↗</w:t>
              </w:r>
            </w:hyperlink>
          </w:p>
        </w:tc>
      </w:tr>
      <w:tr>
        <w:trPr>
          <w:cantSplit/>
        </w:trPr>
        <w:tc>
          <w:tcPr>
            <w:tcW w:type="dxa" w:w="600"/>
          </w:tcPr>
          <w:p>
            <w:pPr>
              <w:keepLines/>
              <w:spacing w:after="0" w:line="276" w:lineRule="auto"/>
            </w:pPr>
            <w:r>
              <w:rPr>
                <w:rFonts w:ascii="Calibri" w:hAnsi="Calibri" w:eastAsia="Microsoft YaHei"/>
                <w:color w:val="0B2545"/>
                <w:sz w:val="13"/>
              </w:rPr>
              <w:t>2012</w:t>
            </w:r>
          </w:p>
        </w:tc>
        <w:tc>
          <w:tcPr>
            <w:tcW w:type="dxa" w:w="1600"/>
          </w:tcPr>
          <w:p>
            <w:pPr>
              <w:keepLines/>
              <w:spacing w:after="0" w:line="276" w:lineRule="auto"/>
            </w:pPr>
            <w:r>
              <w:rPr>
                <w:rFonts w:ascii="Calibri" w:hAnsi="Calibri" w:eastAsia="Microsoft YaHei"/>
                <w:color w:val="0B2545"/>
                <w:sz w:val="13"/>
              </w:rPr>
              <w:t>Jing Wu; Lieming Yao; Jianhua Zhu; Xiaoyu Han; Wenzhu Li</w:t>
            </w:r>
          </w:p>
        </w:tc>
        <w:tc>
          <w:tcPr>
            <w:tcW w:type="dxa" w:w="3200"/>
          </w:tcPr>
          <w:p>
            <w:pPr>
              <w:keepLines/>
              <w:spacing w:after="0" w:line="276" w:lineRule="auto"/>
            </w:pPr>
            <w:r>
              <w:rPr>
                <w:rFonts w:ascii="Calibri" w:hAnsi="Calibri" w:eastAsia="Microsoft YaHei"/>
                <w:color w:val="0B2545"/>
                <w:sz w:val="13"/>
              </w:rPr>
              <w:t>Profile Measurement of Ion Temperature and Toroidal Rotation Velocity with Charge Exchange Recombination Spectroscopy Diagnostics in the HL-2A Tokamak</w:t>
            </w:r>
          </w:p>
        </w:tc>
        <w:tc>
          <w:tcPr>
            <w:tcW w:type="dxa" w:w="1700"/>
          </w:tcPr>
          <w:p>
            <w:pPr>
              <w:keepLines/>
              <w:spacing w:after="0" w:line="276" w:lineRule="auto"/>
            </w:pPr>
            <w:r>
              <w:rPr>
                <w:rFonts w:ascii="Calibri" w:hAnsi="Calibri" w:eastAsia="Microsoft YaHei"/>
                <w:color w:val="0B2545"/>
                <w:sz w:val="13"/>
              </w:rPr>
              <w:t>Plasma Science and Technology</w:t>
            </w:r>
          </w:p>
        </w:tc>
        <w:tc>
          <w:tcPr>
            <w:tcW w:type="dxa" w:w="2260"/>
          </w:tcPr>
          <w:p>
            <w:pPr>
              <w:keepLines/>
              <w:spacing w:after="0" w:line="276" w:lineRule="auto"/>
            </w:pPr>
            <w:hyperlink r:id="rId58">
              <w:r>
                <w:rPr>
                  <w:rFonts w:ascii="Calibri" w:hAnsi="Calibri" w:eastAsia="Microsoft YaHei"/>
                  <w:color w:val="008C95"/>
                  <w:u w:val="single"/>
                </w:rPr>
                <w:t>打开原始来源 ↗</w:t>
              </w:r>
            </w:hyperlink>
          </w:p>
        </w:tc>
      </w:tr>
      <w:tr>
        <w:trPr>
          <w:cantSplit/>
        </w:trPr>
        <w:tc>
          <w:tcPr>
            <w:tcW w:type="dxa" w:w="600"/>
          </w:tcPr>
          <w:p>
            <w:pPr>
              <w:keepLines/>
              <w:spacing w:after="0" w:line="276" w:lineRule="auto"/>
            </w:pPr>
            <w:r>
              <w:rPr>
                <w:rFonts w:ascii="Calibri" w:hAnsi="Calibri" w:eastAsia="Microsoft YaHei"/>
                <w:color w:val="0B2545"/>
                <w:sz w:val="13"/>
              </w:rPr>
              <w:t>2012</w:t>
            </w:r>
          </w:p>
        </w:tc>
        <w:tc>
          <w:tcPr>
            <w:tcW w:type="dxa" w:w="1600"/>
          </w:tcPr>
          <w:p>
            <w:pPr>
              <w:keepLines/>
              <w:spacing w:after="0" w:line="276" w:lineRule="auto"/>
            </w:pPr>
            <w:r>
              <w:rPr>
                <w:rFonts w:ascii="Calibri" w:hAnsi="Calibri" w:eastAsia="Microsoft YaHei"/>
                <w:color w:val="0B2545"/>
                <w:sz w:val="13"/>
              </w:rPr>
              <w:t>Junghee Kim; P. Andrew; R. Reichle</w:t>
            </w:r>
          </w:p>
        </w:tc>
        <w:tc>
          <w:tcPr>
            <w:tcW w:type="dxa" w:w="3200"/>
          </w:tcPr>
          <w:p>
            <w:pPr>
              <w:keepLines/>
              <w:spacing w:after="0" w:line="276" w:lineRule="auto"/>
            </w:pPr>
            <w:r>
              <w:rPr>
                <w:rFonts w:ascii="Calibri" w:hAnsi="Calibri" w:eastAsia="Microsoft YaHei"/>
                <w:color w:val="0B2545"/>
                <w:sz w:val="13"/>
              </w:rPr>
              <w:t>Plasma-Wall-Interaction Diagnostics in ITER: Dust, Erosion, and Tritium Retention</w:t>
            </w:r>
          </w:p>
        </w:tc>
        <w:tc>
          <w:tcPr>
            <w:tcW w:type="dxa" w:w="1700"/>
          </w:tcPr>
          <w:p>
            <w:pPr>
              <w:keepLines/>
              <w:spacing w:after="0" w:line="276" w:lineRule="auto"/>
            </w:pPr>
            <w:r>
              <w:rPr>
                <w:rFonts w:ascii="Calibri" w:hAnsi="Calibri" w:eastAsia="Microsoft YaHei"/>
                <w:color w:val="0B2545"/>
                <w:sz w:val="13"/>
              </w:rPr>
              <w:t>Fusion Science and Technology</w:t>
            </w:r>
          </w:p>
        </w:tc>
        <w:tc>
          <w:tcPr>
            <w:tcW w:type="dxa" w:w="2260"/>
          </w:tcPr>
          <w:p>
            <w:pPr>
              <w:keepLines/>
              <w:spacing w:after="0" w:line="276" w:lineRule="auto"/>
            </w:pPr>
            <w:hyperlink r:id="rId127">
              <w:r>
                <w:rPr>
                  <w:rFonts w:ascii="Calibri" w:hAnsi="Calibri" w:eastAsia="Microsoft YaHei"/>
                  <w:color w:val="008C95"/>
                  <w:u w:val="single"/>
                </w:rPr>
                <w:t>打开原始来源 ↗</w:t>
              </w:r>
            </w:hyperlink>
          </w:p>
        </w:tc>
      </w:tr>
      <w:tr>
        <w:trPr>
          <w:cantSplit/>
        </w:trPr>
        <w:tc>
          <w:tcPr>
            <w:tcW w:type="dxa" w:w="600"/>
          </w:tcPr>
          <w:p>
            <w:pPr>
              <w:keepLines/>
              <w:spacing w:after="0" w:line="276" w:lineRule="auto"/>
            </w:pPr>
            <w:r>
              <w:rPr>
                <w:rFonts w:ascii="Calibri" w:hAnsi="Calibri" w:eastAsia="Microsoft YaHei"/>
                <w:color w:val="0B2545"/>
                <w:sz w:val="13"/>
              </w:rPr>
              <w:t>2012</w:t>
            </w:r>
          </w:p>
        </w:tc>
        <w:tc>
          <w:tcPr>
            <w:tcW w:type="dxa" w:w="1600"/>
          </w:tcPr>
          <w:p>
            <w:pPr>
              <w:keepLines/>
              <w:spacing w:after="0" w:line="276" w:lineRule="auto"/>
            </w:pPr>
            <w:r>
              <w:rPr>
                <w:rFonts w:ascii="Calibri" w:hAnsi="Calibri" w:eastAsia="Microsoft YaHei"/>
                <w:color w:val="0B2545"/>
                <w:sz w:val="13"/>
              </w:rPr>
              <w:t>G. T. von Nessi; M. J. Hole; J. Svensson; L. Appel</w:t>
            </w:r>
          </w:p>
        </w:tc>
        <w:tc>
          <w:tcPr>
            <w:tcW w:type="dxa" w:w="3200"/>
          </w:tcPr>
          <w:p>
            <w:pPr>
              <w:keepLines/>
              <w:spacing w:after="0" w:line="276" w:lineRule="auto"/>
            </w:pPr>
            <w:r>
              <w:rPr>
                <w:rFonts w:ascii="Calibri" w:hAnsi="Calibri" w:eastAsia="Microsoft YaHei"/>
                <w:color w:val="0B2545"/>
                <w:sz w:val="13"/>
              </w:rPr>
              <w:t>Evidence cross-validation and Bayesian inference of MAST plasma equilibria</w:t>
            </w:r>
          </w:p>
        </w:tc>
        <w:tc>
          <w:tcPr>
            <w:tcW w:type="dxa" w:w="1700"/>
          </w:tcPr>
          <w:p>
            <w:pPr>
              <w:keepLines/>
              <w:spacing w:after="0" w:line="276" w:lineRule="auto"/>
            </w:pPr>
            <w:r>
              <w:rPr>
                <w:rFonts w:ascii="Calibri" w:hAnsi="Calibri" w:eastAsia="Microsoft YaHei"/>
                <w:color w:val="0B2545"/>
                <w:sz w:val="13"/>
              </w:rPr>
              <w:t>Physics of Plasmas</w:t>
            </w:r>
          </w:p>
        </w:tc>
        <w:tc>
          <w:tcPr>
            <w:tcW w:type="dxa" w:w="2260"/>
          </w:tcPr>
          <w:p>
            <w:pPr>
              <w:keepLines/>
              <w:spacing w:after="0" w:line="276" w:lineRule="auto"/>
            </w:pPr>
            <w:hyperlink r:id="rId209">
              <w:r>
                <w:rPr>
                  <w:rFonts w:ascii="Calibri" w:hAnsi="Calibri" w:eastAsia="Microsoft YaHei"/>
                  <w:color w:val="008C95"/>
                  <w:u w:val="single"/>
                </w:rPr>
                <w:t>打开原始来源 ↗</w:t>
              </w:r>
            </w:hyperlink>
          </w:p>
        </w:tc>
      </w:tr>
      <w:tr>
        <w:trPr>
          <w:cantSplit/>
        </w:trPr>
        <w:tc>
          <w:tcPr>
            <w:tcW w:type="dxa" w:w="600"/>
          </w:tcPr>
          <w:p>
            <w:pPr>
              <w:keepLines/>
              <w:spacing w:after="0" w:line="276" w:lineRule="auto"/>
            </w:pPr>
            <w:r>
              <w:rPr>
                <w:rFonts w:ascii="Calibri" w:hAnsi="Calibri" w:eastAsia="Microsoft YaHei"/>
                <w:color w:val="0B2545"/>
                <w:sz w:val="13"/>
              </w:rPr>
              <w:t>2012</w:t>
            </w:r>
          </w:p>
        </w:tc>
        <w:tc>
          <w:tcPr>
            <w:tcW w:type="dxa" w:w="1600"/>
          </w:tcPr>
          <w:p>
            <w:pPr>
              <w:keepLines/>
              <w:spacing w:after="0" w:line="276" w:lineRule="auto"/>
            </w:pPr>
            <w:r>
              <w:rPr>
                <w:rFonts w:ascii="Calibri" w:hAnsi="Calibri" w:eastAsia="Microsoft YaHei"/>
                <w:color w:val="0B2545"/>
                <w:sz w:val="13"/>
              </w:rPr>
              <w:t>C. F. Maggi; S. Brezinsek; M. F. Stamp; S. Griph; P. Heesterman; C. Hogben; A. Horton; A. Meigs; C. Morlock; W. Studholme; K.-D. Zastrow</w:t>
            </w:r>
          </w:p>
        </w:tc>
        <w:tc>
          <w:tcPr>
            <w:tcW w:type="dxa" w:w="3200"/>
          </w:tcPr>
          <w:p>
            <w:pPr>
              <w:keepLines/>
              <w:spacing w:after="0" w:line="276" w:lineRule="auto"/>
            </w:pPr>
            <w:r>
              <w:rPr>
                <w:rFonts w:ascii="Calibri" w:hAnsi="Calibri" w:eastAsia="Microsoft YaHei"/>
                <w:color w:val="0B2545"/>
                <w:sz w:val="13"/>
              </w:rPr>
              <w:t>A new visible spectroscopy diagnostic for the JET ITER-like wall main chamber</w:t>
            </w:r>
          </w:p>
        </w:tc>
        <w:tc>
          <w:tcPr>
            <w:tcW w:type="dxa" w:w="1700"/>
          </w:tcPr>
          <w:p>
            <w:pPr>
              <w:keepLines/>
              <w:spacing w:after="0" w:line="276" w:lineRule="auto"/>
            </w:pPr>
            <w:r>
              <w:rPr>
                <w:rFonts w:ascii="Calibri" w:hAnsi="Calibri" w:eastAsia="Microsoft YaHei"/>
                <w:color w:val="0B2545"/>
                <w:sz w:val="13"/>
              </w:rPr>
              <w:t>Review of Scientific Instruments</w:t>
            </w:r>
          </w:p>
        </w:tc>
        <w:tc>
          <w:tcPr>
            <w:tcW w:type="dxa" w:w="2260"/>
          </w:tcPr>
          <w:p>
            <w:pPr>
              <w:keepLines/>
              <w:spacing w:after="0" w:line="276" w:lineRule="auto"/>
            </w:pPr>
            <w:hyperlink r:id="rId81">
              <w:r>
                <w:rPr>
                  <w:rFonts w:ascii="Calibri" w:hAnsi="Calibri" w:eastAsia="Microsoft YaHei"/>
                  <w:color w:val="008C95"/>
                  <w:u w:val="single"/>
                </w:rPr>
                <w:t>打开原始来源 ↗</w:t>
              </w:r>
            </w:hyperlink>
          </w:p>
        </w:tc>
      </w:tr>
      <w:tr>
        <w:trPr>
          <w:cantSplit/>
        </w:trPr>
        <w:tc>
          <w:tcPr>
            <w:tcW w:type="dxa" w:w="600"/>
          </w:tcPr>
          <w:p>
            <w:pPr>
              <w:keepLines/>
              <w:spacing w:after="0" w:line="276" w:lineRule="auto"/>
            </w:pPr>
            <w:r>
              <w:rPr>
                <w:rFonts w:ascii="Calibri" w:hAnsi="Calibri" w:eastAsia="Microsoft YaHei"/>
                <w:color w:val="0B2545"/>
                <w:sz w:val="13"/>
              </w:rPr>
              <w:t>2011</w:t>
            </w:r>
          </w:p>
        </w:tc>
        <w:tc>
          <w:tcPr>
            <w:tcW w:type="dxa" w:w="1600"/>
          </w:tcPr>
          <w:p>
            <w:pPr>
              <w:keepLines/>
              <w:spacing w:after="0" w:line="276" w:lineRule="auto"/>
            </w:pPr>
            <w:r>
              <w:rPr>
                <w:rFonts w:ascii="Calibri" w:hAnsi="Calibri" w:eastAsia="Microsoft YaHei"/>
                <w:color w:val="0B2545"/>
                <w:sz w:val="13"/>
              </w:rPr>
              <w:t>Isabel Ribeiro; Carlo Damiani; Alessandro Tesini; Satoshi Kakudate; Mikko Siuko; Carlo Neri</w:t>
            </w:r>
          </w:p>
        </w:tc>
        <w:tc>
          <w:tcPr>
            <w:tcW w:type="dxa" w:w="3200"/>
          </w:tcPr>
          <w:p>
            <w:pPr>
              <w:keepLines/>
              <w:spacing w:after="0" w:line="276" w:lineRule="auto"/>
            </w:pPr>
            <w:r>
              <w:rPr>
                <w:rFonts w:ascii="Calibri" w:hAnsi="Calibri" w:eastAsia="Microsoft YaHei"/>
                <w:color w:val="0B2545"/>
                <w:sz w:val="13"/>
              </w:rPr>
              <w:t>The remote handling systems for ITER</w:t>
            </w:r>
          </w:p>
        </w:tc>
        <w:tc>
          <w:tcPr>
            <w:tcW w:type="dxa" w:w="1700"/>
          </w:tcPr>
          <w:p>
            <w:pPr>
              <w:keepLines/>
              <w:spacing w:after="0" w:line="276" w:lineRule="auto"/>
            </w:pPr>
            <w:r>
              <w:rPr>
                <w:rFonts w:ascii="Calibri" w:hAnsi="Calibri" w:eastAsia="Microsoft YaHei"/>
                <w:color w:val="0B2545"/>
                <w:sz w:val="13"/>
              </w:rPr>
              <w:t>Fusion Engineering and Design</w:t>
            </w:r>
          </w:p>
        </w:tc>
        <w:tc>
          <w:tcPr>
            <w:tcW w:type="dxa" w:w="2260"/>
          </w:tcPr>
          <w:p>
            <w:pPr>
              <w:keepLines/>
              <w:spacing w:after="0" w:line="276" w:lineRule="auto"/>
            </w:pPr>
            <w:hyperlink r:id="rId149">
              <w:r>
                <w:rPr>
                  <w:rFonts w:ascii="Calibri" w:hAnsi="Calibri" w:eastAsia="Microsoft YaHei"/>
                  <w:color w:val="008C95"/>
                  <w:u w:val="single"/>
                </w:rPr>
                <w:t>打开原始来源 ↗</w:t>
              </w:r>
            </w:hyperlink>
          </w:p>
        </w:tc>
      </w:tr>
      <w:tr>
        <w:trPr>
          <w:cantSplit/>
        </w:trPr>
        <w:tc>
          <w:tcPr>
            <w:tcW w:type="dxa" w:w="600"/>
          </w:tcPr>
          <w:p>
            <w:pPr>
              <w:keepLines/>
              <w:spacing w:after="0" w:line="276" w:lineRule="auto"/>
            </w:pPr>
            <w:r>
              <w:rPr>
                <w:rFonts w:ascii="Calibri" w:hAnsi="Calibri" w:eastAsia="Microsoft YaHei"/>
                <w:color w:val="0B2545"/>
                <w:sz w:val="13"/>
              </w:rPr>
              <w:t>2011</w:t>
            </w:r>
          </w:p>
        </w:tc>
        <w:tc>
          <w:tcPr>
            <w:tcW w:type="dxa" w:w="1600"/>
          </w:tcPr>
          <w:p>
            <w:pPr>
              <w:keepLines/>
              <w:spacing w:after="0" w:line="276" w:lineRule="auto"/>
            </w:pPr>
            <w:r>
              <w:rPr>
                <w:rFonts w:ascii="Calibri" w:hAnsi="Calibri" w:eastAsia="Microsoft YaHei"/>
                <w:color w:val="0B2545"/>
                <w:sz w:val="13"/>
              </w:rPr>
              <w:t>S. Simrock; R. Barnsley; L. Bertalot; C. Hansalia; W.D. Klotz; P. Makijarvi; R. Reichle; G. Vayakis; I. Yonekawa; C. Walker; A. Wallander; M. Walsh; et al. (13 authors)</w:t>
            </w:r>
          </w:p>
        </w:tc>
        <w:tc>
          <w:tcPr>
            <w:tcW w:type="dxa" w:w="3200"/>
          </w:tcPr>
          <w:p>
            <w:pPr>
              <w:keepLines/>
              <w:spacing w:after="0" w:line="276" w:lineRule="auto"/>
            </w:pPr>
            <w:r>
              <w:rPr>
                <w:rFonts w:ascii="Calibri" w:hAnsi="Calibri" w:eastAsia="Microsoft YaHei"/>
                <w:color w:val="0B2545"/>
                <w:sz w:val="13"/>
              </w:rPr>
              <w:t>Integration of the ITER diagnostic plant systems with CODAC</w:t>
            </w:r>
          </w:p>
        </w:tc>
        <w:tc>
          <w:tcPr>
            <w:tcW w:type="dxa" w:w="1700"/>
          </w:tcPr>
          <w:p>
            <w:pPr>
              <w:keepLines/>
              <w:spacing w:after="0" w:line="276" w:lineRule="auto"/>
            </w:pPr>
            <w:r>
              <w:rPr>
                <w:rFonts w:ascii="Calibri" w:hAnsi="Calibri" w:eastAsia="Microsoft YaHei"/>
                <w:color w:val="0B2545"/>
                <w:sz w:val="13"/>
              </w:rPr>
              <w:t>Fusion Engineering and Design</w:t>
            </w:r>
          </w:p>
        </w:tc>
        <w:tc>
          <w:tcPr>
            <w:tcW w:type="dxa" w:w="2260"/>
          </w:tcPr>
          <w:p>
            <w:pPr>
              <w:keepLines/>
              <w:spacing w:after="0" w:line="276" w:lineRule="auto"/>
            </w:pPr>
            <w:hyperlink r:id="rId32">
              <w:r>
                <w:rPr>
                  <w:rFonts w:ascii="Calibri" w:hAnsi="Calibri" w:eastAsia="Microsoft YaHei"/>
                  <w:color w:val="008C95"/>
                  <w:u w:val="single"/>
                </w:rPr>
                <w:t>打开原始来源 ↗</w:t>
              </w:r>
            </w:hyperlink>
          </w:p>
        </w:tc>
      </w:tr>
      <w:tr>
        <w:trPr>
          <w:cantSplit/>
        </w:trPr>
        <w:tc>
          <w:tcPr>
            <w:tcW w:type="dxa" w:w="600"/>
          </w:tcPr>
          <w:p>
            <w:pPr>
              <w:keepLines/>
              <w:spacing w:after="0" w:line="276" w:lineRule="auto"/>
            </w:pPr>
            <w:r>
              <w:rPr>
                <w:rFonts w:ascii="Calibri" w:hAnsi="Calibri" w:eastAsia="Microsoft YaHei"/>
                <w:color w:val="0B2545"/>
                <w:sz w:val="13"/>
              </w:rPr>
              <w:t>2010</w:t>
            </w:r>
          </w:p>
        </w:tc>
        <w:tc>
          <w:tcPr>
            <w:tcW w:type="dxa" w:w="1600"/>
          </w:tcPr>
          <w:p>
            <w:pPr>
              <w:keepLines/>
              <w:spacing w:after="0" w:line="276" w:lineRule="auto"/>
            </w:pPr>
            <w:r>
              <w:rPr>
                <w:rFonts w:ascii="Calibri" w:hAnsi="Calibri" w:eastAsia="Microsoft YaHei"/>
                <w:color w:val="0B2545"/>
                <w:sz w:val="13"/>
              </w:rPr>
              <w:t>G. R. McKee; R. J. Fonck; M. W. Shafer; I. U. Uzun-Kaymak; Z. Yan</w:t>
            </w:r>
          </w:p>
        </w:tc>
        <w:tc>
          <w:tcPr>
            <w:tcW w:type="dxa" w:w="3200"/>
          </w:tcPr>
          <w:p>
            <w:pPr>
              <w:keepLines/>
              <w:spacing w:after="0" w:line="276" w:lineRule="auto"/>
            </w:pPr>
            <w:r>
              <w:rPr>
                <w:rFonts w:ascii="Calibri" w:hAnsi="Calibri" w:eastAsia="Microsoft YaHei"/>
                <w:color w:val="0B2545"/>
                <w:sz w:val="13"/>
              </w:rPr>
              <w:t>Wide-field turbulence imaging with beam emission spectroscopy</w:t>
            </w:r>
          </w:p>
        </w:tc>
        <w:tc>
          <w:tcPr>
            <w:tcW w:type="dxa" w:w="1700"/>
          </w:tcPr>
          <w:p>
            <w:pPr>
              <w:keepLines/>
              <w:spacing w:after="0" w:line="276" w:lineRule="auto"/>
            </w:pPr>
            <w:r>
              <w:rPr>
                <w:rFonts w:ascii="Calibri" w:hAnsi="Calibri" w:eastAsia="Microsoft YaHei"/>
                <w:color w:val="0B2545"/>
                <w:sz w:val="13"/>
              </w:rPr>
              <w:t>Review of Scientific Instruments</w:t>
            </w:r>
          </w:p>
        </w:tc>
        <w:tc>
          <w:tcPr>
            <w:tcW w:type="dxa" w:w="2260"/>
          </w:tcPr>
          <w:p>
            <w:pPr>
              <w:keepLines/>
              <w:spacing w:after="0" w:line="276" w:lineRule="auto"/>
            </w:pPr>
            <w:hyperlink r:id="rId106">
              <w:r>
                <w:rPr>
                  <w:rFonts w:ascii="Calibri" w:hAnsi="Calibri" w:eastAsia="Microsoft YaHei"/>
                  <w:color w:val="008C95"/>
                  <w:u w:val="single"/>
                </w:rPr>
                <w:t>打开原始来源 ↗</w:t>
              </w:r>
            </w:hyperlink>
          </w:p>
        </w:tc>
      </w:tr>
      <w:tr>
        <w:trPr>
          <w:cantSplit/>
        </w:trPr>
        <w:tc>
          <w:tcPr>
            <w:tcW w:type="dxa" w:w="600"/>
          </w:tcPr>
          <w:p>
            <w:pPr>
              <w:keepLines/>
              <w:spacing w:after="0" w:line="276" w:lineRule="auto"/>
            </w:pPr>
            <w:r>
              <w:rPr>
                <w:rFonts w:ascii="Calibri" w:hAnsi="Calibri" w:eastAsia="Microsoft YaHei"/>
                <w:color w:val="0B2545"/>
                <w:sz w:val="13"/>
              </w:rPr>
              <w:t>2010</w:t>
            </w:r>
          </w:p>
        </w:tc>
        <w:tc>
          <w:tcPr>
            <w:tcW w:type="dxa" w:w="1600"/>
          </w:tcPr>
          <w:p>
            <w:pPr>
              <w:keepLines/>
              <w:spacing w:after="0" w:line="276" w:lineRule="auto"/>
            </w:pPr>
            <w:r>
              <w:rPr>
                <w:rFonts w:ascii="Calibri" w:hAnsi="Calibri" w:eastAsia="Microsoft YaHei"/>
                <w:color w:val="0B2545"/>
                <w:sz w:val="13"/>
              </w:rPr>
              <w:t>未完整列出</w:t>
            </w:r>
          </w:p>
        </w:tc>
        <w:tc>
          <w:tcPr>
            <w:tcW w:type="dxa" w:w="3200"/>
          </w:tcPr>
          <w:p>
            <w:pPr>
              <w:keepLines/>
              <w:spacing w:after="0" w:line="276" w:lineRule="auto"/>
            </w:pPr>
            <w:r>
              <w:rPr>
                <w:rFonts w:ascii="Calibri" w:hAnsi="Calibri" w:eastAsia="Microsoft YaHei"/>
                <w:color w:val="0B2545"/>
                <w:sz w:val="13"/>
              </w:rPr>
              <w:t>Technical diagnosis system for EAST tokamak</w:t>
            </w:r>
          </w:p>
        </w:tc>
        <w:tc>
          <w:tcPr>
            <w:tcW w:type="dxa" w:w="1700"/>
          </w:tcPr>
          <w:p>
            <w:pPr>
              <w:keepLines/>
              <w:spacing w:after="0" w:line="276" w:lineRule="auto"/>
            </w:pPr>
            <w:r>
              <w:rPr>
                <w:rFonts w:ascii="Calibri" w:hAnsi="Calibri" w:eastAsia="Microsoft YaHei"/>
                <w:color w:val="0B2545"/>
                <w:sz w:val="13"/>
              </w:rPr>
              <w:t>原始论文 / 官方来源</w:t>
            </w:r>
          </w:p>
        </w:tc>
        <w:tc>
          <w:tcPr>
            <w:tcW w:type="dxa" w:w="2260"/>
          </w:tcPr>
          <w:p>
            <w:pPr>
              <w:keepLines/>
              <w:spacing w:after="0" w:line="276" w:lineRule="auto"/>
            </w:pPr>
            <w:hyperlink r:id="rId134">
              <w:r>
                <w:rPr>
                  <w:rFonts w:ascii="Calibri" w:hAnsi="Calibri" w:eastAsia="Microsoft YaHei"/>
                  <w:color w:val="008C95"/>
                  <w:u w:val="single"/>
                </w:rPr>
                <w:t>打开原始来源 ↗</w:t>
              </w:r>
            </w:hyperlink>
          </w:p>
        </w:tc>
      </w:tr>
      <w:tr>
        <w:trPr>
          <w:cantSplit/>
        </w:trPr>
        <w:tc>
          <w:tcPr>
            <w:tcW w:type="dxa" w:w="600"/>
          </w:tcPr>
          <w:p>
            <w:pPr>
              <w:keepLines/>
              <w:spacing w:after="0" w:line="276" w:lineRule="auto"/>
            </w:pPr>
            <w:r>
              <w:rPr>
                <w:rFonts w:ascii="Calibri" w:hAnsi="Calibri" w:eastAsia="Microsoft YaHei"/>
                <w:color w:val="0B2545"/>
                <w:sz w:val="13"/>
              </w:rPr>
              <w:t>2010</w:t>
            </w:r>
          </w:p>
        </w:tc>
        <w:tc>
          <w:tcPr>
            <w:tcW w:type="dxa" w:w="1600"/>
          </w:tcPr>
          <w:p>
            <w:pPr>
              <w:keepLines/>
              <w:spacing w:after="0" w:line="276" w:lineRule="auto"/>
            </w:pPr>
            <w:r>
              <w:rPr>
                <w:rFonts w:ascii="Calibri" w:hAnsi="Calibri" w:eastAsia="Microsoft YaHei"/>
                <w:color w:val="0B2545"/>
                <w:sz w:val="13"/>
              </w:rPr>
              <w:t>未完整列出</w:t>
            </w:r>
          </w:p>
        </w:tc>
        <w:tc>
          <w:tcPr>
            <w:tcW w:type="dxa" w:w="3200"/>
          </w:tcPr>
          <w:p>
            <w:pPr>
              <w:keepLines/>
              <w:spacing w:after="0" w:line="276" w:lineRule="auto"/>
            </w:pPr>
            <w:r>
              <w:rPr>
                <w:rFonts w:ascii="Calibri" w:hAnsi="Calibri" w:eastAsia="Microsoft YaHei"/>
                <w:color w:val="0B2545"/>
                <w:sz w:val="13"/>
              </w:rPr>
              <w:t>Model data fusion</w:t>
            </w:r>
          </w:p>
        </w:tc>
        <w:tc>
          <w:tcPr>
            <w:tcW w:type="dxa" w:w="1700"/>
          </w:tcPr>
          <w:p>
            <w:pPr>
              <w:keepLines/>
              <w:spacing w:after="0" w:line="276" w:lineRule="auto"/>
            </w:pPr>
            <w:r>
              <w:rPr>
                <w:rFonts w:ascii="Calibri" w:hAnsi="Calibri" w:eastAsia="Microsoft YaHei"/>
                <w:color w:val="0B2545"/>
                <w:sz w:val="13"/>
              </w:rPr>
              <w:t>原始论文 / 官方来源</w:t>
            </w:r>
          </w:p>
        </w:tc>
        <w:tc>
          <w:tcPr>
            <w:tcW w:type="dxa" w:w="2260"/>
          </w:tcPr>
          <w:p>
            <w:pPr>
              <w:keepLines/>
              <w:spacing w:after="0" w:line="276" w:lineRule="auto"/>
            </w:pPr>
            <w:hyperlink r:id="rId196">
              <w:r>
                <w:rPr>
                  <w:rFonts w:ascii="Calibri" w:hAnsi="Calibri" w:eastAsia="Microsoft YaHei"/>
                  <w:color w:val="008C95"/>
                  <w:u w:val="single"/>
                </w:rPr>
                <w:t>打开原始来源 ↗</w:t>
              </w:r>
            </w:hyperlink>
          </w:p>
        </w:tc>
      </w:tr>
      <w:tr>
        <w:trPr>
          <w:cantSplit/>
        </w:trPr>
        <w:tc>
          <w:tcPr>
            <w:tcW w:type="dxa" w:w="600"/>
          </w:tcPr>
          <w:p>
            <w:pPr>
              <w:keepLines/>
              <w:spacing w:after="0" w:line="276" w:lineRule="auto"/>
            </w:pPr>
            <w:r>
              <w:rPr>
                <w:rFonts w:ascii="Calibri" w:hAnsi="Calibri" w:eastAsia="Microsoft YaHei"/>
                <w:color w:val="0B2545"/>
                <w:sz w:val="13"/>
              </w:rPr>
              <w:t>2010</w:t>
            </w:r>
          </w:p>
        </w:tc>
        <w:tc>
          <w:tcPr>
            <w:tcW w:type="dxa" w:w="1600"/>
          </w:tcPr>
          <w:p>
            <w:pPr>
              <w:keepLines/>
              <w:spacing w:after="0" w:line="276" w:lineRule="auto"/>
            </w:pPr>
            <w:r>
              <w:rPr>
                <w:rFonts w:ascii="Calibri" w:hAnsi="Calibri" w:eastAsia="Microsoft YaHei"/>
                <w:color w:val="0B2545"/>
                <w:sz w:val="13"/>
              </w:rPr>
              <w:t>R. Fischer; C. J. Fuchs; B. Kurzan; W. Suttrop; E. Wolfrum</w:t>
            </w:r>
          </w:p>
        </w:tc>
        <w:tc>
          <w:tcPr>
            <w:tcW w:type="dxa" w:w="3200"/>
          </w:tcPr>
          <w:p>
            <w:pPr>
              <w:keepLines/>
              <w:spacing w:after="0" w:line="276" w:lineRule="auto"/>
            </w:pPr>
            <w:r>
              <w:rPr>
                <w:rFonts w:ascii="Calibri" w:hAnsi="Calibri" w:eastAsia="Microsoft YaHei"/>
                <w:color w:val="0B2545"/>
                <w:sz w:val="13"/>
              </w:rPr>
              <w:t>Integrated Data Analysis of Profile Diagnostics at ASDEX Upgrade</w:t>
            </w:r>
          </w:p>
        </w:tc>
        <w:tc>
          <w:tcPr>
            <w:tcW w:type="dxa" w:w="1700"/>
          </w:tcPr>
          <w:p>
            <w:pPr>
              <w:keepLines/>
              <w:spacing w:after="0" w:line="276" w:lineRule="auto"/>
            </w:pPr>
            <w:r>
              <w:rPr>
                <w:rFonts w:ascii="Calibri" w:hAnsi="Calibri" w:eastAsia="Microsoft YaHei"/>
                <w:color w:val="0B2545"/>
                <w:sz w:val="13"/>
              </w:rPr>
              <w:t>Fusion Science and Technology</w:t>
            </w:r>
          </w:p>
        </w:tc>
        <w:tc>
          <w:tcPr>
            <w:tcW w:type="dxa" w:w="2260"/>
          </w:tcPr>
          <w:p>
            <w:pPr>
              <w:keepLines/>
              <w:spacing w:after="0" w:line="276" w:lineRule="auto"/>
            </w:pPr>
            <w:hyperlink r:id="rId198">
              <w:r>
                <w:rPr>
                  <w:rFonts w:ascii="Calibri" w:hAnsi="Calibri" w:eastAsia="Microsoft YaHei"/>
                  <w:color w:val="008C95"/>
                  <w:u w:val="single"/>
                </w:rPr>
                <w:t>打开原始来源 ↗</w:t>
              </w:r>
            </w:hyperlink>
          </w:p>
        </w:tc>
      </w:tr>
      <w:tr>
        <w:trPr>
          <w:cantSplit/>
        </w:trPr>
        <w:tc>
          <w:tcPr>
            <w:tcW w:type="dxa" w:w="600"/>
          </w:tcPr>
          <w:p>
            <w:pPr>
              <w:keepLines/>
              <w:spacing w:after="0" w:line="276" w:lineRule="auto"/>
            </w:pPr>
            <w:r>
              <w:rPr>
                <w:rFonts w:ascii="Calibri" w:hAnsi="Calibri" w:eastAsia="Microsoft YaHei"/>
                <w:color w:val="0B2545"/>
                <w:sz w:val="13"/>
              </w:rPr>
              <w:t>2010</w:t>
            </w:r>
          </w:p>
        </w:tc>
        <w:tc>
          <w:tcPr>
            <w:tcW w:type="dxa" w:w="1600"/>
          </w:tcPr>
          <w:p>
            <w:pPr>
              <w:keepLines/>
              <w:spacing w:after="0" w:line="276" w:lineRule="auto"/>
            </w:pPr>
            <w:r>
              <w:rPr>
                <w:rFonts w:ascii="Calibri" w:hAnsi="Calibri" w:eastAsia="Microsoft YaHei"/>
                <w:color w:val="0B2545"/>
                <w:sz w:val="13"/>
              </w:rPr>
              <w:t>Yuejiang Shi; Fudi Wang; Baonian Wan; Manfred Bitter; Sanggon Lee; Jungyo Bak; Kennith Hill; Jia Fu; Yingying Li; Wei Zhang; Ang Ti; Bili Ling</w:t>
            </w:r>
          </w:p>
        </w:tc>
        <w:tc>
          <w:tcPr>
            <w:tcW w:type="dxa" w:w="3200"/>
          </w:tcPr>
          <w:p>
            <w:pPr>
              <w:keepLines/>
              <w:spacing w:after="0" w:line="276" w:lineRule="auto"/>
            </w:pPr>
            <w:r>
              <w:rPr>
                <w:rFonts w:ascii="Calibri" w:hAnsi="Calibri" w:eastAsia="Microsoft YaHei"/>
                <w:color w:val="0B2545"/>
                <w:sz w:val="13"/>
              </w:rPr>
              <w:t>Imaging x-ray crystal spectrometer on EAST</w:t>
            </w:r>
          </w:p>
        </w:tc>
        <w:tc>
          <w:tcPr>
            <w:tcW w:type="dxa" w:w="1700"/>
          </w:tcPr>
          <w:p>
            <w:pPr>
              <w:keepLines/>
              <w:spacing w:after="0" w:line="276" w:lineRule="auto"/>
            </w:pPr>
            <w:r>
              <w:rPr>
                <w:rFonts w:ascii="Calibri" w:hAnsi="Calibri" w:eastAsia="Microsoft YaHei"/>
                <w:color w:val="0B2545"/>
                <w:sz w:val="13"/>
              </w:rPr>
              <w:t>Plasma Physics and Controlled Fusion</w:t>
            </w:r>
          </w:p>
        </w:tc>
        <w:tc>
          <w:tcPr>
            <w:tcW w:type="dxa" w:w="2260"/>
          </w:tcPr>
          <w:p>
            <w:pPr>
              <w:keepLines/>
              <w:spacing w:after="0" w:line="276" w:lineRule="auto"/>
            </w:pPr>
            <w:hyperlink r:id="rId61">
              <w:r>
                <w:rPr>
                  <w:rFonts w:ascii="Calibri" w:hAnsi="Calibri" w:eastAsia="Microsoft YaHei"/>
                  <w:color w:val="008C95"/>
                  <w:u w:val="single"/>
                </w:rPr>
                <w:t>打开原始来源 ↗</w:t>
              </w:r>
            </w:hyperlink>
          </w:p>
        </w:tc>
      </w:tr>
      <w:tr>
        <w:trPr>
          <w:cantSplit/>
        </w:trPr>
        <w:tc>
          <w:tcPr>
            <w:tcW w:type="dxa" w:w="600"/>
          </w:tcPr>
          <w:p>
            <w:pPr>
              <w:keepLines/>
              <w:spacing w:after="0" w:line="276" w:lineRule="auto"/>
            </w:pPr>
            <w:r>
              <w:rPr>
                <w:rFonts w:ascii="Calibri" w:hAnsi="Calibri" w:eastAsia="Microsoft YaHei"/>
                <w:color w:val="0B2545"/>
                <w:sz w:val="13"/>
              </w:rPr>
              <w:t>2010</w:t>
            </w:r>
          </w:p>
        </w:tc>
        <w:tc>
          <w:tcPr>
            <w:tcW w:type="dxa" w:w="1600"/>
          </w:tcPr>
          <w:p>
            <w:pPr>
              <w:keepLines/>
              <w:spacing w:after="0" w:line="276" w:lineRule="auto"/>
            </w:pPr>
            <w:r>
              <w:rPr>
                <w:rFonts w:ascii="Calibri" w:hAnsi="Calibri" w:eastAsia="Microsoft YaHei"/>
                <w:color w:val="0B2545"/>
                <w:sz w:val="13"/>
              </w:rPr>
              <w:t>W. Rowan; M. Austin; J. Beno; R. Ellis; R. Feder; A. Ouroua; A. Patel; P. Phillips</w:t>
            </w:r>
          </w:p>
        </w:tc>
        <w:tc>
          <w:tcPr>
            <w:tcW w:type="dxa" w:w="3200"/>
          </w:tcPr>
          <w:p>
            <w:pPr>
              <w:keepLines/>
              <w:spacing w:after="0" w:line="276" w:lineRule="auto"/>
            </w:pPr>
            <w:r>
              <w:rPr>
                <w:rFonts w:ascii="Calibri" w:hAnsi="Calibri" w:eastAsia="Microsoft YaHei"/>
                <w:color w:val="0B2545"/>
                <w:sz w:val="13"/>
              </w:rPr>
              <w:t>Electron cyclotron emission diagnostic for ITER</w:t>
            </w:r>
          </w:p>
        </w:tc>
        <w:tc>
          <w:tcPr>
            <w:tcW w:type="dxa" w:w="1700"/>
          </w:tcPr>
          <w:p>
            <w:pPr>
              <w:keepLines/>
              <w:spacing w:after="0" w:line="276" w:lineRule="auto"/>
            </w:pPr>
            <w:r>
              <w:rPr>
                <w:rFonts w:ascii="Calibri" w:hAnsi="Calibri" w:eastAsia="Microsoft YaHei"/>
                <w:color w:val="0B2545"/>
                <w:sz w:val="13"/>
              </w:rPr>
              <w:t>Review of Scientific Instruments</w:t>
            </w:r>
          </w:p>
        </w:tc>
        <w:tc>
          <w:tcPr>
            <w:tcW w:type="dxa" w:w="2260"/>
          </w:tcPr>
          <w:p>
            <w:pPr>
              <w:keepLines/>
              <w:spacing w:after="0" w:line="276" w:lineRule="auto"/>
            </w:pPr>
            <w:hyperlink r:id="rId54">
              <w:r>
                <w:rPr>
                  <w:rFonts w:ascii="Calibri" w:hAnsi="Calibri" w:eastAsia="Microsoft YaHei"/>
                  <w:color w:val="008C95"/>
                  <w:u w:val="single"/>
                </w:rPr>
                <w:t>打开原始来源 ↗</w:t>
              </w:r>
            </w:hyperlink>
          </w:p>
        </w:tc>
      </w:tr>
      <w:tr>
        <w:trPr>
          <w:cantSplit/>
        </w:trPr>
        <w:tc>
          <w:tcPr>
            <w:tcW w:type="dxa" w:w="600"/>
          </w:tcPr>
          <w:p>
            <w:pPr>
              <w:keepLines/>
              <w:spacing w:after="0" w:line="276" w:lineRule="auto"/>
            </w:pPr>
            <w:r>
              <w:rPr>
                <w:rFonts w:ascii="Calibri" w:hAnsi="Calibri" w:eastAsia="Microsoft YaHei"/>
                <w:color w:val="0B2545"/>
                <w:sz w:val="13"/>
              </w:rPr>
              <w:t>2010</w:t>
            </w:r>
          </w:p>
        </w:tc>
        <w:tc>
          <w:tcPr>
            <w:tcW w:type="dxa" w:w="1600"/>
          </w:tcPr>
          <w:p>
            <w:pPr>
              <w:keepLines/>
              <w:spacing w:after="0" w:line="276" w:lineRule="auto"/>
            </w:pPr>
            <w:r>
              <w:rPr>
                <w:rFonts w:ascii="Calibri" w:hAnsi="Calibri" w:eastAsia="Microsoft YaHei"/>
                <w:color w:val="0B2545"/>
                <w:sz w:val="13"/>
              </w:rPr>
              <w:t>S.B. Korsholm; H. Bindslev; V. Furtula; F. Leipold; F. Meo; P.K. Michelsen; D. Moseev; S.K. Nielsen; M. Salewski; M. Stejner</w:t>
            </w:r>
          </w:p>
        </w:tc>
        <w:tc>
          <w:tcPr>
            <w:tcW w:type="dxa" w:w="3200"/>
          </w:tcPr>
          <w:p>
            <w:pPr>
              <w:keepLines/>
              <w:spacing w:after="0" w:line="276" w:lineRule="auto"/>
            </w:pPr>
            <w:r>
              <w:rPr>
                <w:rFonts w:ascii="Calibri" w:hAnsi="Calibri" w:eastAsia="Microsoft YaHei"/>
                <w:color w:val="0B2545"/>
                <w:sz w:val="13"/>
              </w:rPr>
              <w:t>Collective Thomson scattering capabilities to diagnose fusion plasmas</w:t>
            </w:r>
          </w:p>
        </w:tc>
        <w:tc>
          <w:tcPr>
            <w:tcW w:type="dxa" w:w="1700"/>
          </w:tcPr>
          <w:p>
            <w:pPr>
              <w:keepLines/>
              <w:spacing w:after="0" w:line="276" w:lineRule="auto"/>
            </w:pPr>
            <w:r>
              <w:rPr>
                <w:rFonts w:ascii="Calibri" w:hAnsi="Calibri" w:eastAsia="Microsoft YaHei"/>
                <w:color w:val="0B2545"/>
                <w:sz w:val="13"/>
              </w:rPr>
              <w:t>Nuclear Instruments and Methods in Physics Research Section A: Accelerators, Spectrometers, Detectors and Associated Equipment</w:t>
            </w:r>
          </w:p>
        </w:tc>
        <w:tc>
          <w:tcPr>
            <w:tcW w:type="dxa" w:w="2260"/>
          </w:tcPr>
          <w:p>
            <w:pPr>
              <w:keepLines/>
              <w:spacing w:after="0" w:line="276" w:lineRule="auto"/>
            </w:pPr>
            <w:hyperlink r:id="rId98">
              <w:r>
                <w:rPr>
                  <w:rFonts w:ascii="Calibri" w:hAnsi="Calibri" w:eastAsia="Microsoft YaHei"/>
                  <w:color w:val="008C95"/>
                  <w:u w:val="single"/>
                </w:rPr>
                <w:t>打开原始来源 ↗</w:t>
              </w:r>
            </w:hyperlink>
          </w:p>
        </w:tc>
      </w:tr>
      <w:tr>
        <w:trPr>
          <w:cantSplit/>
        </w:trPr>
        <w:tc>
          <w:tcPr>
            <w:tcW w:type="dxa" w:w="600"/>
          </w:tcPr>
          <w:p>
            <w:pPr>
              <w:keepLines/>
              <w:spacing w:after="0" w:line="276" w:lineRule="auto"/>
            </w:pPr>
            <w:r>
              <w:rPr>
                <w:rFonts w:ascii="Calibri" w:hAnsi="Calibri" w:eastAsia="Microsoft YaHei"/>
                <w:color w:val="0B2545"/>
                <w:sz w:val="13"/>
              </w:rPr>
              <w:t>2009</w:t>
            </w:r>
          </w:p>
        </w:tc>
        <w:tc>
          <w:tcPr>
            <w:tcW w:type="dxa" w:w="1600"/>
          </w:tcPr>
          <w:p>
            <w:pPr>
              <w:keepLines/>
              <w:spacing w:after="0" w:line="276" w:lineRule="auto"/>
            </w:pPr>
            <w:r>
              <w:rPr>
                <w:rFonts w:ascii="Calibri" w:hAnsi="Calibri" w:eastAsia="Microsoft YaHei"/>
                <w:color w:val="0B2545"/>
                <w:sz w:val="13"/>
              </w:rPr>
              <w:t>Henrik Sjöstrand; E. Andersson Sundén; S. Conroy; G. Ericsson; M. Gatu Johnson; L. Giacomelli; G. Gorini; C. Hellesen; A. Hjalmarsson; S. Popovichev; E. Ronchi; M. Tardocchi; et al. (13 authors)</w:t>
            </w:r>
          </w:p>
        </w:tc>
        <w:tc>
          <w:tcPr>
            <w:tcW w:type="dxa" w:w="3200"/>
          </w:tcPr>
          <w:p>
            <w:pPr>
              <w:keepLines/>
              <w:spacing w:after="0" w:line="276" w:lineRule="auto"/>
            </w:pPr>
            <w:r>
              <w:rPr>
                <w:rFonts w:ascii="Calibri" w:hAnsi="Calibri" w:eastAsia="Microsoft YaHei"/>
                <w:color w:val="0B2545"/>
                <w:sz w:val="13"/>
              </w:rPr>
              <w:t>Gain stabilization control system of the upgraded magnetic proton recoil neutron spectrometer at JET</w:t>
            </w:r>
          </w:p>
        </w:tc>
        <w:tc>
          <w:tcPr>
            <w:tcW w:type="dxa" w:w="1700"/>
          </w:tcPr>
          <w:p>
            <w:pPr>
              <w:keepLines/>
              <w:spacing w:after="0" w:line="276" w:lineRule="auto"/>
            </w:pPr>
            <w:r>
              <w:rPr>
                <w:rFonts w:ascii="Calibri" w:hAnsi="Calibri" w:eastAsia="Microsoft YaHei"/>
                <w:color w:val="0B2545"/>
                <w:sz w:val="13"/>
              </w:rPr>
              <w:t>Review of Scientific Instruments</w:t>
            </w:r>
          </w:p>
        </w:tc>
        <w:tc>
          <w:tcPr>
            <w:tcW w:type="dxa" w:w="2260"/>
          </w:tcPr>
          <w:p>
            <w:pPr>
              <w:keepLines/>
              <w:spacing w:after="0" w:line="276" w:lineRule="auto"/>
            </w:pPr>
            <w:hyperlink r:id="rId91">
              <w:r>
                <w:rPr>
                  <w:rFonts w:ascii="Calibri" w:hAnsi="Calibri" w:eastAsia="Microsoft YaHei"/>
                  <w:color w:val="008C95"/>
                  <w:u w:val="single"/>
                </w:rPr>
                <w:t>打开原始来源 ↗</w:t>
              </w:r>
            </w:hyperlink>
          </w:p>
        </w:tc>
      </w:tr>
      <w:tr>
        <w:trPr>
          <w:cantSplit/>
        </w:trPr>
        <w:tc>
          <w:tcPr>
            <w:tcW w:type="dxa" w:w="600"/>
          </w:tcPr>
          <w:p>
            <w:pPr>
              <w:keepLines/>
              <w:spacing w:after="0" w:line="276" w:lineRule="auto"/>
            </w:pPr>
            <w:r>
              <w:rPr>
                <w:rFonts w:ascii="Calibri" w:hAnsi="Calibri" w:eastAsia="Microsoft YaHei"/>
                <w:color w:val="0B2545"/>
                <w:sz w:val="13"/>
              </w:rPr>
              <w:t>2009</w:t>
            </w:r>
          </w:p>
        </w:tc>
        <w:tc>
          <w:tcPr>
            <w:tcW w:type="dxa" w:w="1600"/>
          </w:tcPr>
          <w:p>
            <w:pPr>
              <w:keepLines/>
              <w:spacing w:after="0" w:line="276" w:lineRule="auto"/>
            </w:pPr>
            <w:r>
              <w:rPr>
                <w:rFonts w:ascii="Calibri" w:hAnsi="Calibri" w:eastAsia="Microsoft YaHei"/>
                <w:color w:val="0B2545"/>
                <w:sz w:val="13"/>
              </w:rPr>
              <w:t>Ph. Moreau; A. Le-Luyer; P. Hertout; F. Saint-Laurent; W. Zwingmann; J.M. Moret; Y. Martin</w:t>
            </w:r>
          </w:p>
        </w:tc>
        <w:tc>
          <w:tcPr>
            <w:tcW w:type="dxa" w:w="3200"/>
          </w:tcPr>
          <w:p>
            <w:pPr>
              <w:keepLines/>
              <w:spacing w:after="0" w:line="276" w:lineRule="auto"/>
            </w:pPr>
            <w:r>
              <w:rPr>
                <w:rFonts w:ascii="Calibri" w:hAnsi="Calibri" w:eastAsia="Microsoft YaHei"/>
                <w:color w:val="0B2545"/>
                <w:sz w:val="13"/>
              </w:rPr>
              <w:t>Design and performance analysis of ITER ex-vessel magnetic diagnostics</w:t>
            </w:r>
          </w:p>
        </w:tc>
        <w:tc>
          <w:tcPr>
            <w:tcW w:type="dxa" w:w="1700"/>
          </w:tcPr>
          <w:p>
            <w:pPr>
              <w:keepLines/>
              <w:spacing w:after="0" w:line="276" w:lineRule="auto"/>
            </w:pPr>
            <w:r>
              <w:rPr>
                <w:rFonts w:ascii="Calibri" w:hAnsi="Calibri" w:eastAsia="Microsoft YaHei"/>
                <w:color w:val="0B2545"/>
                <w:sz w:val="13"/>
              </w:rPr>
              <w:t>Fusion Engineering and Design</w:t>
            </w:r>
          </w:p>
        </w:tc>
        <w:tc>
          <w:tcPr>
            <w:tcW w:type="dxa" w:w="2260"/>
          </w:tcPr>
          <w:p>
            <w:pPr>
              <w:keepLines/>
              <w:spacing w:after="0" w:line="276" w:lineRule="auto"/>
            </w:pPr>
            <w:hyperlink r:id="rId36">
              <w:r>
                <w:rPr>
                  <w:rFonts w:ascii="Calibri" w:hAnsi="Calibri" w:eastAsia="Microsoft YaHei"/>
                  <w:color w:val="008C95"/>
                  <w:u w:val="single"/>
                </w:rPr>
                <w:t>打开原始来源 ↗</w:t>
              </w:r>
            </w:hyperlink>
          </w:p>
        </w:tc>
      </w:tr>
      <w:tr>
        <w:trPr>
          <w:cantSplit/>
        </w:trPr>
        <w:tc>
          <w:tcPr>
            <w:tcW w:type="dxa" w:w="600"/>
          </w:tcPr>
          <w:p>
            <w:pPr>
              <w:keepLines/>
              <w:spacing w:after="0" w:line="276" w:lineRule="auto"/>
            </w:pPr>
            <w:r>
              <w:rPr>
                <w:rFonts w:ascii="Calibri" w:hAnsi="Calibri" w:eastAsia="Microsoft YaHei"/>
                <w:color w:val="0B2545"/>
                <w:sz w:val="13"/>
              </w:rPr>
              <w:t>2009</w:t>
            </w:r>
          </w:p>
        </w:tc>
        <w:tc>
          <w:tcPr>
            <w:tcW w:type="dxa" w:w="1600"/>
          </w:tcPr>
          <w:p>
            <w:pPr>
              <w:keepLines/>
              <w:spacing w:after="0" w:line="276" w:lineRule="auto"/>
            </w:pPr>
            <w:r>
              <w:rPr>
                <w:rFonts w:ascii="Calibri" w:hAnsi="Calibri" w:eastAsia="Microsoft YaHei"/>
                <w:color w:val="0B2545"/>
                <w:sz w:val="13"/>
              </w:rPr>
              <w:t>M. J. Hole; L. C. Appel; R. Martin</w:t>
            </w:r>
          </w:p>
        </w:tc>
        <w:tc>
          <w:tcPr>
            <w:tcW w:type="dxa" w:w="3200"/>
          </w:tcPr>
          <w:p>
            <w:pPr>
              <w:keepLines/>
              <w:spacing w:after="0" w:line="276" w:lineRule="auto"/>
            </w:pPr>
            <w:r>
              <w:rPr>
                <w:rFonts w:ascii="Calibri" w:hAnsi="Calibri" w:eastAsia="Microsoft YaHei"/>
                <w:color w:val="0B2545"/>
                <w:sz w:val="13"/>
              </w:rPr>
              <w:t>A high resolution Mirnov array for the Mega Ampere Spherical Tokamak</w:t>
            </w:r>
          </w:p>
        </w:tc>
        <w:tc>
          <w:tcPr>
            <w:tcW w:type="dxa" w:w="1700"/>
          </w:tcPr>
          <w:p>
            <w:pPr>
              <w:keepLines/>
              <w:spacing w:after="0" w:line="276" w:lineRule="auto"/>
            </w:pPr>
            <w:r>
              <w:rPr>
                <w:rFonts w:ascii="Calibri" w:hAnsi="Calibri" w:eastAsia="Microsoft YaHei"/>
                <w:color w:val="0B2545"/>
                <w:sz w:val="13"/>
              </w:rPr>
              <w:t>Review of Scientific Instruments</w:t>
            </w:r>
          </w:p>
        </w:tc>
        <w:tc>
          <w:tcPr>
            <w:tcW w:type="dxa" w:w="2260"/>
          </w:tcPr>
          <w:p>
            <w:pPr>
              <w:keepLines/>
              <w:spacing w:after="0" w:line="276" w:lineRule="auto"/>
            </w:pPr>
            <w:hyperlink r:id="rId102">
              <w:r>
                <w:rPr>
                  <w:rFonts w:ascii="Calibri" w:hAnsi="Calibri" w:eastAsia="Microsoft YaHei"/>
                  <w:color w:val="008C95"/>
                  <w:u w:val="single"/>
                </w:rPr>
                <w:t>打开原始来源 ↗</w:t>
              </w:r>
            </w:hyperlink>
          </w:p>
        </w:tc>
      </w:tr>
      <w:tr>
        <w:trPr>
          <w:cantSplit/>
        </w:trPr>
        <w:tc>
          <w:tcPr>
            <w:tcW w:type="dxa" w:w="600"/>
          </w:tcPr>
          <w:p>
            <w:pPr>
              <w:keepLines/>
              <w:spacing w:after="0" w:line="276" w:lineRule="auto"/>
            </w:pPr>
            <w:r>
              <w:rPr>
                <w:rFonts w:ascii="Calibri" w:hAnsi="Calibri" w:eastAsia="Microsoft YaHei"/>
                <w:color w:val="0B2545"/>
                <w:sz w:val="13"/>
              </w:rPr>
              <w:t>2008</w:t>
            </w:r>
          </w:p>
        </w:tc>
        <w:tc>
          <w:tcPr>
            <w:tcW w:type="dxa" w:w="1600"/>
          </w:tcPr>
          <w:p>
            <w:pPr>
              <w:keepLines/>
              <w:spacing w:after="0" w:line="276" w:lineRule="auto"/>
            </w:pPr>
            <w:r>
              <w:rPr>
                <w:rFonts w:ascii="Calibri" w:hAnsi="Calibri" w:eastAsia="Microsoft YaHei"/>
                <w:color w:val="0B2545"/>
                <w:sz w:val="13"/>
              </w:rPr>
              <w:t>E. Tsakadze; H. Bindslev; S. B. Korsholm; A. W. Larsen; F. Meo; P. K. Michelsen; S. Michelsen; A. H. Nielsen; S. Nimb; B. Lauritzen; E. Nonbøl; N. Dubois</w:t>
            </w:r>
          </w:p>
        </w:tc>
        <w:tc>
          <w:tcPr>
            <w:tcW w:type="dxa" w:w="3200"/>
          </w:tcPr>
          <w:p>
            <w:pPr>
              <w:keepLines/>
              <w:spacing w:after="0" w:line="276" w:lineRule="auto"/>
            </w:pPr>
            <w:r>
              <w:rPr>
                <w:rFonts w:ascii="Calibri" w:hAnsi="Calibri" w:eastAsia="Microsoft YaHei"/>
                <w:color w:val="0B2545"/>
                <w:sz w:val="13"/>
              </w:rPr>
              <w:t>Fast Ion Collective Thomson Scattering Diagnostic for ITER: Design Elements</w:t>
            </w:r>
          </w:p>
        </w:tc>
        <w:tc>
          <w:tcPr>
            <w:tcW w:type="dxa" w:w="1700"/>
          </w:tcPr>
          <w:p>
            <w:pPr>
              <w:keepLines/>
              <w:spacing w:after="0" w:line="276" w:lineRule="auto"/>
            </w:pPr>
            <w:r>
              <w:rPr>
                <w:rFonts w:ascii="Calibri" w:hAnsi="Calibri" w:eastAsia="Microsoft YaHei"/>
                <w:color w:val="0B2545"/>
                <w:sz w:val="13"/>
              </w:rPr>
              <w:t>Fusion Science and Technology</w:t>
            </w:r>
          </w:p>
        </w:tc>
        <w:tc>
          <w:tcPr>
            <w:tcW w:type="dxa" w:w="2260"/>
          </w:tcPr>
          <w:p>
            <w:pPr>
              <w:keepLines/>
              <w:spacing w:after="0" w:line="276" w:lineRule="auto"/>
            </w:pPr>
            <w:hyperlink r:id="rId99">
              <w:r>
                <w:rPr>
                  <w:rFonts w:ascii="Calibri" w:hAnsi="Calibri" w:eastAsia="Microsoft YaHei"/>
                  <w:color w:val="008C95"/>
                  <w:u w:val="single"/>
                </w:rPr>
                <w:t>打开原始来源 ↗</w:t>
              </w:r>
            </w:hyperlink>
          </w:p>
        </w:tc>
      </w:tr>
      <w:tr>
        <w:trPr>
          <w:cantSplit/>
        </w:trPr>
        <w:tc>
          <w:tcPr>
            <w:tcW w:type="dxa" w:w="600"/>
          </w:tcPr>
          <w:p>
            <w:pPr>
              <w:keepLines/>
              <w:spacing w:after="0" w:line="276" w:lineRule="auto"/>
            </w:pPr>
            <w:r>
              <w:rPr>
                <w:rFonts w:ascii="Calibri" w:hAnsi="Calibri" w:eastAsia="Microsoft YaHei"/>
                <w:color w:val="0B2545"/>
                <w:sz w:val="13"/>
              </w:rPr>
              <w:t>2008</w:t>
            </w:r>
          </w:p>
        </w:tc>
        <w:tc>
          <w:tcPr>
            <w:tcW w:type="dxa" w:w="1600"/>
          </w:tcPr>
          <w:p>
            <w:pPr>
              <w:keepLines/>
              <w:spacing w:after="0" w:line="276" w:lineRule="auto"/>
            </w:pPr>
            <w:r>
              <w:rPr>
                <w:rFonts w:ascii="Calibri" w:hAnsi="Calibri" w:eastAsia="Microsoft YaHei"/>
                <w:color w:val="0B2545"/>
                <w:sz w:val="13"/>
              </w:rPr>
              <w:t>S. Hiroki; S. Tanzawa; T. Arai; T. Abe</w:t>
            </w:r>
          </w:p>
        </w:tc>
        <w:tc>
          <w:tcPr>
            <w:tcW w:type="dxa" w:w="3200"/>
          </w:tcPr>
          <w:p>
            <w:pPr>
              <w:keepLines/>
              <w:spacing w:after="0" w:line="276" w:lineRule="auto"/>
            </w:pPr>
            <w:r>
              <w:rPr>
                <w:rFonts w:ascii="Calibri" w:hAnsi="Calibri" w:eastAsia="Microsoft YaHei"/>
                <w:color w:val="0B2545"/>
                <w:sz w:val="13"/>
              </w:rPr>
              <w:t>Development of water leak detection method in fusion reactors using water-soluble gas</w:t>
            </w:r>
          </w:p>
        </w:tc>
        <w:tc>
          <w:tcPr>
            <w:tcW w:type="dxa" w:w="1700"/>
          </w:tcPr>
          <w:p>
            <w:pPr>
              <w:keepLines/>
              <w:spacing w:after="0" w:line="276" w:lineRule="auto"/>
            </w:pPr>
            <w:r>
              <w:rPr>
                <w:rFonts w:ascii="Calibri" w:hAnsi="Calibri" w:eastAsia="Microsoft YaHei"/>
                <w:color w:val="0B2545"/>
                <w:sz w:val="13"/>
              </w:rPr>
              <w:t>Fusion Engineering and Design</w:t>
            </w:r>
          </w:p>
        </w:tc>
        <w:tc>
          <w:tcPr>
            <w:tcW w:type="dxa" w:w="2260"/>
          </w:tcPr>
          <w:p>
            <w:pPr>
              <w:keepLines/>
              <w:spacing w:after="0" w:line="276" w:lineRule="auto"/>
            </w:pPr>
            <w:hyperlink r:id="rId143">
              <w:r>
                <w:rPr>
                  <w:rFonts w:ascii="Calibri" w:hAnsi="Calibri" w:eastAsia="Microsoft YaHei"/>
                  <w:color w:val="008C95"/>
                  <w:u w:val="single"/>
                </w:rPr>
                <w:t>打开原始来源 ↗</w:t>
              </w:r>
            </w:hyperlink>
          </w:p>
        </w:tc>
      </w:tr>
      <w:tr>
        <w:trPr>
          <w:cantSplit/>
        </w:trPr>
        <w:tc>
          <w:tcPr>
            <w:tcW w:type="dxa" w:w="600"/>
          </w:tcPr>
          <w:p>
            <w:pPr>
              <w:keepLines/>
              <w:spacing w:after="0" w:line="276" w:lineRule="auto"/>
            </w:pPr>
            <w:r>
              <w:rPr>
                <w:rFonts w:ascii="Calibri" w:hAnsi="Calibri" w:eastAsia="Microsoft YaHei"/>
                <w:color w:val="0B2545"/>
                <w:sz w:val="13"/>
              </w:rPr>
              <w:t>2008</w:t>
            </w:r>
          </w:p>
        </w:tc>
        <w:tc>
          <w:tcPr>
            <w:tcW w:type="dxa" w:w="1600"/>
          </w:tcPr>
          <w:p>
            <w:pPr>
              <w:keepLines/>
              <w:spacing w:after="0" w:line="276" w:lineRule="auto"/>
            </w:pPr>
            <w:r>
              <w:rPr>
                <w:rFonts w:ascii="Calibri" w:hAnsi="Calibri" w:eastAsia="Microsoft YaHei"/>
                <w:color w:val="0B2545"/>
                <w:sz w:val="13"/>
              </w:rPr>
              <w:t>J Svensson; A Werner</w:t>
            </w:r>
          </w:p>
        </w:tc>
        <w:tc>
          <w:tcPr>
            <w:tcW w:type="dxa" w:w="3200"/>
          </w:tcPr>
          <w:p>
            <w:pPr>
              <w:keepLines/>
              <w:spacing w:after="0" w:line="276" w:lineRule="auto"/>
            </w:pPr>
            <w:r>
              <w:rPr>
                <w:rFonts w:ascii="Calibri" w:hAnsi="Calibri" w:eastAsia="Microsoft YaHei"/>
                <w:color w:val="0B2545"/>
                <w:sz w:val="13"/>
              </w:rPr>
              <w:t>Current tomography for axisymmetric plasmas</w:t>
            </w:r>
          </w:p>
        </w:tc>
        <w:tc>
          <w:tcPr>
            <w:tcW w:type="dxa" w:w="1700"/>
          </w:tcPr>
          <w:p>
            <w:pPr>
              <w:keepLines/>
              <w:spacing w:after="0" w:line="276" w:lineRule="auto"/>
            </w:pPr>
            <w:r>
              <w:rPr>
                <w:rFonts w:ascii="Calibri" w:hAnsi="Calibri" w:eastAsia="Microsoft YaHei"/>
                <w:color w:val="0B2545"/>
                <w:sz w:val="13"/>
              </w:rPr>
              <w:t>Plasma Physics and Controlled Fusion</w:t>
            </w:r>
          </w:p>
        </w:tc>
        <w:tc>
          <w:tcPr>
            <w:tcW w:type="dxa" w:w="2260"/>
          </w:tcPr>
          <w:p>
            <w:pPr>
              <w:keepLines/>
              <w:spacing w:after="0" w:line="276" w:lineRule="auto"/>
            </w:pPr>
            <w:hyperlink r:id="rId195">
              <w:r>
                <w:rPr>
                  <w:rFonts w:ascii="Calibri" w:hAnsi="Calibri" w:eastAsia="Microsoft YaHei"/>
                  <w:color w:val="008C95"/>
                  <w:u w:val="single"/>
                </w:rPr>
                <w:t>打开原始来源 ↗</w:t>
              </w:r>
            </w:hyperlink>
          </w:p>
        </w:tc>
      </w:tr>
      <w:tr>
        <w:trPr>
          <w:cantSplit/>
        </w:trPr>
        <w:tc>
          <w:tcPr>
            <w:tcW w:type="dxa" w:w="600"/>
          </w:tcPr>
          <w:p>
            <w:pPr>
              <w:keepLines/>
              <w:spacing w:after="0" w:line="276" w:lineRule="auto"/>
            </w:pPr>
            <w:r>
              <w:rPr>
                <w:rFonts w:ascii="Calibri" w:hAnsi="Calibri" w:eastAsia="Microsoft YaHei"/>
                <w:color w:val="0B2545"/>
                <w:sz w:val="13"/>
              </w:rPr>
              <w:t>2008</w:t>
            </w:r>
          </w:p>
        </w:tc>
        <w:tc>
          <w:tcPr>
            <w:tcW w:type="dxa" w:w="1600"/>
          </w:tcPr>
          <w:p>
            <w:pPr>
              <w:keepLines/>
              <w:spacing w:after="0" w:line="276" w:lineRule="auto"/>
            </w:pPr>
            <w:r>
              <w:rPr>
                <w:rFonts w:ascii="Calibri" w:hAnsi="Calibri" w:eastAsia="Microsoft YaHei"/>
                <w:color w:val="0B2545"/>
                <w:sz w:val="13"/>
              </w:rPr>
              <w:t>W. W. Heidbrink; Y. Luo; C. M. Muscatello; Y. Zhu; K. H. Burrell</w:t>
            </w:r>
          </w:p>
        </w:tc>
        <w:tc>
          <w:tcPr>
            <w:tcW w:type="dxa" w:w="3200"/>
          </w:tcPr>
          <w:p>
            <w:pPr>
              <w:keepLines/>
              <w:spacing w:after="0" w:line="276" w:lineRule="auto"/>
            </w:pPr>
            <w:r>
              <w:rPr>
                <w:rFonts w:ascii="Calibri" w:hAnsi="Calibri" w:eastAsia="Microsoft YaHei"/>
                <w:color w:val="0B2545"/>
                <w:sz w:val="13"/>
              </w:rPr>
              <w:t>A new fast-ion Dα diagnostic for DIII-D</w:t>
            </w:r>
          </w:p>
        </w:tc>
        <w:tc>
          <w:tcPr>
            <w:tcW w:type="dxa" w:w="1700"/>
          </w:tcPr>
          <w:p>
            <w:pPr>
              <w:keepLines/>
              <w:spacing w:after="0" w:line="276" w:lineRule="auto"/>
            </w:pPr>
            <w:r>
              <w:rPr>
                <w:rFonts w:ascii="Calibri" w:hAnsi="Calibri" w:eastAsia="Microsoft YaHei"/>
                <w:color w:val="0B2545"/>
                <w:sz w:val="13"/>
              </w:rPr>
              <w:t>Review of Scientific Instruments</w:t>
            </w:r>
          </w:p>
        </w:tc>
        <w:tc>
          <w:tcPr>
            <w:tcW w:type="dxa" w:w="2260"/>
          </w:tcPr>
          <w:p>
            <w:pPr>
              <w:keepLines/>
              <w:spacing w:after="0" w:line="276" w:lineRule="auto"/>
            </w:pPr>
            <w:hyperlink r:id="rId95">
              <w:r>
                <w:rPr>
                  <w:rFonts w:ascii="Calibri" w:hAnsi="Calibri" w:eastAsia="Microsoft YaHei"/>
                  <w:color w:val="008C95"/>
                  <w:u w:val="single"/>
                </w:rPr>
                <w:t>打开原始来源 ↗</w:t>
              </w:r>
            </w:hyperlink>
          </w:p>
        </w:tc>
      </w:tr>
      <w:tr>
        <w:trPr>
          <w:cantSplit/>
        </w:trPr>
        <w:tc>
          <w:tcPr>
            <w:tcW w:type="dxa" w:w="600"/>
          </w:tcPr>
          <w:p>
            <w:pPr>
              <w:keepLines/>
              <w:spacing w:after="0" w:line="276" w:lineRule="auto"/>
            </w:pPr>
            <w:r>
              <w:rPr>
                <w:rFonts w:ascii="Calibri" w:hAnsi="Calibri" w:eastAsia="Microsoft YaHei"/>
                <w:color w:val="0B2545"/>
                <w:sz w:val="13"/>
              </w:rPr>
              <w:t>2007</w:t>
            </w:r>
          </w:p>
        </w:tc>
        <w:tc>
          <w:tcPr>
            <w:tcW w:type="dxa" w:w="1600"/>
          </w:tcPr>
          <w:p>
            <w:pPr>
              <w:keepLines/>
              <w:spacing w:after="0" w:line="276" w:lineRule="auto"/>
            </w:pPr>
            <w:r>
              <w:rPr>
                <w:rFonts w:ascii="Calibri" w:hAnsi="Calibri" w:eastAsia="Microsoft YaHei"/>
                <w:color w:val="0B2545"/>
                <w:sz w:val="13"/>
              </w:rPr>
              <w:t>George R. McKEE; Raymond J. FONCK; Deepak K. GUPTA; David J. SCHLOSSBERG; Morgan W. SHAFER; Réjean L. BOIVIN; Wayne SOLOMON</w:t>
            </w:r>
          </w:p>
        </w:tc>
        <w:tc>
          <w:tcPr>
            <w:tcW w:type="dxa" w:w="3200"/>
          </w:tcPr>
          <w:p>
            <w:pPr>
              <w:keepLines/>
              <w:spacing w:after="0" w:line="276" w:lineRule="auto"/>
            </w:pPr>
            <w:r>
              <w:rPr>
                <w:rFonts w:ascii="Calibri" w:hAnsi="Calibri" w:eastAsia="Microsoft YaHei"/>
                <w:color w:val="0B2545"/>
                <w:sz w:val="13"/>
              </w:rPr>
              <w:t>Plasma Turbulence Imaging via Beam Emission Spectroscopy in the Core of the DIII-D Tokamak</w:t>
            </w:r>
          </w:p>
        </w:tc>
        <w:tc>
          <w:tcPr>
            <w:tcW w:type="dxa" w:w="1700"/>
          </w:tcPr>
          <w:p>
            <w:pPr>
              <w:keepLines/>
              <w:spacing w:after="0" w:line="276" w:lineRule="auto"/>
            </w:pPr>
            <w:r>
              <w:rPr>
                <w:rFonts w:ascii="Calibri" w:hAnsi="Calibri" w:eastAsia="Microsoft YaHei"/>
                <w:color w:val="0B2545"/>
                <w:sz w:val="13"/>
              </w:rPr>
              <w:t>Plasma and Fusion Research</w:t>
            </w:r>
          </w:p>
        </w:tc>
        <w:tc>
          <w:tcPr>
            <w:tcW w:type="dxa" w:w="2260"/>
          </w:tcPr>
          <w:p>
            <w:pPr>
              <w:keepLines/>
              <w:spacing w:after="0" w:line="276" w:lineRule="auto"/>
            </w:pPr>
            <w:hyperlink r:id="rId105">
              <w:r>
                <w:rPr>
                  <w:rFonts w:ascii="Calibri" w:hAnsi="Calibri" w:eastAsia="Microsoft YaHei"/>
                  <w:color w:val="008C95"/>
                  <w:u w:val="single"/>
                </w:rPr>
                <w:t>打开原始来源 ↗</w:t>
              </w:r>
            </w:hyperlink>
          </w:p>
        </w:tc>
      </w:tr>
      <w:tr>
        <w:trPr>
          <w:cantSplit/>
        </w:trPr>
        <w:tc>
          <w:tcPr>
            <w:tcW w:type="dxa" w:w="600"/>
          </w:tcPr>
          <w:p>
            <w:pPr>
              <w:keepLines/>
              <w:spacing w:after="0" w:line="276" w:lineRule="auto"/>
            </w:pPr>
            <w:r>
              <w:rPr>
                <w:rFonts w:ascii="Calibri" w:hAnsi="Calibri" w:eastAsia="Microsoft YaHei"/>
                <w:color w:val="0B2545"/>
                <w:sz w:val="13"/>
              </w:rPr>
              <w:t>2007</w:t>
            </w:r>
          </w:p>
        </w:tc>
        <w:tc>
          <w:tcPr>
            <w:tcW w:type="dxa" w:w="1600"/>
          </w:tcPr>
          <w:p>
            <w:pPr>
              <w:keepLines/>
              <w:spacing w:after="0" w:line="276" w:lineRule="auto"/>
            </w:pPr>
            <w:r>
              <w:rPr>
                <w:rFonts w:ascii="Calibri" w:hAnsi="Calibri" w:eastAsia="Microsoft YaHei"/>
                <w:color w:val="0B2545"/>
                <w:sz w:val="13"/>
              </w:rPr>
              <w:t>G. De Temmerman; R.A. Pitts; V.S. Voitsenya; L. Marot; G. Veres; M. Maurer; P. Oelhafen</w:t>
            </w:r>
          </w:p>
        </w:tc>
        <w:tc>
          <w:tcPr>
            <w:tcW w:type="dxa" w:w="3200"/>
          </w:tcPr>
          <w:p>
            <w:pPr>
              <w:keepLines/>
              <w:spacing w:after="0" w:line="276" w:lineRule="auto"/>
            </w:pPr>
            <w:r>
              <w:rPr>
                <w:rFonts w:ascii="Calibri" w:hAnsi="Calibri" w:eastAsia="Microsoft YaHei"/>
                <w:color w:val="0B2545"/>
                <w:sz w:val="13"/>
              </w:rPr>
              <w:t>First mirror tests for ITER: Influence of material choice on the erosion/deposition mechanisms affecting optical reflectivity</w:t>
            </w:r>
          </w:p>
        </w:tc>
        <w:tc>
          <w:tcPr>
            <w:tcW w:type="dxa" w:w="1700"/>
          </w:tcPr>
          <w:p>
            <w:pPr>
              <w:keepLines/>
              <w:spacing w:after="0" w:line="276" w:lineRule="auto"/>
            </w:pPr>
            <w:r>
              <w:rPr>
                <w:rFonts w:ascii="Calibri" w:hAnsi="Calibri" w:eastAsia="Microsoft YaHei"/>
                <w:color w:val="0B2545"/>
                <w:sz w:val="13"/>
              </w:rPr>
              <w:t>Journal of Nuclear Materials</w:t>
            </w:r>
          </w:p>
        </w:tc>
        <w:tc>
          <w:tcPr>
            <w:tcW w:type="dxa" w:w="2260"/>
          </w:tcPr>
          <w:p>
            <w:pPr>
              <w:keepLines/>
              <w:spacing w:after="0" w:line="276" w:lineRule="auto"/>
            </w:pPr>
            <w:hyperlink r:id="rId126">
              <w:r>
                <w:rPr>
                  <w:rFonts w:ascii="Calibri" w:hAnsi="Calibri" w:eastAsia="Microsoft YaHei"/>
                  <w:color w:val="008C95"/>
                  <w:u w:val="single"/>
                </w:rPr>
                <w:t>打开原始来源 ↗</w:t>
              </w:r>
            </w:hyperlink>
          </w:p>
        </w:tc>
      </w:tr>
      <w:tr>
        <w:trPr>
          <w:cantSplit/>
        </w:trPr>
        <w:tc>
          <w:tcPr>
            <w:tcW w:type="dxa" w:w="600"/>
          </w:tcPr>
          <w:p>
            <w:pPr>
              <w:keepLines/>
              <w:spacing w:after="0" w:line="276" w:lineRule="auto"/>
            </w:pPr>
            <w:r>
              <w:rPr>
                <w:rFonts w:ascii="Calibri" w:hAnsi="Calibri" w:eastAsia="Microsoft YaHei"/>
                <w:color w:val="0B2545"/>
                <w:sz w:val="13"/>
              </w:rPr>
              <w:t>2006</w:t>
            </w:r>
          </w:p>
        </w:tc>
        <w:tc>
          <w:tcPr>
            <w:tcW w:type="dxa" w:w="1600"/>
          </w:tcPr>
          <w:p>
            <w:pPr>
              <w:keepLines/>
              <w:spacing w:after="0" w:line="276" w:lineRule="auto"/>
            </w:pPr>
            <w:r>
              <w:rPr>
                <w:rFonts w:ascii="Calibri" w:hAnsi="Calibri" w:eastAsia="Microsoft YaHei"/>
                <w:color w:val="0B2545"/>
                <w:sz w:val="13"/>
              </w:rPr>
              <w:t>Yuejiang Shi</w:t>
            </w:r>
          </w:p>
        </w:tc>
        <w:tc>
          <w:tcPr>
            <w:tcW w:type="dxa" w:w="3200"/>
          </w:tcPr>
          <w:p>
            <w:pPr>
              <w:keepLines/>
              <w:spacing w:after="0" w:line="276" w:lineRule="auto"/>
            </w:pPr>
            <w:r>
              <w:rPr>
                <w:rFonts w:ascii="Calibri" w:hAnsi="Calibri" w:eastAsia="Microsoft YaHei"/>
                <w:color w:val="0B2545"/>
                <w:sz w:val="13"/>
              </w:rPr>
              <w:t>Improved signal analysis for the calibration of the motional Stark effect diagnostic</w:t>
            </w:r>
          </w:p>
        </w:tc>
        <w:tc>
          <w:tcPr>
            <w:tcW w:type="dxa" w:w="1700"/>
          </w:tcPr>
          <w:p>
            <w:pPr>
              <w:keepLines/>
              <w:spacing w:after="0" w:line="276" w:lineRule="auto"/>
            </w:pPr>
            <w:r>
              <w:rPr>
                <w:rFonts w:ascii="Calibri" w:hAnsi="Calibri" w:eastAsia="Microsoft YaHei"/>
                <w:color w:val="0B2545"/>
                <w:sz w:val="13"/>
              </w:rPr>
              <w:t>Review of Scientific Instruments</w:t>
            </w:r>
          </w:p>
        </w:tc>
        <w:tc>
          <w:tcPr>
            <w:tcW w:type="dxa" w:w="2260"/>
          </w:tcPr>
          <w:p>
            <w:pPr>
              <w:keepLines/>
              <w:spacing w:after="0" w:line="276" w:lineRule="auto"/>
            </w:pPr>
            <w:hyperlink r:id="rId44">
              <w:r>
                <w:rPr>
                  <w:rFonts w:ascii="Calibri" w:hAnsi="Calibri" w:eastAsia="Microsoft YaHei"/>
                  <w:color w:val="008C95"/>
                  <w:u w:val="single"/>
                </w:rPr>
                <w:t>打开原始来源 ↗</w:t>
              </w:r>
            </w:hyperlink>
          </w:p>
        </w:tc>
      </w:tr>
      <w:tr>
        <w:trPr>
          <w:cantSplit/>
        </w:trPr>
        <w:tc>
          <w:tcPr>
            <w:tcW w:type="dxa" w:w="600"/>
          </w:tcPr>
          <w:p>
            <w:pPr>
              <w:keepLines/>
              <w:spacing w:after="0" w:line="276" w:lineRule="auto"/>
            </w:pPr>
            <w:r>
              <w:rPr>
                <w:rFonts w:ascii="Calibri" w:hAnsi="Calibri" w:eastAsia="Microsoft YaHei"/>
                <w:color w:val="0B2545"/>
                <w:sz w:val="13"/>
              </w:rPr>
              <w:t>2004</w:t>
            </w:r>
          </w:p>
        </w:tc>
        <w:tc>
          <w:tcPr>
            <w:tcW w:type="dxa" w:w="1600"/>
          </w:tcPr>
          <w:p>
            <w:pPr>
              <w:keepLines/>
              <w:spacing w:after="0" w:line="276" w:lineRule="auto"/>
            </w:pPr>
            <w:r>
              <w:rPr>
                <w:rFonts w:ascii="Calibri" w:hAnsi="Calibri" w:eastAsia="Microsoft YaHei"/>
                <w:color w:val="0B2545"/>
                <w:sz w:val="13"/>
              </w:rPr>
              <w:t>T. Kondoh; A. E. Costley; T. Sugie; Y. Kawano; A. Malaquias; C. I. Walker</w:t>
            </w:r>
          </w:p>
        </w:tc>
        <w:tc>
          <w:tcPr>
            <w:tcW w:type="dxa" w:w="3200"/>
          </w:tcPr>
          <w:p>
            <w:pPr>
              <w:keepLines/>
              <w:spacing w:after="0" w:line="276" w:lineRule="auto"/>
            </w:pPr>
            <w:r>
              <w:rPr>
                <w:rFonts w:ascii="Calibri" w:hAnsi="Calibri" w:eastAsia="Microsoft YaHei"/>
                <w:color w:val="0B2545"/>
                <w:sz w:val="13"/>
              </w:rPr>
              <w:t>Toroidal interferometer/polarimeter density measurement system on ITER</w:t>
            </w:r>
          </w:p>
        </w:tc>
        <w:tc>
          <w:tcPr>
            <w:tcW w:type="dxa" w:w="1700"/>
          </w:tcPr>
          <w:p>
            <w:pPr>
              <w:keepLines/>
              <w:spacing w:after="0" w:line="276" w:lineRule="auto"/>
            </w:pPr>
            <w:r>
              <w:rPr>
                <w:rFonts w:ascii="Calibri" w:hAnsi="Calibri" w:eastAsia="Microsoft YaHei"/>
                <w:color w:val="0B2545"/>
                <w:sz w:val="13"/>
              </w:rPr>
              <w:t>Review of Scientific Instruments</w:t>
            </w:r>
          </w:p>
        </w:tc>
        <w:tc>
          <w:tcPr>
            <w:tcW w:type="dxa" w:w="2260"/>
          </w:tcPr>
          <w:p>
            <w:pPr>
              <w:keepLines/>
              <w:spacing w:after="0" w:line="276" w:lineRule="auto"/>
            </w:pPr>
            <w:hyperlink r:id="rId52">
              <w:r>
                <w:rPr>
                  <w:rFonts w:ascii="Calibri" w:hAnsi="Calibri" w:eastAsia="Microsoft YaHei"/>
                  <w:color w:val="008C95"/>
                  <w:u w:val="single"/>
                </w:rPr>
                <w:t>打开原始来源 ↗</w:t>
              </w:r>
            </w:hyperlink>
          </w:p>
        </w:tc>
      </w:tr>
      <w:tr>
        <w:trPr>
          <w:cantSplit/>
        </w:trPr>
        <w:tc>
          <w:tcPr>
            <w:tcW w:type="dxa" w:w="600"/>
          </w:tcPr>
          <w:p>
            <w:pPr>
              <w:keepLines/>
              <w:spacing w:after="0" w:line="276" w:lineRule="auto"/>
            </w:pPr>
            <w:r>
              <w:rPr>
                <w:rFonts w:ascii="Calibri" w:hAnsi="Calibri" w:eastAsia="Microsoft YaHei"/>
                <w:color w:val="0B2545"/>
                <w:sz w:val="13"/>
              </w:rPr>
              <w:t>2003</w:t>
            </w:r>
          </w:p>
        </w:tc>
        <w:tc>
          <w:tcPr>
            <w:tcW w:type="dxa" w:w="1600"/>
          </w:tcPr>
          <w:p>
            <w:pPr>
              <w:keepLines/>
              <w:spacing w:after="0" w:line="276" w:lineRule="auto"/>
            </w:pPr>
            <w:r>
              <w:rPr>
                <w:rFonts w:ascii="Calibri" w:hAnsi="Calibri" w:eastAsia="Microsoft YaHei"/>
                <w:color w:val="0B2545"/>
                <w:sz w:val="13"/>
              </w:rPr>
              <w:t>Tatsuo SUGIE; Alan COSTLEY; Artur MALAQUIAS; Chris WALKER</w:t>
            </w:r>
          </w:p>
        </w:tc>
        <w:tc>
          <w:tcPr>
            <w:tcW w:type="dxa" w:w="3200"/>
          </w:tcPr>
          <w:p>
            <w:pPr>
              <w:keepLines/>
              <w:spacing w:after="0" w:line="276" w:lineRule="auto"/>
            </w:pPr>
            <w:r>
              <w:rPr>
                <w:rFonts w:ascii="Calibri" w:hAnsi="Calibri" w:eastAsia="Microsoft YaHei"/>
                <w:color w:val="0B2545"/>
                <w:sz w:val="13"/>
              </w:rPr>
              <w:t>Spectroscopic Diagnostics for ITER</w:t>
            </w:r>
          </w:p>
        </w:tc>
        <w:tc>
          <w:tcPr>
            <w:tcW w:type="dxa" w:w="1700"/>
          </w:tcPr>
          <w:p>
            <w:pPr>
              <w:keepLines/>
              <w:spacing w:after="0" w:line="276" w:lineRule="auto"/>
            </w:pPr>
            <w:r>
              <w:rPr>
                <w:rFonts w:ascii="Calibri" w:hAnsi="Calibri" w:eastAsia="Microsoft YaHei"/>
                <w:color w:val="0B2545"/>
                <w:sz w:val="13"/>
              </w:rPr>
              <w:t>Journal of Plasma and Fusion Research</w:t>
            </w:r>
          </w:p>
        </w:tc>
        <w:tc>
          <w:tcPr>
            <w:tcW w:type="dxa" w:w="2260"/>
          </w:tcPr>
          <w:p>
            <w:pPr>
              <w:keepLines/>
              <w:spacing w:after="0" w:line="276" w:lineRule="auto"/>
            </w:pPr>
            <w:hyperlink r:id="rId82">
              <w:r>
                <w:rPr>
                  <w:rFonts w:ascii="Calibri" w:hAnsi="Calibri" w:eastAsia="Microsoft YaHei"/>
                  <w:color w:val="008C95"/>
                  <w:u w:val="single"/>
                </w:rPr>
                <w:t>打开原始来源 ↗</w:t>
              </w:r>
            </w:hyperlink>
          </w:p>
        </w:tc>
      </w:tr>
      <w:tr>
        <w:trPr>
          <w:cantSplit/>
        </w:trPr>
        <w:tc>
          <w:tcPr>
            <w:tcW w:type="dxa" w:w="600"/>
          </w:tcPr>
          <w:p>
            <w:pPr>
              <w:keepLines/>
              <w:spacing w:after="0" w:line="276" w:lineRule="auto"/>
            </w:pPr>
            <w:r>
              <w:rPr>
                <w:rFonts w:ascii="Calibri" w:hAnsi="Calibri" w:eastAsia="Microsoft YaHei"/>
                <w:color w:val="0B2545"/>
                <w:sz w:val="13"/>
              </w:rPr>
              <w:t>2003</w:t>
            </w:r>
          </w:p>
        </w:tc>
        <w:tc>
          <w:tcPr>
            <w:tcW w:type="dxa" w:w="1600"/>
          </w:tcPr>
          <w:p>
            <w:pPr>
              <w:keepLines/>
              <w:spacing w:after="0" w:line="276" w:lineRule="auto"/>
            </w:pPr>
            <w:r>
              <w:rPr>
                <w:rFonts w:ascii="Calibri" w:hAnsi="Calibri" w:eastAsia="Microsoft YaHei"/>
                <w:color w:val="0B2545"/>
                <w:sz w:val="13"/>
              </w:rPr>
              <w:t>H.G Esser; G Neill; P Coad; G.F Matthews; D Jolovic; D Wilson; M Freisinger; V Philipps</w:t>
            </w:r>
          </w:p>
        </w:tc>
        <w:tc>
          <w:tcPr>
            <w:tcW w:type="dxa" w:w="3200"/>
          </w:tcPr>
          <w:p>
            <w:pPr>
              <w:keepLines/>
              <w:spacing w:after="0" w:line="276" w:lineRule="auto"/>
            </w:pPr>
            <w:r>
              <w:rPr>
                <w:rFonts w:ascii="Calibri" w:hAnsi="Calibri" w:eastAsia="Microsoft YaHei"/>
                <w:color w:val="0B2545"/>
                <w:sz w:val="13"/>
              </w:rPr>
              <w:t>Quartz microbalance: a time resolved diagnostic to measure material deposition in JET</w:t>
            </w:r>
          </w:p>
        </w:tc>
        <w:tc>
          <w:tcPr>
            <w:tcW w:type="dxa" w:w="1700"/>
          </w:tcPr>
          <w:p>
            <w:pPr>
              <w:keepLines/>
              <w:spacing w:after="0" w:line="276" w:lineRule="auto"/>
            </w:pPr>
            <w:r>
              <w:rPr>
                <w:rFonts w:ascii="Calibri" w:hAnsi="Calibri" w:eastAsia="Microsoft YaHei"/>
                <w:color w:val="0B2545"/>
                <w:sz w:val="13"/>
              </w:rPr>
              <w:t>Fusion Engineering and Design</w:t>
            </w:r>
          </w:p>
        </w:tc>
        <w:tc>
          <w:tcPr>
            <w:tcW w:type="dxa" w:w="2260"/>
          </w:tcPr>
          <w:p>
            <w:pPr>
              <w:keepLines/>
              <w:spacing w:after="0" w:line="276" w:lineRule="auto"/>
            </w:pPr>
            <w:hyperlink r:id="rId121">
              <w:r>
                <w:rPr>
                  <w:rFonts w:ascii="Calibri" w:hAnsi="Calibri" w:eastAsia="Microsoft YaHei"/>
                  <w:color w:val="008C95"/>
                  <w:u w:val="single"/>
                </w:rPr>
                <w:t>打开原始来源 ↗</w:t>
              </w:r>
            </w:hyperlink>
          </w:p>
        </w:tc>
      </w:tr>
      <w:tr>
        <w:trPr>
          <w:cantSplit/>
        </w:trPr>
        <w:tc>
          <w:tcPr>
            <w:tcW w:type="dxa" w:w="600"/>
          </w:tcPr>
          <w:p>
            <w:pPr>
              <w:keepLines/>
              <w:spacing w:after="0" w:line="276" w:lineRule="auto"/>
            </w:pPr>
            <w:r>
              <w:rPr>
                <w:rFonts w:ascii="Calibri" w:hAnsi="Calibri" w:eastAsia="Microsoft YaHei"/>
                <w:color w:val="0B2545"/>
                <w:sz w:val="13"/>
              </w:rPr>
              <w:t>2003</w:t>
            </w:r>
          </w:p>
        </w:tc>
        <w:tc>
          <w:tcPr>
            <w:tcW w:type="dxa" w:w="1600"/>
          </w:tcPr>
          <w:p>
            <w:pPr>
              <w:keepLines/>
              <w:spacing w:after="0" w:line="276" w:lineRule="auto"/>
            </w:pPr>
            <w:r>
              <w:rPr>
                <w:rFonts w:ascii="Calibri" w:hAnsi="Calibri" w:eastAsia="Microsoft YaHei"/>
                <w:color w:val="0B2545"/>
                <w:sz w:val="13"/>
              </w:rPr>
              <w:t>未完整列出</w:t>
            </w:r>
          </w:p>
        </w:tc>
        <w:tc>
          <w:tcPr>
            <w:tcW w:type="dxa" w:w="3200"/>
          </w:tcPr>
          <w:p>
            <w:pPr>
              <w:keepLines/>
              <w:spacing w:after="0" w:line="276" w:lineRule="auto"/>
            </w:pPr>
            <w:r>
              <w:rPr>
                <w:rFonts w:ascii="Calibri" w:hAnsi="Calibri" w:eastAsia="Microsoft YaHei"/>
                <w:color w:val="0B2545"/>
                <w:sz w:val="13"/>
              </w:rPr>
              <w:t>Protection system for the superconducting coils in WENDELSTEIN 7-X</w:t>
            </w:r>
          </w:p>
        </w:tc>
        <w:tc>
          <w:tcPr>
            <w:tcW w:type="dxa" w:w="1700"/>
          </w:tcPr>
          <w:p>
            <w:pPr>
              <w:keepLines/>
              <w:spacing w:after="0" w:line="276" w:lineRule="auto"/>
            </w:pPr>
            <w:r>
              <w:rPr>
                <w:rFonts w:ascii="Calibri" w:hAnsi="Calibri" w:eastAsia="Microsoft YaHei"/>
                <w:color w:val="0B2545"/>
                <w:sz w:val="13"/>
              </w:rPr>
              <w:t>原始论文 / 官方来源</w:t>
            </w:r>
          </w:p>
        </w:tc>
        <w:tc>
          <w:tcPr>
            <w:tcW w:type="dxa" w:w="2260"/>
          </w:tcPr>
          <w:p>
            <w:pPr>
              <w:keepLines/>
              <w:spacing w:after="0" w:line="276" w:lineRule="auto"/>
            </w:pPr>
            <w:hyperlink r:id="rId154">
              <w:r>
                <w:rPr>
                  <w:rFonts w:ascii="Calibri" w:hAnsi="Calibri" w:eastAsia="Microsoft YaHei"/>
                  <w:color w:val="008C95"/>
                  <w:u w:val="single"/>
                </w:rPr>
                <w:t>打开原始来源 ↗</w:t>
              </w:r>
            </w:hyperlink>
          </w:p>
        </w:tc>
      </w:tr>
      <w:tr>
        <w:trPr>
          <w:cantSplit/>
        </w:trPr>
        <w:tc>
          <w:tcPr>
            <w:tcW w:type="dxa" w:w="600"/>
          </w:tcPr>
          <w:p>
            <w:pPr>
              <w:keepLines/>
              <w:spacing w:after="0" w:line="276" w:lineRule="auto"/>
            </w:pPr>
            <w:r>
              <w:rPr>
                <w:rFonts w:ascii="Calibri" w:hAnsi="Calibri" w:eastAsia="Microsoft YaHei"/>
                <w:color w:val="0B2545"/>
                <w:sz w:val="13"/>
              </w:rPr>
              <w:t>2003</w:t>
            </w:r>
          </w:p>
        </w:tc>
        <w:tc>
          <w:tcPr>
            <w:tcW w:type="dxa" w:w="1600"/>
          </w:tcPr>
          <w:p>
            <w:pPr>
              <w:keepLines/>
              <w:spacing w:after="0" w:line="276" w:lineRule="auto"/>
            </w:pPr>
            <w:r>
              <w:rPr>
                <w:rFonts w:ascii="Calibri" w:hAnsi="Calibri" w:eastAsia="Microsoft YaHei"/>
                <w:color w:val="0B2545"/>
                <w:sz w:val="13"/>
              </w:rPr>
              <w:t>ITER Diagnostics Division</w:t>
            </w:r>
          </w:p>
        </w:tc>
        <w:tc>
          <w:tcPr>
            <w:tcW w:type="dxa" w:w="3200"/>
          </w:tcPr>
          <w:p>
            <w:pPr>
              <w:keepLines/>
              <w:spacing w:after="0" w:line="276" w:lineRule="auto"/>
            </w:pPr>
            <w:r>
              <w:rPr>
                <w:rFonts w:ascii="Calibri" w:hAnsi="Calibri" w:eastAsia="Microsoft YaHei"/>
                <w:color w:val="0B2545"/>
                <w:sz w:val="13"/>
              </w:rPr>
              <w:t>ITER diagnostics design and implementation</w:t>
            </w:r>
          </w:p>
        </w:tc>
        <w:tc>
          <w:tcPr>
            <w:tcW w:type="dxa" w:w="1700"/>
          </w:tcPr>
          <w:p>
            <w:pPr>
              <w:keepLines/>
              <w:spacing w:after="0" w:line="276" w:lineRule="auto"/>
            </w:pPr>
            <w:r>
              <w:rPr>
                <w:rFonts w:ascii="Calibri" w:hAnsi="Calibri" w:eastAsia="Microsoft YaHei"/>
                <w:color w:val="0B2545"/>
                <w:sz w:val="13"/>
              </w:rPr>
              <w:t>IAEA technical proceedings</w:t>
            </w:r>
          </w:p>
        </w:tc>
        <w:tc>
          <w:tcPr>
            <w:tcW w:type="dxa" w:w="2260"/>
          </w:tcPr>
          <w:p>
            <w:pPr>
              <w:keepLines/>
              <w:spacing w:after="0" w:line="276" w:lineRule="auto"/>
            </w:pPr>
            <w:hyperlink r:id="rId37">
              <w:r>
                <w:rPr>
                  <w:rFonts w:ascii="Calibri" w:hAnsi="Calibri" w:eastAsia="Microsoft YaHei"/>
                  <w:color w:val="008C95"/>
                  <w:u w:val="single"/>
                </w:rPr>
                <w:t>打开原始来源 ↗</w:t>
              </w:r>
            </w:hyperlink>
          </w:p>
        </w:tc>
      </w:tr>
      <w:tr>
        <w:trPr>
          <w:cantSplit/>
        </w:trPr>
        <w:tc>
          <w:tcPr>
            <w:tcW w:type="dxa" w:w="600"/>
          </w:tcPr>
          <w:p>
            <w:pPr>
              <w:keepLines/>
              <w:spacing w:after="0" w:line="276" w:lineRule="auto"/>
            </w:pPr>
            <w:r>
              <w:rPr>
                <w:rFonts w:ascii="Calibri" w:hAnsi="Calibri" w:eastAsia="Microsoft YaHei"/>
                <w:color w:val="0B2545"/>
                <w:sz w:val="13"/>
              </w:rPr>
              <w:t>2001</w:t>
            </w:r>
          </w:p>
        </w:tc>
        <w:tc>
          <w:tcPr>
            <w:tcW w:type="dxa" w:w="1600"/>
          </w:tcPr>
          <w:p>
            <w:pPr>
              <w:keepLines/>
              <w:spacing w:after="0" w:line="276" w:lineRule="auto"/>
            </w:pPr>
            <w:r>
              <w:rPr>
                <w:rFonts w:ascii="Calibri" w:hAnsi="Calibri" w:eastAsia="Microsoft YaHei"/>
                <w:color w:val="0B2545"/>
                <w:sz w:val="13"/>
              </w:rPr>
              <w:t>P.P Khvostenko; V.A Mikhailichenko; V.F Bogdanov; F.H Bohn; B Giesen; I.Yu Kucherenko; O Neubauer; G.E Notkin; M.M Sokolov; A.N Vertiporokh; S.N Vostrikov</w:t>
            </w:r>
          </w:p>
        </w:tc>
        <w:tc>
          <w:tcPr>
            <w:tcW w:type="dxa" w:w="3200"/>
          </w:tcPr>
          <w:p>
            <w:pPr>
              <w:keepLines/>
              <w:spacing w:after="0" w:line="276" w:lineRule="auto"/>
            </w:pPr>
            <w:r>
              <w:rPr>
                <w:rFonts w:ascii="Calibri" w:hAnsi="Calibri" w:eastAsia="Microsoft YaHei"/>
                <w:color w:val="0B2545"/>
                <w:sz w:val="13"/>
              </w:rPr>
              <w:t>Vibration measurements of the tokamaks components of TEXTOR and T-10 in operation</w:t>
            </w:r>
          </w:p>
        </w:tc>
        <w:tc>
          <w:tcPr>
            <w:tcW w:type="dxa" w:w="1700"/>
          </w:tcPr>
          <w:p>
            <w:pPr>
              <w:keepLines/>
              <w:spacing w:after="0" w:line="276" w:lineRule="auto"/>
            </w:pPr>
            <w:r>
              <w:rPr>
                <w:rFonts w:ascii="Calibri" w:hAnsi="Calibri" w:eastAsia="Microsoft YaHei"/>
                <w:color w:val="0B2545"/>
                <w:sz w:val="13"/>
              </w:rPr>
              <w:t>Fusion Engineering and Design</w:t>
            </w:r>
          </w:p>
        </w:tc>
        <w:tc>
          <w:tcPr>
            <w:tcW w:type="dxa" w:w="2260"/>
          </w:tcPr>
          <w:p>
            <w:pPr>
              <w:keepLines/>
              <w:spacing w:after="0" w:line="276" w:lineRule="auto"/>
            </w:pPr>
            <w:hyperlink r:id="rId141">
              <w:r>
                <w:rPr>
                  <w:rFonts w:ascii="Calibri" w:hAnsi="Calibri" w:eastAsia="Microsoft YaHei"/>
                  <w:color w:val="008C95"/>
                  <w:u w:val="single"/>
                </w:rPr>
                <w:t>打开原始来源 ↗</w:t>
              </w:r>
            </w:hyperlink>
          </w:p>
        </w:tc>
      </w:tr>
      <w:tr>
        <w:trPr>
          <w:cantSplit/>
        </w:trPr>
        <w:tc>
          <w:tcPr>
            <w:tcW w:type="dxa" w:w="600"/>
          </w:tcPr>
          <w:p>
            <w:pPr>
              <w:keepLines/>
              <w:spacing w:after="0" w:line="276" w:lineRule="auto"/>
            </w:pPr>
            <w:r>
              <w:rPr>
                <w:rFonts w:ascii="Calibri" w:hAnsi="Calibri" w:eastAsia="Microsoft YaHei"/>
                <w:color w:val="0B2545"/>
                <w:sz w:val="13"/>
              </w:rPr>
              <w:t>2001</w:t>
            </w:r>
          </w:p>
        </w:tc>
        <w:tc>
          <w:tcPr>
            <w:tcW w:type="dxa" w:w="1600"/>
          </w:tcPr>
          <w:p>
            <w:pPr>
              <w:keepLines/>
              <w:spacing w:after="0" w:line="276" w:lineRule="auto"/>
            </w:pPr>
            <w:r>
              <w:rPr>
                <w:rFonts w:ascii="Calibri" w:hAnsi="Calibri" w:eastAsia="Microsoft YaHei"/>
                <w:color w:val="0B2545"/>
                <w:sz w:val="13"/>
              </w:rPr>
              <w:t>E Di Pietro; A Costley; T Inoue; A Krylov; A Panasenkov; Y Utin; G Vayakis; M Von Hellerman; M Yamada</w:t>
            </w:r>
          </w:p>
        </w:tc>
        <w:tc>
          <w:tcPr>
            <w:tcW w:type="dxa" w:w="3200"/>
          </w:tcPr>
          <w:p>
            <w:pPr>
              <w:keepLines/>
              <w:spacing w:after="0" w:line="276" w:lineRule="auto"/>
            </w:pPr>
            <w:r>
              <w:rPr>
                <w:rFonts w:ascii="Calibri" w:hAnsi="Calibri" w:eastAsia="Microsoft YaHei"/>
                <w:color w:val="0B2545"/>
                <w:sz w:val="13"/>
              </w:rPr>
              <w:t>Conceptual design and integration of a diagnostic neutral beam in ITER</w:t>
            </w:r>
          </w:p>
        </w:tc>
        <w:tc>
          <w:tcPr>
            <w:tcW w:type="dxa" w:w="1700"/>
          </w:tcPr>
          <w:p>
            <w:pPr>
              <w:keepLines/>
              <w:spacing w:after="0" w:line="276" w:lineRule="auto"/>
            </w:pPr>
            <w:r>
              <w:rPr>
                <w:rFonts w:ascii="Calibri" w:hAnsi="Calibri" w:eastAsia="Microsoft YaHei"/>
                <w:color w:val="0B2545"/>
                <w:sz w:val="13"/>
              </w:rPr>
              <w:t>Fusion Engineering and Design</w:t>
            </w:r>
          </w:p>
        </w:tc>
        <w:tc>
          <w:tcPr>
            <w:tcW w:type="dxa" w:w="2260"/>
          </w:tcPr>
          <w:p>
            <w:pPr>
              <w:keepLines/>
              <w:spacing w:after="0" w:line="276" w:lineRule="auto"/>
            </w:pPr>
            <w:hyperlink r:id="rId70">
              <w:r>
                <w:rPr>
                  <w:rFonts w:ascii="Calibri" w:hAnsi="Calibri" w:eastAsia="Microsoft YaHei"/>
                  <w:color w:val="008C95"/>
                  <w:u w:val="single"/>
                </w:rPr>
                <w:t>打开原始来源 ↗</w:t>
              </w:r>
            </w:hyperlink>
          </w:p>
        </w:tc>
      </w:tr>
      <w:tr>
        <w:trPr>
          <w:cantSplit/>
        </w:trPr>
        <w:tc>
          <w:tcPr>
            <w:tcW w:type="dxa" w:w="600"/>
          </w:tcPr>
          <w:p>
            <w:pPr>
              <w:keepLines/>
              <w:spacing w:after="0" w:line="276" w:lineRule="auto"/>
            </w:pPr>
            <w:r>
              <w:rPr>
                <w:rFonts w:ascii="Calibri" w:hAnsi="Calibri" w:eastAsia="Microsoft YaHei"/>
                <w:color w:val="0B2545"/>
                <w:sz w:val="13"/>
              </w:rPr>
              <w:t>1999</w:t>
            </w:r>
          </w:p>
        </w:tc>
        <w:tc>
          <w:tcPr>
            <w:tcW w:type="dxa" w:w="1600"/>
          </w:tcPr>
          <w:p>
            <w:pPr>
              <w:keepLines/>
              <w:spacing w:after="0" w:line="276" w:lineRule="auto"/>
            </w:pPr>
            <w:r>
              <w:rPr>
                <w:rFonts w:ascii="Calibri" w:hAnsi="Calibri" w:eastAsia="Microsoft YaHei"/>
                <w:color w:val="0B2545"/>
                <w:sz w:val="13"/>
              </w:rPr>
              <w:t>R. Lässer; A.C. Bell; B. Grieveson; J.L. Hemmerich; R. Stagg; G.V. Atkins</w:t>
            </w:r>
          </w:p>
        </w:tc>
        <w:tc>
          <w:tcPr>
            <w:tcW w:type="dxa" w:w="3200"/>
          </w:tcPr>
          <w:p>
            <w:pPr>
              <w:keepLines/>
              <w:spacing w:after="0" w:line="276" w:lineRule="auto"/>
            </w:pPr>
            <w:r>
              <w:rPr>
                <w:rFonts w:ascii="Calibri" w:hAnsi="Calibri" w:eastAsia="Microsoft YaHei"/>
                <w:color w:val="0B2545"/>
                <w:sz w:val="13"/>
              </w:rPr>
              <w:t>The analytical gas chromatographic system of the JET Active Gas Handling System — tritium commissioning and use during DTE1</w:t>
            </w:r>
          </w:p>
        </w:tc>
        <w:tc>
          <w:tcPr>
            <w:tcW w:type="dxa" w:w="1700"/>
          </w:tcPr>
          <w:p>
            <w:pPr>
              <w:keepLines/>
              <w:spacing w:after="0" w:line="276" w:lineRule="auto"/>
            </w:pPr>
            <w:r>
              <w:rPr>
                <w:rFonts w:ascii="Calibri" w:hAnsi="Calibri" w:eastAsia="Microsoft YaHei"/>
                <w:color w:val="0B2545"/>
                <w:sz w:val="13"/>
              </w:rPr>
              <w:t>Fusion Engineering and Design</w:t>
            </w:r>
          </w:p>
        </w:tc>
        <w:tc>
          <w:tcPr>
            <w:tcW w:type="dxa" w:w="2260"/>
          </w:tcPr>
          <w:p>
            <w:pPr>
              <w:keepLines/>
              <w:spacing w:after="0" w:line="276" w:lineRule="auto"/>
            </w:pPr>
            <w:hyperlink r:id="rId145">
              <w:r>
                <w:rPr>
                  <w:rFonts w:ascii="Calibri" w:hAnsi="Calibri" w:eastAsia="Microsoft YaHei"/>
                  <w:color w:val="008C95"/>
                  <w:u w:val="single"/>
                </w:rPr>
                <w:t>打开原始来源 ↗</w:t>
              </w:r>
            </w:hyperlink>
          </w:p>
        </w:tc>
      </w:tr>
      <w:tr>
        <w:trPr>
          <w:cantSplit/>
        </w:trPr>
        <w:tc>
          <w:tcPr>
            <w:tcW w:type="dxa" w:w="600"/>
          </w:tcPr>
          <w:p>
            <w:pPr>
              <w:keepLines/>
              <w:spacing w:after="0" w:line="276" w:lineRule="auto"/>
            </w:pPr>
            <w:r>
              <w:rPr>
                <w:rFonts w:ascii="Calibri" w:hAnsi="Calibri" w:eastAsia="Microsoft YaHei"/>
                <w:color w:val="0B2545"/>
                <w:sz w:val="13"/>
              </w:rPr>
              <w:t>1999</w:t>
            </w:r>
          </w:p>
        </w:tc>
        <w:tc>
          <w:tcPr>
            <w:tcW w:type="dxa" w:w="1600"/>
          </w:tcPr>
          <w:p>
            <w:pPr>
              <w:keepLines/>
              <w:spacing w:after="0" w:line="276" w:lineRule="auto"/>
            </w:pPr>
            <w:r>
              <w:rPr>
                <w:rFonts w:ascii="Calibri" w:hAnsi="Calibri" w:eastAsia="Microsoft YaHei"/>
                <w:color w:val="0B2545"/>
                <w:sz w:val="13"/>
              </w:rPr>
              <w:t>J.A. Stillerman and T.W. Fredian</w:t>
            </w:r>
          </w:p>
        </w:tc>
        <w:tc>
          <w:tcPr>
            <w:tcW w:type="dxa" w:w="3200"/>
          </w:tcPr>
          <w:p>
            <w:pPr>
              <w:keepLines/>
              <w:spacing w:after="0" w:line="276" w:lineRule="auto"/>
            </w:pPr>
            <w:r>
              <w:rPr>
                <w:rFonts w:ascii="Calibri" w:hAnsi="Calibri" w:eastAsia="Microsoft YaHei"/>
                <w:color w:val="0B2545"/>
                <w:sz w:val="13"/>
              </w:rPr>
              <w:t>The MDSplus data acquisition system, current status and future directions</w:t>
            </w:r>
          </w:p>
        </w:tc>
        <w:tc>
          <w:tcPr>
            <w:tcW w:type="dxa" w:w="1700"/>
          </w:tcPr>
          <w:p>
            <w:pPr>
              <w:keepLines/>
              <w:spacing w:after="0" w:line="276" w:lineRule="auto"/>
            </w:pPr>
            <w:r>
              <w:rPr>
                <w:rFonts w:ascii="Calibri" w:hAnsi="Calibri" w:eastAsia="Microsoft YaHei"/>
                <w:color w:val="0B2545"/>
                <w:sz w:val="13"/>
              </w:rPr>
              <w:t>Fusion Engineering and Design / MIT PSFC</w:t>
            </w:r>
          </w:p>
        </w:tc>
        <w:tc>
          <w:tcPr>
            <w:tcW w:type="dxa" w:w="2260"/>
          </w:tcPr>
          <w:p>
            <w:pPr>
              <w:keepLines/>
              <w:spacing w:after="0" w:line="276" w:lineRule="auto"/>
            </w:pPr>
            <w:hyperlink r:id="rId20">
              <w:r>
                <w:rPr>
                  <w:rFonts w:ascii="Calibri" w:hAnsi="Calibri" w:eastAsia="Microsoft YaHei"/>
                  <w:color w:val="008C95"/>
                  <w:u w:val="single"/>
                </w:rPr>
                <w:t>打开原始来源 ↗</w:t>
              </w:r>
            </w:hyperlink>
          </w:p>
        </w:tc>
      </w:tr>
      <w:tr>
        <w:trPr>
          <w:cantSplit/>
        </w:trPr>
        <w:tc>
          <w:tcPr>
            <w:tcW w:type="dxa" w:w="600"/>
          </w:tcPr>
          <w:p>
            <w:pPr>
              <w:keepLines/>
              <w:spacing w:after="0" w:line="276" w:lineRule="auto"/>
            </w:pPr>
            <w:r>
              <w:rPr>
                <w:rFonts w:ascii="Calibri" w:hAnsi="Calibri" w:eastAsia="Microsoft YaHei"/>
                <w:color w:val="0B2545"/>
                <w:sz w:val="13"/>
              </w:rPr>
              <w:t>1998</w:t>
            </w:r>
          </w:p>
        </w:tc>
        <w:tc>
          <w:tcPr>
            <w:tcW w:type="dxa" w:w="1600"/>
          </w:tcPr>
          <w:p>
            <w:pPr>
              <w:keepLines/>
              <w:spacing w:after="0" w:line="276" w:lineRule="auto"/>
            </w:pPr>
            <w:r>
              <w:rPr>
                <w:rFonts w:ascii="Calibri" w:hAnsi="Calibri" w:eastAsia="Microsoft YaHei"/>
                <w:color w:val="0B2545"/>
                <w:sz w:val="13"/>
              </w:rPr>
              <w:t>J.R Ferron; M.L Walker; L.L Lao; H.E. St John; D.A Humphreys; J.A Leuer</w:t>
            </w:r>
          </w:p>
        </w:tc>
        <w:tc>
          <w:tcPr>
            <w:tcW w:type="dxa" w:w="3200"/>
          </w:tcPr>
          <w:p>
            <w:pPr>
              <w:keepLines/>
              <w:spacing w:after="0" w:line="276" w:lineRule="auto"/>
            </w:pPr>
            <w:r>
              <w:rPr>
                <w:rFonts w:ascii="Calibri" w:hAnsi="Calibri" w:eastAsia="Microsoft YaHei"/>
                <w:color w:val="0B2545"/>
                <w:sz w:val="13"/>
              </w:rPr>
              <w:t>Real time equilibrium reconstruction for tokamak discharge control</w:t>
            </w:r>
          </w:p>
        </w:tc>
        <w:tc>
          <w:tcPr>
            <w:tcW w:type="dxa" w:w="1700"/>
          </w:tcPr>
          <w:p>
            <w:pPr>
              <w:keepLines/>
              <w:spacing w:after="0" w:line="276" w:lineRule="auto"/>
            </w:pPr>
            <w:r>
              <w:rPr>
                <w:rFonts w:ascii="Calibri" w:hAnsi="Calibri" w:eastAsia="Microsoft YaHei"/>
                <w:color w:val="0B2545"/>
                <w:sz w:val="13"/>
              </w:rPr>
              <w:t>Nuclear Fusion</w:t>
            </w:r>
          </w:p>
        </w:tc>
        <w:tc>
          <w:tcPr>
            <w:tcW w:type="dxa" w:w="2260"/>
          </w:tcPr>
          <w:p>
            <w:pPr>
              <w:keepLines/>
              <w:spacing w:after="0" w:line="276" w:lineRule="auto"/>
            </w:pPr>
            <w:hyperlink r:id="rId45">
              <w:r>
                <w:rPr>
                  <w:rFonts w:ascii="Calibri" w:hAnsi="Calibri" w:eastAsia="Microsoft YaHei"/>
                  <w:color w:val="008C95"/>
                  <w:u w:val="single"/>
                </w:rPr>
                <w:t>打开原始来源 ↗</w:t>
              </w:r>
            </w:hyperlink>
          </w:p>
        </w:tc>
      </w:tr>
      <w:tr>
        <w:trPr>
          <w:cantSplit/>
        </w:trPr>
        <w:tc>
          <w:tcPr>
            <w:tcW w:type="dxa" w:w="600"/>
          </w:tcPr>
          <w:p>
            <w:pPr>
              <w:keepLines/>
              <w:spacing w:after="0" w:line="276" w:lineRule="auto"/>
            </w:pPr>
            <w:r>
              <w:rPr>
                <w:rFonts w:ascii="Calibri" w:hAnsi="Calibri" w:eastAsia="Microsoft YaHei"/>
                <w:color w:val="0B2545"/>
                <w:sz w:val="13"/>
              </w:rPr>
              <w:t>1997</w:t>
            </w:r>
          </w:p>
        </w:tc>
        <w:tc>
          <w:tcPr>
            <w:tcW w:type="dxa" w:w="1600"/>
          </w:tcPr>
          <w:p>
            <w:pPr>
              <w:keepLines/>
              <w:spacing w:after="0" w:line="276" w:lineRule="auto"/>
            </w:pPr>
            <w:r>
              <w:rPr>
                <w:rFonts w:ascii="Calibri" w:hAnsi="Calibri" w:eastAsia="Microsoft YaHei"/>
                <w:color w:val="0B2545"/>
                <w:sz w:val="13"/>
              </w:rPr>
              <w:t>D.G Nilson; T.N Carlstrom; D.N Hill; C.L Hsieh; G.D Porter; R.E Stockdale; J.C Evans</w:t>
            </w:r>
          </w:p>
        </w:tc>
        <w:tc>
          <w:tcPr>
            <w:tcW w:type="dxa" w:w="3200"/>
          </w:tcPr>
          <w:p>
            <w:pPr>
              <w:keepLines/>
              <w:spacing w:after="0" w:line="276" w:lineRule="auto"/>
            </w:pPr>
            <w:r>
              <w:rPr>
                <w:rFonts w:ascii="Calibri" w:hAnsi="Calibri" w:eastAsia="Microsoft YaHei"/>
                <w:color w:val="0B2545"/>
                <w:sz w:val="13"/>
              </w:rPr>
              <w:t>Divertor Thomson scattering on DIII-D</w:t>
            </w:r>
          </w:p>
        </w:tc>
        <w:tc>
          <w:tcPr>
            <w:tcW w:type="dxa" w:w="1700"/>
          </w:tcPr>
          <w:p>
            <w:pPr>
              <w:keepLines/>
              <w:spacing w:after="0" w:line="276" w:lineRule="auto"/>
            </w:pPr>
            <w:r>
              <w:rPr>
                <w:rFonts w:ascii="Calibri" w:hAnsi="Calibri" w:eastAsia="Microsoft YaHei"/>
                <w:color w:val="0B2545"/>
                <w:sz w:val="13"/>
              </w:rPr>
              <w:t>Fusion Engineering and Design</w:t>
            </w:r>
          </w:p>
        </w:tc>
        <w:tc>
          <w:tcPr>
            <w:tcW w:type="dxa" w:w="2260"/>
          </w:tcPr>
          <w:p>
            <w:pPr>
              <w:keepLines/>
              <w:spacing w:after="0" w:line="276" w:lineRule="auto"/>
            </w:pPr>
            <w:hyperlink r:id="rId116">
              <w:r>
                <w:rPr>
                  <w:rFonts w:ascii="Calibri" w:hAnsi="Calibri" w:eastAsia="Microsoft YaHei"/>
                  <w:color w:val="008C95"/>
                  <w:u w:val="single"/>
                </w:rPr>
                <w:t>打开原始来源 ↗</w:t>
              </w:r>
            </w:hyperlink>
          </w:p>
        </w:tc>
      </w:tr>
      <w:tr>
        <w:trPr>
          <w:cantSplit/>
        </w:trPr>
        <w:tc>
          <w:tcPr>
            <w:tcW w:type="dxa" w:w="600"/>
          </w:tcPr>
          <w:p>
            <w:pPr>
              <w:keepLines/>
              <w:spacing w:after="0" w:line="276" w:lineRule="auto"/>
            </w:pPr>
            <w:r>
              <w:rPr>
                <w:rFonts w:ascii="Calibri" w:hAnsi="Calibri" w:eastAsia="Microsoft YaHei"/>
                <w:color w:val="0B2545"/>
                <w:sz w:val="13"/>
              </w:rPr>
              <w:t>1997</w:t>
            </w:r>
          </w:p>
        </w:tc>
        <w:tc>
          <w:tcPr>
            <w:tcW w:type="dxa" w:w="1600"/>
          </w:tcPr>
          <w:p>
            <w:pPr>
              <w:keepLines/>
              <w:spacing w:after="0" w:line="276" w:lineRule="auto"/>
            </w:pPr>
            <w:r>
              <w:rPr>
                <w:rFonts w:ascii="Calibri" w:hAnsi="Calibri" w:eastAsia="Microsoft YaHei"/>
                <w:color w:val="0B2545"/>
                <w:sz w:val="13"/>
              </w:rPr>
              <w:t>Y Hamada; A Nishizawa; Y Kawasumi; A Fujisawa; K Narihara; K Ida; A Ejiri; S Ohdachi; K Kawahata; K Toi; K Sato; T Seki; et al. (31 authors)</w:t>
            </w:r>
          </w:p>
        </w:tc>
        <w:tc>
          <w:tcPr>
            <w:tcW w:type="dxa" w:w="3200"/>
          </w:tcPr>
          <w:p>
            <w:pPr>
              <w:keepLines/>
              <w:spacing w:after="0" w:line="276" w:lineRule="auto"/>
            </w:pPr>
            <w:r>
              <w:rPr>
                <w:rFonts w:ascii="Calibri" w:hAnsi="Calibri" w:eastAsia="Microsoft YaHei"/>
                <w:color w:val="0B2545"/>
                <w:sz w:val="13"/>
              </w:rPr>
              <w:t>Density fluctuations in JIPP T-IIU tokamak plasmas measured by a heavy ion beam probe</w:t>
            </w:r>
          </w:p>
        </w:tc>
        <w:tc>
          <w:tcPr>
            <w:tcW w:type="dxa" w:w="1700"/>
          </w:tcPr>
          <w:p>
            <w:pPr>
              <w:keepLines/>
              <w:spacing w:after="0" w:line="276" w:lineRule="auto"/>
            </w:pPr>
            <w:r>
              <w:rPr>
                <w:rFonts w:ascii="Calibri" w:hAnsi="Calibri" w:eastAsia="Microsoft YaHei"/>
                <w:color w:val="0B2545"/>
                <w:sz w:val="13"/>
              </w:rPr>
              <w:t>Nuclear Fusion</w:t>
            </w:r>
          </w:p>
        </w:tc>
        <w:tc>
          <w:tcPr>
            <w:tcW w:type="dxa" w:w="2260"/>
          </w:tcPr>
          <w:p>
            <w:pPr>
              <w:keepLines/>
              <w:spacing w:after="0" w:line="276" w:lineRule="auto"/>
            </w:pPr>
            <w:hyperlink r:id="rId110">
              <w:r>
                <w:rPr>
                  <w:rFonts w:ascii="Calibri" w:hAnsi="Calibri" w:eastAsia="Microsoft YaHei"/>
                  <w:color w:val="008C95"/>
                  <w:u w:val="single"/>
                </w:rPr>
                <w:t>打开原始来源 ↗</w:t>
              </w:r>
            </w:hyperlink>
          </w:p>
        </w:tc>
      </w:tr>
      <w:tr>
        <w:trPr>
          <w:cantSplit/>
        </w:trPr>
        <w:tc>
          <w:tcPr>
            <w:tcW w:type="dxa" w:w="600"/>
          </w:tcPr>
          <w:p>
            <w:pPr>
              <w:keepLines/>
              <w:spacing w:after="0" w:line="276" w:lineRule="auto"/>
            </w:pPr>
            <w:r>
              <w:rPr>
                <w:rFonts w:ascii="Calibri" w:hAnsi="Calibri" w:eastAsia="Microsoft YaHei"/>
                <w:color w:val="0B2545"/>
                <w:sz w:val="13"/>
              </w:rPr>
              <w:t>1994</w:t>
            </w:r>
          </w:p>
        </w:tc>
        <w:tc>
          <w:tcPr>
            <w:tcW w:type="dxa" w:w="1600"/>
          </w:tcPr>
          <w:p>
            <w:pPr>
              <w:keepLines/>
              <w:spacing w:after="0" w:line="276" w:lineRule="auto"/>
            </w:pPr>
            <w:r>
              <w:rPr>
                <w:rFonts w:ascii="Calibri" w:hAnsi="Calibri" w:eastAsia="Microsoft YaHei"/>
                <w:color w:val="0B2545"/>
                <w:sz w:val="13"/>
              </w:rPr>
              <w:t>D. F. da Cruz; A. J. H. Donné</w:t>
            </w:r>
          </w:p>
        </w:tc>
        <w:tc>
          <w:tcPr>
            <w:tcW w:type="dxa" w:w="3200"/>
          </w:tcPr>
          <w:p>
            <w:pPr>
              <w:keepLines/>
              <w:spacing w:after="0" w:line="276" w:lineRule="auto"/>
            </w:pPr>
            <w:r>
              <w:rPr>
                <w:rFonts w:ascii="Calibri" w:hAnsi="Calibri" w:eastAsia="Microsoft YaHei"/>
                <w:color w:val="0B2545"/>
                <w:sz w:val="13"/>
              </w:rPr>
              <w:t>Soft x-ray tomography diagnostic at the RTP tokamak</w:t>
            </w:r>
          </w:p>
        </w:tc>
        <w:tc>
          <w:tcPr>
            <w:tcW w:type="dxa" w:w="1700"/>
          </w:tcPr>
          <w:p>
            <w:pPr>
              <w:keepLines/>
              <w:spacing w:after="0" w:line="276" w:lineRule="auto"/>
            </w:pPr>
            <w:r>
              <w:rPr>
                <w:rFonts w:ascii="Calibri" w:hAnsi="Calibri" w:eastAsia="Microsoft YaHei"/>
                <w:color w:val="0B2545"/>
                <w:sz w:val="13"/>
              </w:rPr>
              <w:t>Review of Scientific Instruments</w:t>
            </w:r>
          </w:p>
        </w:tc>
        <w:tc>
          <w:tcPr>
            <w:tcW w:type="dxa" w:w="2260"/>
          </w:tcPr>
          <w:p>
            <w:pPr>
              <w:keepLines/>
              <w:spacing w:after="0" w:line="276" w:lineRule="auto"/>
            </w:pPr>
            <w:hyperlink r:id="rId76">
              <w:r>
                <w:rPr>
                  <w:rFonts w:ascii="Calibri" w:hAnsi="Calibri" w:eastAsia="Microsoft YaHei"/>
                  <w:color w:val="008C95"/>
                  <w:u w:val="single"/>
                </w:rPr>
                <w:t>打开原始来源 ↗</w:t>
              </w:r>
            </w:hyperlink>
          </w:p>
        </w:tc>
      </w:tr>
      <w:tr>
        <w:trPr>
          <w:cantSplit/>
        </w:trPr>
        <w:tc>
          <w:tcPr>
            <w:tcW w:type="dxa" w:w="600"/>
          </w:tcPr>
          <w:p>
            <w:pPr>
              <w:keepLines/>
              <w:spacing w:after="0" w:line="276" w:lineRule="auto"/>
            </w:pPr>
            <w:r>
              <w:rPr>
                <w:rFonts w:ascii="Calibri" w:hAnsi="Calibri" w:eastAsia="Microsoft YaHei"/>
                <w:color w:val="0B2545"/>
                <w:sz w:val="13"/>
              </w:rPr>
              <w:t>1990</w:t>
            </w:r>
          </w:p>
        </w:tc>
        <w:tc>
          <w:tcPr>
            <w:tcW w:type="dxa" w:w="1600"/>
          </w:tcPr>
          <w:p>
            <w:pPr>
              <w:keepLines/>
              <w:spacing w:after="0" w:line="276" w:lineRule="auto"/>
            </w:pPr>
            <w:r>
              <w:rPr>
                <w:rFonts w:ascii="Calibri" w:hAnsi="Calibri" w:eastAsia="Microsoft YaHei"/>
                <w:color w:val="0B2545"/>
                <w:sz w:val="13"/>
              </w:rPr>
              <w:t>D. Wróblewski; K. H. Burrell; L. L. Lao; P. Politzer; W. P. West</w:t>
            </w:r>
          </w:p>
        </w:tc>
        <w:tc>
          <w:tcPr>
            <w:tcW w:type="dxa" w:w="3200"/>
          </w:tcPr>
          <w:p>
            <w:pPr>
              <w:keepLines/>
              <w:spacing w:after="0" w:line="276" w:lineRule="auto"/>
            </w:pPr>
            <w:r>
              <w:rPr>
                <w:rFonts w:ascii="Calibri" w:hAnsi="Calibri" w:eastAsia="Microsoft YaHei"/>
                <w:color w:val="0B2545"/>
                <w:sz w:val="13"/>
              </w:rPr>
              <w:t>Motional Stark effect polarimetry for a current profile diagnostic in DIII-D</w:t>
            </w:r>
          </w:p>
        </w:tc>
        <w:tc>
          <w:tcPr>
            <w:tcW w:type="dxa" w:w="1700"/>
          </w:tcPr>
          <w:p>
            <w:pPr>
              <w:keepLines/>
              <w:spacing w:after="0" w:line="276" w:lineRule="auto"/>
            </w:pPr>
            <w:r>
              <w:rPr>
                <w:rFonts w:ascii="Calibri" w:hAnsi="Calibri" w:eastAsia="Microsoft YaHei"/>
                <w:color w:val="0B2545"/>
                <w:sz w:val="13"/>
              </w:rPr>
              <w:t>Review of Scientific Instruments</w:t>
            </w:r>
          </w:p>
        </w:tc>
        <w:tc>
          <w:tcPr>
            <w:tcW w:type="dxa" w:w="2260"/>
          </w:tcPr>
          <w:p>
            <w:pPr>
              <w:keepLines/>
              <w:spacing w:after="0" w:line="276" w:lineRule="auto"/>
            </w:pPr>
            <w:hyperlink r:id="rId43">
              <w:r>
                <w:rPr>
                  <w:rFonts w:ascii="Calibri" w:hAnsi="Calibri" w:eastAsia="Microsoft YaHei"/>
                  <w:color w:val="008C95"/>
                  <w:u w:val="single"/>
                </w:rPr>
                <w:t>打开原始来源 ↗</w:t>
              </w:r>
            </w:hyperlink>
          </w:p>
        </w:tc>
      </w:tr>
    </w:tbl>
    <w:p>
      <w:pPr>
        <w:spacing w:before="0" w:after="60"/>
      </w:pPr>
    </w:p>
    <w:p>
      <w:pPr>
        <w:pStyle w:val="Heading2"/>
      </w:pPr>
      <w:r>
        <w:t>20.2  代码、软件与使能框架</w:t>
      </w:r>
    </w:p>
    <w:tbl>
      <w:tblPr>
        <w:tblStyle w:val="TableGrid"/>
        <w:tblW w:type="dxa" w:w="9360"/>
        <w:jc w:val="left"/>
        <w:tblLayout w:type="fixed"/>
        <w:tblLook w:firstColumn="1" w:firstRow="1" w:lastColumn="0" w:lastRow="0" w:noHBand="0" w:noVBand="1" w:val="04A0"/>
        <w:tblInd w:w="120" w:type="dxa"/>
      </w:tblPr>
      <w:tblGrid>
        <w:gridCol w:w="1400"/>
        <w:gridCol w:w="1250"/>
        <w:gridCol w:w="1050"/>
        <w:gridCol w:w="900"/>
        <w:gridCol w:w="2600"/>
        <w:gridCol w:w="2160"/>
      </w:tblGrid>
      <w:tr>
        <w:trPr>
          <w:tblHeader w:val="true"/>
        </w:trPr>
        <w:tc>
          <w:tcPr>
            <w:tcW w:type="dxa" w:w="14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3"/>
              </w:rPr>
              <w:t>名称</w:t>
            </w:r>
          </w:p>
        </w:tc>
        <w:tc>
          <w:tcPr>
            <w:tcW w:type="dxa" w:w="12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3"/>
              </w:rPr>
              <w:t>状态</w:t>
            </w:r>
          </w:p>
        </w:tc>
        <w:tc>
          <w:tcPr>
            <w:tcW w:type="dxa" w:w="105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3"/>
              </w:rPr>
              <w:t>制品</w:t>
            </w:r>
          </w:p>
        </w:tc>
        <w:tc>
          <w:tcPr>
            <w:tcW w:type="dxa" w:w="9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3"/>
              </w:rPr>
              <w:t>访问</w:t>
            </w:r>
          </w:p>
        </w:tc>
        <w:tc>
          <w:tcPr>
            <w:tcW w:type="dxa" w:w="260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3"/>
              </w:rPr>
              <w:t>与工作的关系</w:t>
            </w:r>
          </w:p>
        </w:tc>
        <w:tc>
          <w:tcPr>
            <w:tcW w:type="dxa" w:w="2160"/>
            <w:tcMar>
              <w:top w:w="80" w:type="dxa"/>
              <w:bottom w:w="80" w:type="dxa"/>
              <w:start w:w="120" w:type="dxa"/>
              <w:end w:w="120" w:type="dxa"/>
            </w:tcMar>
            <w:vAlign w:val="center"/>
            <w:shd w:fill="E8EEF5"/>
          </w:tcPr>
          <w:p>
            <w:pPr>
              <w:keepNext/>
              <w:spacing w:after="0"/>
              <w:jc w:val="center"/>
            </w:pPr>
            <w:r>
              <w:rPr>
                <w:rFonts w:ascii="Calibri" w:hAnsi="Calibri" w:eastAsia="Microsoft YaHei"/>
                <w:b/>
                <w:color w:val="0B2545"/>
                <w:sz w:val="13"/>
              </w:rPr>
              <w:t>链接</w:t>
            </w:r>
          </w:p>
        </w:tc>
      </w:tr>
      <w:tr>
        <w:trPr>
          <w:cantSplit/>
        </w:trPr>
        <w:tc>
          <w:tcPr>
            <w:tcW w:type="dxa" w:w="1400"/>
          </w:tcPr>
          <w:p>
            <w:pPr>
              <w:keepLines/>
              <w:spacing w:after="0" w:line="276" w:lineRule="auto"/>
            </w:pPr>
            <w:r>
              <w:rPr>
                <w:rFonts w:ascii="Calibri" w:hAnsi="Calibri" w:eastAsia="Microsoft YaHei"/>
                <w:color w:val="0B2545"/>
                <w:sz w:val="13"/>
              </w:rPr>
              <w:t>IMAS Data Dictionary</w:t>
            </w:r>
          </w:p>
        </w:tc>
        <w:tc>
          <w:tcPr>
            <w:tcW w:type="dxa" w:w="1250"/>
          </w:tcPr>
          <w:p>
            <w:pPr>
              <w:keepLines/>
              <w:spacing w:after="0" w:line="276" w:lineRule="auto"/>
            </w:pPr>
            <w:r>
              <w:rPr>
                <w:rFonts w:ascii="Calibri" w:hAnsi="Calibri" w:eastAsia="Microsoft YaHei"/>
                <w:color w:val="0B2545"/>
                <w:sz w:val="13"/>
              </w:rPr>
              <w:t>official-direct</w:t>
            </w:r>
          </w:p>
        </w:tc>
        <w:tc>
          <w:tcPr>
            <w:tcW w:type="dxa" w:w="1050"/>
          </w:tcPr>
          <w:p>
            <w:pPr>
              <w:keepLines/>
              <w:spacing w:after="0" w:line="276" w:lineRule="auto"/>
            </w:pPr>
            <w:r>
              <w:rPr>
                <w:rFonts w:ascii="Calibri" w:hAnsi="Calibri" w:eastAsia="Microsoft YaHei"/>
                <w:color w:val="0B2545"/>
                <w:sz w:val="13"/>
              </w:rPr>
              <w:t>source-code</w:t>
            </w:r>
          </w:p>
        </w:tc>
        <w:tc>
          <w:tcPr>
            <w:tcW w:type="dxa" w:w="900"/>
          </w:tcPr>
          <w:p>
            <w:pPr>
              <w:keepLines/>
              <w:spacing w:after="0" w:line="276" w:lineRule="auto"/>
            </w:pPr>
            <w:r>
              <w:rPr>
                <w:rFonts w:ascii="Calibri" w:hAnsi="Calibri" w:eastAsia="Microsoft YaHei"/>
                <w:color w:val="0B2545"/>
                <w:sz w:val="13"/>
              </w:rPr>
              <w:t>public</w:t>
            </w:r>
          </w:p>
        </w:tc>
        <w:tc>
          <w:tcPr>
            <w:tcW w:type="dxa" w:w="2600"/>
          </w:tcPr>
          <w:p>
            <w:pPr>
              <w:keepLines/>
              <w:spacing w:after="0" w:line="276" w:lineRule="auto"/>
            </w:pPr>
            <w:r>
              <w:rPr>
                <w:rFonts w:ascii="Calibri" w:hAnsi="Calibri" w:eastAsia="Microsoft YaHei"/>
                <w:color w:val="0B2545"/>
                <w:sz w:val="13"/>
              </w:rPr>
              <w:t>ITER Organization 维护的数据模式与生成资产。</w:t>
            </w:r>
          </w:p>
        </w:tc>
        <w:tc>
          <w:tcPr>
            <w:tcW w:type="dxa" w:w="2160"/>
          </w:tcPr>
          <w:p>
            <w:pPr>
              <w:keepLines/>
              <w:spacing w:after="0" w:line="276" w:lineRule="auto"/>
            </w:pPr>
            <w:hyperlink r:id="rId17">
              <w:r>
                <w:rPr>
                  <w:rFonts w:ascii="Calibri" w:hAnsi="Calibri" w:eastAsia="Microsoft YaHei"/>
                  <w:color w:val="008C95"/>
                  <w:u w:val="single"/>
                </w:rPr>
                <w:t>打开原始来源 ↗</w:t>
              </w:r>
            </w:hyperlink>
          </w:p>
        </w:tc>
      </w:tr>
      <w:tr>
        <w:trPr>
          <w:cantSplit/>
        </w:trPr>
        <w:tc>
          <w:tcPr>
            <w:tcW w:type="dxa" w:w="1400"/>
          </w:tcPr>
          <w:p>
            <w:pPr>
              <w:keepLines/>
              <w:spacing w:after="0" w:line="276" w:lineRule="auto"/>
            </w:pPr>
            <w:r>
              <w:rPr>
                <w:rFonts w:ascii="Calibri" w:hAnsi="Calibri" w:eastAsia="Microsoft YaHei"/>
                <w:color w:val="0B2545"/>
                <w:sz w:val="13"/>
              </w:rPr>
              <w:t>IMAS Python</w:t>
            </w:r>
          </w:p>
        </w:tc>
        <w:tc>
          <w:tcPr>
            <w:tcW w:type="dxa" w:w="1250"/>
          </w:tcPr>
          <w:p>
            <w:pPr>
              <w:keepLines/>
              <w:spacing w:after="0" w:line="276" w:lineRule="auto"/>
            </w:pPr>
            <w:r>
              <w:rPr>
                <w:rFonts w:ascii="Calibri" w:hAnsi="Calibri" w:eastAsia="Microsoft YaHei"/>
                <w:color w:val="0B2545"/>
                <w:sz w:val="13"/>
              </w:rPr>
              <w:t>official-direct</w:t>
            </w:r>
          </w:p>
        </w:tc>
        <w:tc>
          <w:tcPr>
            <w:tcW w:type="dxa" w:w="1050"/>
          </w:tcPr>
          <w:p>
            <w:pPr>
              <w:keepLines/>
              <w:spacing w:after="0" w:line="276" w:lineRule="auto"/>
            </w:pPr>
            <w:r>
              <w:rPr>
                <w:rFonts w:ascii="Calibri" w:hAnsi="Calibri" w:eastAsia="Microsoft YaHei"/>
                <w:color w:val="0B2545"/>
                <w:sz w:val="13"/>
              </w:rPr>
              <w:t>source-code</w:t>
            </w:r>
          </w:p>
        </w:tc>
        <w:tc>
          <w:tcPr>
            <w:tcW w:type="dxa" w:w="900"/>
          </w:tcPr>
          <w:p>
            <w:pPr>
              <w:keepLines/>
              <w:spacing w:after="0" w:line="276" w:lineRule="auto"/>
            </w:pPr>
            <w:r>
              <w:rPr>
                <w:rFonts w:ascii="Calibri" w:hAnsi="Calibri" w:eastAsia="Microsoft YaHei"/>
                <w:color w:val="0B2545"/>
                <w:sz w:val="13"/>
              </w:rPr>
              <w:t>public</w:t>
            </w:r>
          </w:p>
        </w:tc>
        <w:tc>
          <w:tcPr>
            <w:tcW w:type="dxa" w:w="2600"/>
          </w:tcPr>
          <w:p>
            <w:pPr>
              <w:keepLines/>
              <w:spacing w:after="0" w:line="276" w:lineRule="auto"/>
            </w:pPr>
            <w:r>
              <w:rPr>
                <w:rFonts w:ascii="Calibri" w:hAnsi="Calibri" w:eastAsia="Microsoft YaHei"/>
                <w:color w:val="0B2545"/>
                <w:sz w:val="13"/>
              </w:rPr>
              <w:t>IDS 的 Python 访问层。</w:t>
            </w:r>
          </w:p>
        </w:tc>
        <w:tc>
          <w:tcPr>
            <w:tcW w:type="dxa" w:w="2160"/>
          </w:tcPr>
          <w:p>
            <w:pPr>
              <w:keepLines/>
              <w:spacing w:after="0" w:line="276" w:lineRule="auto"/>
            </w:pPr>
            <w:hyperlink r:id="rId18">
              <w:r>
                <w:rPr>
                  <w:rFonts w:ascii="Calibri" w:hAnsi="Calibri" w:eastAsia="Microsoft YaHei"/>
                  <w:color w:val="008C95"/>
                  <w:u w:val="single"/>
                </w:rPr>
                <w:t>打开原始来源 ↗</w:t>
              </w:r>
            </w:hyperlink>
          </w:p>
        </w:tc>
      </w:tr>
      <w:tr>
        <w:trPr>
          <w:cantSplit/>
        </w:trPr>
        <w:tc>
          <w:tcPr>
            <w:tcW w:type="dxa" w:w="1400"/>
          </w:tcPr>
          <w:p>
            <w:pPr>
              <w:keepLines/>
              <w:spacing w:after="0" w:line="276" w:lineRule="auto"/>
            </w:pPr>
            <w:r>
              <w:rPr>
                <w:rFonts w:ascii="Calibri" w:hAnsi="Calibri" w:eastAsia="Microsoft YaHei"/>
                <w:color w:val="0B2545"/>
                <w:sz w:val="13"/>
              </w:rPr>
              <w:t>MDSplus</w:t>
            </w:r>
          </w:p>
        </w:tc>
        <w:tc>
          <w:tcPr>
            <w:tcW w:type="dxa" w:w="1250"/>
          </w:tcPr>
          <w:p>
            <w:pPr>
              <w:keepLines/>
              <w:spacing w:after="0" w:line="276" w:lineRule="auto"/>
            </w:pPr>
            <w:r>
              <w:rPr>
                <w:rFonts w:ascii="Calibri" w:hAnsi="Calibri" w:eastAsia="Microsoft YaHei"/>
                <w:color w:val="0B2545"/>
                <w:sz w:val="13"/>
              </w:rPr>
              <w:t>official-direct</w:t>
            </w:r>
          </w:p>
        </w:tc>
        <w:tc>
          <w:tcPr>
            <w:tcW w:type="dxa" w:w="1050"/>
          </w:tcPr>
          <w:p>
            <w:pPr>
              <w:keepLines/>
              <w:spacing w:after="0" w:line="276" w:lineRule="auto"/>
            </w:pPr>
            <w:r>
              <w:rPr>
                <w:rFonts w:ascii="Calibri" w:hAnsi="Calibri" w:eastAsia="Microsoft YaHei"/>
                <w:color w:val="0B2545"/>
                <w:sz w:val="13"/>
              </w:rPr>
              <w:t>source-code</w:t>
            </w:r>
          </w:p>
        </w:tc>
        <w:tc>
          <w:tcPr>
            <w:tcW w:type="dxa" w:w="900"/>
          </w:tcPr>
          <w:p>
            <w:pPr>
              <w:keepLines/>
              <w:spacing w:after="0" w:line="276" w:lineRule="auto"/>
            </w:pPr>
            <w:r>
              <w:rPr>
                <w:rFonts w:ascii="Calibri" w:hAnsi="Calibri" w:eastAsia="Microsoft YaHei"/>
                <w:color w:val="0B2545"/>
                <w:sz w:val="13"/>
              </w:rPr>
              <w:t>public</w:t>
            </w:r>
          </w:p>
        </w:tc>
        <w:tc>
          <w:tcPr>
            <w:tcW w:type="dxa" w:w="2600"/>
          </w:tcPr>
          <w:p>
            <w:pPr>
              <w:keepLines/>
              <w:spacing w:after="0" w:line="276" w:lineRule="auto"/>
            </w:pPr>
            <w:r>
              <w:rPr>
                <w:rFonts w:ascii="Calibri" w:hAnsi="Calibri" w:eastAsia="Microsoft YaHei"/>
                <w:color w:val="0B2545"/>
                <w:sz w:val="13"/>
              </w:rPr>
              <w:t>项目官方源代码与语言接口。</w:t>
            </w:r>
          </w:p>
        </w:tc>
        <w:tc>
          <w:tcPr>
            <w:tcW w:type="dxa" w:w="2160"/>
          </w:tcPr>
          <w:p>
            <w:pPr>
              <w:keepLines/>
              <w:spacing w:after="0" w:line="276" w:lineRule="auto"/>
            </w:pPr>
            <w:hyperlink r:id="rId21">
              <w:r>
                <w:rPr>
                  <w:rFonts w:ascii="Calibri" w:hAnsi="Calibri" w:eastAsia="Microsoft YaHei"/>
                  <w:color w:val="008C95"/>
                  <w:u w:val="single"/>
                </w:rPr>
                <w:t>打开原始来源 ↗</w:t>
              </w:r>
            </w:hyperlink>
          </w:p>
        </w:tc>
      </w:tr>
      <w:tr>
        <w:trPr>
          <w:cantSplit/>
        </w:trPr>
        <w:tc>
          <w:tcPr>
            <w:tcW w:type="dxa" w:w="1400"/>
          </w:tcPr>
          <w:p>
            <w:pPr>
              <w:keepLines/>
              <w:spacing w:after="0" w:line="276" w:lineRule="auto"/>
            </w:pPr>
            <w:r>
              <w:rPr>
                <w:rFonts w:ascii="Calibri" w:hAnsi="Calibri" w:eastAsia="Microsoft YaHei"/>
                <w:color w:val="0B2545"/>
                <w:sz w:val="13"/>
              </w:rPr>
              <w:t>UDA</w:t>
            </w:r>
          </w:p>
        </w:tc>
        <w:tc>
          <w:tcPr>
            <w:tcW w:type="dxa" w:w="1250"/>
          </w:tcPr>
          <w:p>
            <w:pPr>
              <w:keepLines/>
              <w:spacing w:after="0" w:line="276" w:lineRule="auto"/>
            </w:pPr>
            <w:r>
              <w:rPr>
                <w:rFonts w:ascii="Calibri" w:hAnsi="Calibri" w:eastAsia="Microsoft YaHei"/>
                <w:color w:val="0B2545"/>
                <w:sz w:val="13"/>
              </w:rPr>
              <w:t>official-direct</w:t>
            </w:r>
          </w:p>
        </w:tc>
        <w:tc>
          <w:tcPr>
            <w:tcW w:type="dxa" w:w="1050"/>
          </w:tcPr>
          <w:p>
            <w:pPr>
              <w:keepLines/>
              <w:spacing w:after="0" w:line="276" w:lineRule="auto"/>
            </w:pPr>
            <w:r>
              <w:rPr>
                <w:rFonts w:ascii="Calibri" w:hAnsi="Calibri" w:eastAsia="Microsoft YaHei"/>
                <w:color w:val="0B2545"/>
                <w:sz w:val="13"/>
              </w:rPr>
              <w:t>source-code</w:t>
            </w:r>
          </w:p>
        </w:tc>
        <w:tc>
          <w:tcPr>
            <w:tcW w:type="dxa" w:w="900"/>
          </w:tcPr>
          <w:p>
            <w:pPr>
              <w:keepLines/>
              <w:spacing w:after="0" w:line="276" w:lineRule="auto"/>
            </w:pPr>
            <w:r>
              <w:rPr>
                <w:rFonts w:ascii="Calibri" w:hAnsi="Calibri" w:eastAsia="Microsoft YaHei"/>
                <w:color w:val="0B2545"/>
                <w:sz w:val="13"/>
              </w:rPr>
              <w:t>public</w:t>
            </w:r>
          </w:p>
        </w:tc>
        <w:tc>
          <w:tcPr>
            <w:tcW w:type="dxa" w:w="2600"/>
          </w:tcPr>
          <w:p>
            <w:pPr>
              <w:keepLines/>
              <w:spacing w:after="0" w:line="276" w:lineRule="auto"/>
            </w:pPr>
            <w:r>
              <w:rPr>
                <w:rFonts w:ascii="Calibri" w:hAnsi="Calibri" w:eastAsia="Microsoft YaHei"/>
                <w:color w:val="0B2545"/>
                <w:sz w:val="13"/>
              </w:rPr>
              <w:t>UKAEA 维护的统一数据访问核心。</w:t>
            </w:r>
          </w:p>
        </w:tc>
        <w:tc>
          <w:tcPr>
            <w:tcW w:type="dxa" w:w="2160"/>
          </w:tcPr>
          <w:p>
            <w:pPr>
              <w:keepLines/>
              <w:spacing w:after="0" w:line="276" w:lineRule="auto"/>
            </w:pPr>
            <w:hyperlink r:id="rId22">
              <w:r>
                <w:rPr>
                  <w:rFonts w:ascii="Calibri" w:hAnsi="Calibri" w:eastAsia="Microsoft YaHei"/>
                  <w:color w:val="008C95"/>
                  <w:u w:val="single"/>
                </w:rPr>
                <w:t>打开原始来源 ↗</w:t>
              </w:r>
            </w:hyperlink>
          </w:p>
        </w:tc>
      </w:tr>
      <w:tr>
        <w:trPr>
          <w:cantSplit/>
        </w:trPr>
        <w:tc>
          <w:tcPr>
            <w:tcW w:type="dxa" w:w="1400"/>
          </w:tcPr>
          <w:p>
            <w:pPr>
              <w:keepLines/>
              <w:spacing w:after="0" w:line="276" w:lineRule="auto"/>
            </w:pPr>
            <w:r>
              <w:rPr>
                <w:rFonts w:ascii="Calibri" w:hAnsi="Calibri" w:eastAsia="Microsoft YaHei"/>
                <w:color w:val="0B2545"/>
                <w:sz w:val="13"/>
              </w:rPr>
              <w:t>pyuda</w:t>
            </w:r>
          </w:p>
        </w:tc>
        <w:tc>
          <w:tcPr>
            <w:tcW w:type="dxa" w:w="1250"/>
          </w:tcPr>
          <w:p>
            <w:pPr>
              <w:keepLines/>
              <w:spacing w:after="0" w:line="276" w:lineRule="auto"/>
            </w:pPr>
            <w:r>
              <w:rPr>
                <w:rFonts w:ascii="Calibri" w:hAnsi="Calibri" w:eastAsia="Microsoft YaHei"/>
                <w:color w:val="0B2545"/>
                <w:sz w:val="13"/>
              </w:rPr>
              <w:t>official-direct</w:t>
            </w:r>
          </w:p>
        </w:tc>
        <w:tc>
          <w:tcPr>
            <w:tcW w:type="dxa" w:w="1050"/>
          </w:tcPr>
          <w:p>
            <w:pPr>
              <w:keepLines/>
              <w:spacing w:after="0" w:line="276" w:lineRule="auto"/>
            </w:pPr>
            <w:r>
              <w:rPr>
                <w:rFonts w:ascii="Calibri" w:hAnsi="Calibri" w:eastAsia="Microsoft YaHei"/>
                <w:color w:val="0B2545"/>
                <w:sz w:val="13"/>
              </w:rPr>
              <w:t>software-package</w:t>
            </w:r>
          </w:p>
        </w:tc>
        <w:tc>
          <w:tcPr>
            <w:tcW w:type="dxa" w:w="900"/>
          </w:tcPr>
          <w:p>
            <w:pPr>
              <w:keepLines/>
              <w:spacing w:after="0" w:line="276" w:lineRule="auto"/>
            </w:pPr>
            <w:r>
              <w:rPr>
                <w:rFonts w:ascii="Calibri" w:hAnsi="Calibri" w:eastAsia="Microsoft YaHei"/>
                <w:color w:val="0B2545"/>
                <w:sz w:val="13"/>
              </w:rPr>
              <w:t>public</w:t>
            </w:r>
          </w:p>
        </w:tc>
        <w:tc>
          <w:tcPr>
            <w:tcW w:type="dxa" w:w="2600"/>
          </w:tcPr>
          <w:p>
            <w:pPr>
              <w:keepLines/>
              <w:spacing w:after="0" w:line="276" w:lineRule="auto"/>
            </w:pPr>
            <w:r>
              <w:rPr>
                <w:rFonts w:ascii="Calibri" w:hAnsi="Calibri" w:eastAsia="Microsoft YaHei"/>
                <w:color w:val="0B2545"/>
                <w:sz w:val="13"/>
              </w:rPr>
              <w:t>UDA 官方 Python 客户端发行包。</w:t>
            </w:r>
          </w:p>
        </w:tc>
        <w:tc>
          <w:tcPr>
            <w:tcW w:type="dxa" w:w="2160"/>
          </w:tcPr>
          <w:p>
            <w:pPr>
              <w:keepLines/>
              <w:spacing w:after="0" w:line="276" w:lineRule="auto"/>
            </w:pPr>
            <w:hyperlink r:id="rId23">
              <w:r>
                <w:rPr>
                  <w:rFonts w:ascii="Calibri" w:hAnsi="Calibri" w:eastAsia="Microsoft YaHei"/>
                  <w:color w:val="008C95"/>
                  <w:u w:val="single"/>
                </w:rPr>
                <w:t>打开原始来源 ↗</w:t>
              </w:r>
            </w:hyperlink>
          </w:p>
        </w:tc>
      </w:tr>
      <w:tr>
        <w:trPr>
          <w:cantSplit/>
        </w:trPr>
        <w:tc>
          <w:tcPr>
            <w:tcW w:type="dxa" w:w="1400"/>
          </w:tcPr>
          <w:p>
            <w:pPr>
              <w:keepLines/>
              <w:spacing w:after="0" w:line="276" w:lineRule="auto"/>
            </w:pPr>
            <w:r>
              <w:rPr>
                <w:rFonts w:ascii="Calibri" w:hAnsi="Calibri" w:eastAsia="Microsoft YaHei"/>
                <w:color w:val="0B2545"/>
                <w:sz w:val="13"/>
              </w:rPr>
              <w:t>OMAS</w:t>
            </w:r>
          </w:p>
        </w:tc>
        <w:tc>
          <w:tcPr>
            <w:tcW w:type="dxa" w:w="1250"/>
          </w:tcPr>
          <w:p>
            <w:pPr>
              <w:keepLines/>
              <w:spacing w:after="0" w:line="276" w:lineRule="auto"/>
            </w:pPr>
            <w:r>
              <w:rPr>
                <w:rFonts w:ascii="Calibri" w:hAnsi="Calibri" w:eastAsia="Microsoft YaHei"/>
                <w:color w:val="0B2545"/>
                <w:sz w:val="13"/>
              </w:rPr>
              <w:t>official-direct</w:t>
            </w:r>
          </w:p>
        </w:tc>
        <w:tc>
          <w:tcPr>
            <w:tcW w:type="dxa" w:w="1050"/>
          </w:tcPr>
          <w:p>
            <w:pPr>
              <w:keepLines/>
              <w:spacing w:after="0" w:line="276" w:lineRule="auto"/>
            </w:pPr>
            <w:r>
              <w:rPr>
                <w:rFonts w:ascii="Calibri" w:hAnsi="Calibri" w:eastAsia="Microsoft YaHei"/>
                <w:color w:val="0B2545"/>
                <w:sz w:val="13"/>
              </w:rPr>
              <w:t>source-code</w:t>
            </w:r>
          </w:p>
        </w:tc>
        <w:tc>
          <w:tcPr>
            <w:tcW w:type="dxa" w:w="900"/>
          </w:tcPr>
          <w:p>
            <w:pPr>
              <w:keepLines/>
              <w:spacing w:after="0" w:line="276" w:lineRule="auto"/>
            </w:pPr>
            <w:r>
              <w:rPr>
                <w:rFonts w:ascii="Calibri" w:hAnsi="Calibri" w:eastAsia="Microsoft YaHei"/>
                <w:color w:val="0B2545"/>
                <w:sz w:val="13"/>
              </w:rPr>
              <w:t>public</w:t>
            </w:r>
          </w:p>
        </w:tc>
        <w:tc>
          <w:tcPr>
            <w:tcW w:type="dxa" w:w="2600"/>
          </w:tcPr>
          <w:p>
            <w:pPr>
              <w:keepLines/>
              <w:spacing w:after="0" w:line="276" w:lineRule="auto"/>
            </w:pPr>
            <w:r>
              <w:rPr>
                <w:rFonts w:ascii="Calibri" w:hAnsi="Calibri" w:eastAsia="Microsoft YaHei"/>
                <w:color w:val="0B2545"/>
                <w:sz w:val="13"/>
              </w:rPr>
              <w:t>General Atomics Fusion 官方开源实现。</w:t>
            </w:r>
          </w:p>
        </w:tc>
        <w:tc>
          <w:tcPr>
            <w:tcW w:type="dxa" w:w="2160"/>
          </w:tcPr>
          <w:p>
            <w:pPr>
              <w:keepLines/>
              <w:spacing w:after="0" w:line="276" w:lineRule="auto"/>
            </w:pPr>
            <w:hyperlink r:id="rId25">
              <w:r>
                <w:rPr>
                  <w:rFonts w:ascii="Calibri" w:hAnsi="Calibri" w:eastAsia="Microsoft YaHei"/>
                  <w:color w:val="008C95"/>
                  <w:u w:val="single"/>
                </w:rPr>
                <w:t>打开原始来源 ↗</w:t>
              </w:r>
            </w:hyperlink>
          </w:p>
        </w:tc>
      </w:tr>
      <w:tr>
        <w:trPr>
          <w:cantSplit/>
        </w:trPr>
        <w:tc>
          <w:tcPr>
            <w:tcW w:type="dxa" w:w="1400"/>
          </w:tcPr>
          <w:p>
            <w:pPr>
              <w:keepLines/>
              <w:spacing w:after="0" w:line="276" w:lineRule="auto"/>
            </w:pPr>
            <w:r>
              <w:rPr>
                <w:rFonts w:ascii="Calibri" w:hAnsi="Calibri" w:eastAsia="Microsoft YaHei"/>
                <w:color w:val="0B2545"/>
                <w:sz w:val="13"/>
              </w:rPr>
              <w:t>FAIR4Fusion production platform</w:t>
            </w:r>
          </w:p>
        </w:tc>
        <w:tc>
          <w:tcPr>
            <w:tcW w:type="dxa" w:w="1250"/>
          </w:tcPr>
          <w:p>
            <w:pPr>
              <w:keepLines/>
              <w:spacing w:after="0" w:line="276" w:lineRule="auto"/>
            </w:pPr>
            <w:r>
              <w:rPr>
                <w:rFonts w:ascii="Calibri" w:hAnsi="Calibri" w:eastAsia="Microsoft YaHei"/>
                <w:color w:val="0B2545"/>
                <w:sz w:val="13"/>
              </w:rPr>
              <w:t>not-public</w:t>
            </w:r>
          </w:p>
        </w:tc>
        <w:tc>
          <w:tcPr>
            <w:tcW w:type="dxa" w:w="1050"/>
          </w:tcPr>
          <w:p>
            <w:pPr>
              <w:keepLines/>
              <w:spacing w:after="0" w:line="276" w:lineRule="auto"/>
            </w:pPr>
            <w:r>
              <w:rPr>
                <w:rFonts w:ascii="Calibri" w:hAnsi="Calibri" w:eastAsia="Microsoft YaHei"/>
                <w:color w:val="0B2545"/>
                <w:sz w:val="13"/>
              </w:rPr>
              <w:t>source-code</w:t>
            </w:r>
          </w:p>
        </w:tc>
        <w:tc>
          <w:tcPr>
            <w:tcW w:type="dxa" w:w="900"/>
          </w:tcPr>
          <w:p>
            <w:pPr>
              <w:keepLines/>
              <w:spacing w:after="0" w:line="276" w:lineRule="auto"/>
            </w:pPr>
            <w:r>
              <w:rPr>
                <w:rFonts w:ascii="Calibri" w:hAnsi="Calibri" w:eastAsia="Microsoft YaHei"/>
                <w:color w:val="0B2545"/>
                <w:sz w:val="13"/>
              </w:rPr>
              <w:t>not-public</w:t>
            </w:r>
          </w:p>
        </w:tc>
        <w:tc>
          <w:tcPr>
            <w:tcW w:type="dxa" w:w="2600"/>
          </w:tcPr>
          <w:p>
            <w:pPr>
              <w:keepLines/>
              <w:spacing w:after="0" w:line="276" w:lineRule="auto"/>
            </w:pPr>
            <w:r>
              <w:rPr>
                <w:rFonts w:ascii="Calibri" w:hAnsi="Calibri" w:eastAsia="Microsoft YaHei"/>
                <w:color w:val="0B2545"/>
                <w:sz w:val="13"/>
              </w:rPr>
              <w:t>项目公开交付物以蓝图和治理材料为主，未核验到一个可代表全项目的生产代码库。</w:t>
            </w:r>
          </w:p>
        </w:tc>
        <w:tc>
          <w:tcPr>
            <w:tcW w:type="dxa" w:w="2160"/>
          </w:tcPr>
          <w:p>
            <w:pPr>
              <w:keepLines/>
              <w:spacing w:after="0" w:line="276" w:lineRule="auto"/>
            </w:pPr>
            <w:r>
              <w:rPr>
                <w:rFonts w:ascii="Calibri" w:hAnsi="Calibri" w:eastAsia="Microsoft YaHei"/>
                <w:color w:val="0B2545"/>
                <w:sz w:val="13"/>
              </w:rPr>
              <w:t>未公开</w:t>
            </w:r>
          </w:p>
        </w:tc>
      </w:tr>
      <w:tr>
        <w:trPr>
          <w:cantSplit/>
        </w:trPr>
        <w:tc>
          <w:tcPr>
            <w:tcW w:type="dxa" w:w="1400"/>
          </w:tcPr>
          <w:p>
            <w:pPr>
              <w:keepLines/>
              <w:spacing w:after="0" w:line="276" w:lineRule="auto"/>
            </w:pPr>
            <w:r>
              <w:rPr>
                <w:rFonts w:ascii="Calibri" w:hAnsi="Calibri" w:eastAsia="Microsoft YaHei"/>
                <w:color w:val="0B2545"/>
                <w:sz w:val="13"/>
              </w:rPr>
              <w:t>Calcam</w:t>
            </w:r>
          </w:p>
        </w:tc>
        <w:tc>
          <w:tcPr>
            <w:tcW w:type="dxa" w:w="1250"/>
          </w:tcPr>
          <w:p>
            <w:pPr>
              <w:keepLines/>
              <w:spacing w:after="0" w:line="276" w:lineRule="auto"/>
            </w:pPr>
            <w:r>
              <w:rPr>
                <w:rFonts w:ascii="Calibri" w:hAnsi="Calibri" w:eastAsia="Microsoft YaHei"/>
                <w:color w:val="0B2545"/>
                <w:sz w:val="13"/>
              </w:rPr>
              <w:t>official-direct</w:t>
            </w:r>
          </w:p>
        </w:tc>
        <w:tc>
          <w:tcPr>
            <w:tcW w:type="dxa" w:w="1050"/>
          </w:tcPr>
          <w:p>
            <w:pPr>
              <w:keepLines/>
              <w:spacing w:after="0" w:line="276" w:lineRule="auto"/>
            </w:pPr>
            <w:r>
              <w:rPr>
                <w:rFonts w:ascii="Calibri" w:hAnsi="Calibri" w:eastAsia="Microsoft YaHei"/>
                <w:color w:val="0B2545"/>
                <w:sz w:val="13"/>
              </w:rPr>
              <w:t>source-code</w:t>
            </w:r>
          </w:p>
        </w:tc>
        <w:tc>
          <w:tcPr>
            <w:tcW w:type="dxa" w:w="900"/>
          </w:tcPr>
          <w:p>
            <w:pPr>
              <w:keepLines/>
              <w:spacing w:after="0" w:line="276" w:lineRule="auto"/>
            </w:pPr>
            <w:r>
              <w:rPr>
                <w:rFonts w:ascii="Calibri" w:hAnsi="Calibri" w:eastAsia="Microsoft YaHei"/>
                <w:color w:val="0B2545"/>
                <w:sz w:val="13"/>
              </w:rPr>
              <w:t>public</w:t>
            </w:r>
          </w:p>
        </w:tc>
        <w:tc>
          <w:tcPr>
            <w:tcW w:type="dxa" w:w="2600"/>
          </w:tcPr>
          <w:p>
            <w:pPr>
              <w:keepLines/>
              <w:spacing w:after="0" w:line="276" w:lineRule="auto"/>
            </w:pPr>
            <w:r>
              <w:rPr>
                <w:rFonts w:ascii="Calibri" w:hAnsi="Calibri" w:eastAsia="Microsoft YaHei"/>
                <w:color w:val="0B2545"/>
                <w:sz w:val="13"/>
              </w:rPr>
              <w:t>EUROfusion/UKAEA 团队维护的几何标定软件。</w:t>
            </w:r>
          </w:p>
        </w:tc>
        <w:tc>
          <w:tcPr>
            <w:tcW w:type="dxa" w:w="2160"/>
          </w:tcPr>
          <w:p>
            <w:pPr>
              <w:keepLines/>
              <w:spacing w:after="0" w:line="276" w:lineRule="auto"/>
            </w:pPr>
            <w:hyperlink r:id="rId29">
              <w:r>
                <w:rPr>
                  <w:rFonts w:ascii="Calibri" w:hAnsi="Calibri" w:eastAsia="Microsoft YaHei"/>
                  <w:color w:val="008C95"/>
                  <w:u w:val="single"/>
                </w:rPr>
                <w:t>打开原始来源 ↗</w:t>
              </w:r>
            </w:hyperlink>
          </w:p>
        </w:tc>
      </w:tr>
      <w:tr>
        <w:trPr>
          <w:cantSplit/>
        </w:trPr>
        <w:tc>
          <w:tcPr>
            <w:tcW w:type="dxa" w:w="1400"/>
          </w:tcPr>
          <w:p>
            <w:pPr>
              <w:keepLines/>
              <w:spacing w:after="0" w:line="276" w:lineRule="auto"/>
            </w:pPr>
            <w:r>
              <w:rPr>
                <w:rFonts w:ascii="Calibri" w:hAnsi="Calibri" w:eastAsia="Microsoft YaHei"/>
                <w:color w:val="0B2545"/>
                <w:sz w:val="13"/>
              </w:rPr>
              <w:t>MARTe2</w:t>
            </w:r>
          </w:p>
        </w:tc>
        <w:tc>
          <w:tcPr>
            <w:tcW w:type="dxa" w:w="1250"/>
          </w:tcPr>
          <w:p>
            <w:pPr>
              <w:keepLines/>
              <w:spacing w:after="0" w:line="276" w:lineRule="auto"/>
            </w:pPr>
            <w:r>
              <w:rPr>
                <w:rFonts w:ascii="Calibri" w:hAnsi="Calibri" w:eastAsia="Microsoft YaHei"/>
                <w:color w:val="0B2545"/>
                <w:sz w:val="13"/>
              </w:rPr>
              <w:t>official-direct</w:t>
            </w:r>
          </w:p>
        </w:tc>
        <w:tc>
          <w:tcPr>
            <w:tcW w:type="dxa" w:w="1050"/>
          </w:tcPr>
          <w:p>
            <w:pPr>
              <w:keepLines/>
              <w:spacing w:after="0" w:line="276" w:lineRule="auto"/>
            </w:pPr>
            <w:r>
              <w:rPr>
                <w:rFonts w:ascii="Calibri" w:hAnsi="Calibri" w:eastAsia="Microsoft YaHei"/>
                <w:color w:val="0B2545"/>
                <w:sz w:val="13"/>
              </w:rPr>
              <w:t>source-code</w:t>
            </w:r>
          </w:p>
        </w:tc>
        <w:tc>
          <w:tcPr>
            <w:tcW w:type="dxa" w:w="900"/>
          </w:tcPr>
          <w:p>
            <w:pPr>
              <w:keepLines/>
              <w:spacing w:after="0" w:line="276" w:lineRule="auto"/>
            </w:pPr>
            <w:r>
              <w:rPr>
                <w:rFonts w:ascii="Calibri" w:hAnsi="Calibri" w:eastAsia="Microsoft YaHei"/>
                <w:color w:val="0B2545"/>
                <w:sz w:val="13"/>
              </w:rPr>
              <w:t>public</w:t>
            </w:r>
          </w:p>
        </w:tc>
        <w:tc>
          <w:tcPr>
            <w:tcW w:type="dxa" w:w="2600"/>
          </w:tcPr>
          <w:p>
            <w:pPr>
              <w:keepLines/>
              <w:spacing w:after="0" w:line="276" w:lineRule="auto"/>
            </w:pPr>
            <w:r>
              <w:rPr>
                <w:rFonts w:ascii="Calibri" w:hAnsi="Calibri" w:eastAsia="Microsoft YaHei"/>
                <w:color w:val="0B2545"/>
                <w:sz w:val="13"/>
              </w:rPr>
              <w:t>Fusion for Energy 维护的 MARTe2 核心。</w:t>
            </w:r>
          </w:p>
        </w:tc>
        <w:tc>
          <w:tcPr>
            <w:tcW w:type="dxa" w:w="2160"/>
          </w:tcPr>
          <w:p>
            <w:pPr>
              <w:keepLines/>
              <w:spacing w:after="0" w:line="276" w:lineRule="auto"/>
            </w:pPr>
            <w:hyperlink r:id="rId31">
              <w:r>
                <w:rPr>
                  <w:rFonts w:ascii="Calibri" w:hAnsi="Calibri" w:eastAsia="Microsoft YaHei"/>
                  <w:color w:val="008C95"/>
                  <w:u w:val="single"/>
                </w:rPr>
                <w:t>打开原始来源 ↗</w:t>
              </w:r>
            </w:hyperlink>
          </w:p>
        </w:tc>
      </w:tr>
      <w:tr>
        <w:trPr>
          <w:cantSplit/>
        </w:trPr>
        <w:tc>
          <w:tcPr>
            <w:tcW w:type="dxa" w:w="1400"/>
          </w:tcPr>
          <w:p>
            <w:pPr>
              <w:keepLines/>
              <w:spacing w:after="0" w:line="276" w:lineRule="auto"/>
            </w:pPr>
            <w:r>
              <w:rPr>
                <w:rFonts w:ascii="Calibri" w:hAnsi="Calibri" w:eastAsia="Microsoft YaHei"/>
                <w:color w:val="0B2545"/>
                <w:sz w:val="13"/>
              </w:rPr>
              <w:t>MDSplus</w:t>
            </w:r>
          </w:p>
        </w:tc>
        <w:tc>
          <w:tcPr>
            <w:tcW w:type="dxa" w:w="1250"/>
          </w:tcPr>
          <w:p>
            <w:pPr>
              <w:keepLines/>
              <w:spacing w:after="0" w:line="276" w:lineRule="auto"/>
            </w:pPr>
            <w:r>
              <w:rPr>
                <w:rFonts w:ascii="Calibri" w:hAnsi="Calibri" w:eastAsia="Microsoft YaHei"/>
                <w:color w:val="0B2545"/>
                <w:sz w:val="13"/>
              </w:rPr>
              <w:t>official-enabling</w:t>
            </w:r>
          </w:p>
        </w:tc>
        <w:tc>
          <w:tcPr>
            <w:tcW w:type="dxa" w:w="1050"/>
          </w:tcPr>
          <w:p>
            <w:pPr>
              <w:keepLines/>
              <w:spacing w:after="0" w:line="276" w:lineRule="auto"/>
            </w:pPr>
            <w:r>
              <w:rPr>
                <w:rFonts w:ascii="Calibri" w:hAnsi="Calibri" w:eastAsia="Microsoft YaHei"/>
                <w:color w:val="0B2545"/>
                <w:sz w:val="13"/>
              </w:rPr>
              <w:t>source-code</w:t>
            </w:r>
          </w:p>
        </w:tc>
        <w:tc>
          <w:tcPr>
            <w:tcW w:type="dxa" w:w="900"/>
          </w:tcPr>
          <w:p>
            <w:pPr>
              <w:keepLines/>
              <w:spacing w:after="0" w:line="276" w:lineRule="auto"/>
            </w:pPr>
            <w:r>
              <w:rPr>
                <w:rFonts w:ascii="Calibri" w:hAnsi="Calibri" w:eastAsia="Microsoft YaHei"/>
                <w:color w:val="0B2545"/>
                <w:sz w:val="13"/>
              </w:rPr>
              <w:t>public</w:t>
            </w:r>
          </w:p>
        </w:tc>
        <w:tc>
          <w:tcPr>
            <w:tcW w:type="dxa" w:w="2600"/>
          </w:tcPr>
          <w:p>
            <w:pPr>
              <w:keepLines/>
              <w:spacing w:after="0" w:line="276" w:lineRule="auto"/>
            </w:pPr>
            <w:r>
              <w:rPr>
                <w:rFonts w:ascii="Calibri" w:hAnsi="Calibri" w:eastAsia="Microsoft YaHei"/>
                <w:color w:val="0B2545"/>
                <w:sz w:val="13"/>
              </w:rPr>
              <w:t>官方数据系统；为集成链提供设备模型和归档，不是 MARTe2 本身。</w:t>
            </w:r>
          </w:p>
        </w:tc>
        <w:tc>
          <w:tcPr>
            <w:tcW w:type="dxa" w:w="2160"/>
          </w:tcPr>
          <w:p>
            <w:pPr>
              <w:keepLines/>
              <w:spacing w:after="0" w:line="276" w:lineRule="auto"/>
            </w:pPr>
            <w:hyperlink r:id="rId21">
              <w:r>
                <w:rPr>
                  <w:rFonts w:ascii="Calibri" w:hAnsi="Calibri" w:eastAsia="Microsoft YaHei"/>
                  <w:color w:val="008C95"/>
                  <w:u w:val="single"/>
                </w:rPr>
                <w:t>打开原始来源 ↗</w:t>
              </w:r>
            </w:hyperlink>
          </w:p>
        </w:tc>
      </w:tr>
      <w:tr>
        <w:trPr>
          <w:cantSplit/>
        </w:trPr>
        <w:tc>
          <w:tcPr>
            <w:tcW w:type="dxa" w:w="1400"/>
          </w:tcPr>
          <w:p>
            <w:pPr>
              <w:keepLines/>
              <w:spacing w:after="0" w:line="276" w:lineRule="auto"/>
            </w:pPr>
            <w:r>
              <w:rPr>
                <w:rFonts w:ascii="Calibri" w:hAnsi="Calibri" w:eastAsia="Microsoft YaHei"/>
                <w:color w:val="0B2545"/>
                <w:sz w:val="13"/>
              </w:rPr>
              <w:t>ITER CODAC core/configuration assets</w:t>
            </w:r>
          </w:p>
        </w:tc>
        <w:tc>
          <w:tcPr>
            <w:tcW w:type="dxa" w:w="1250"/>
          </w:tcPr>
          <w:p>
            <w:pPr>
              <w:keepLines/>
              <w:spacing w:after="0" w:line="276" w:lineRule="auto"/>
            </w:pPr>
            <w:r>
              <w:rPr>
                <w:rFonts w:ascii="Calibri" w:hAnsi="Calibri" w:eastAsia="Microsoft YaHei"/>
                <w:color w:val="0B2545"/>
                <w:sz w:val="13"/>
              </w:rPr>
              <w:t>not-public</w:t>
            </w:r>
          </w:p>
        </w:tc>
        <w:tc>
          <w:tcPr>
            <w:tcW w:type="dxa" w:w="1050"/>
          </w:tcPr>
          <w:p>
            <w:pPr>
              <w:keepLines/>
              <w:spacing w:after="0" w:line="276" w:lineRule="auto"/>
            </w:pPr>
            <w:r>
              <w:rPr>
                <w:rFonts w:ascii="Calibri" w:hAnsi="Calibri" w:eastAsia="Microsoft YaHei"/>
                <w:color w:val="0B2545"/>
                <w:sz w:val="13"/>
              </w:rPr>
              <w:t>configuration-and-source</w:t>
            </w:r>
          </w:p>
        </w:tc>
        <w:tc>
          <w:tcPr>
            <w:tcW w:type="dxa" w:w="900"/>
          </w:tcPr>
          <w:p>
            <w:pPr>
              <w:keepLines/>
              <w:spacing w:after="0" w:line="276" w:lineRule="auto"/>
            </w:pPr>
            <w:r>
              <w:rPr>
                <w:rFonts w:ascii="Calibri" w:hAnsi="Calibri" w:eastAsia="Microsoft YaHei"/>
                <w:color w:val="0B2545"/>
                <w:sz w:val="13"/>
              </w:rPr>
              <w:t>not-public</w:t>
            </w:r>
          </w:p>
        </w:tc>
        <w:tc>
          <w:tcPr>
            <w:tcW w:type="dxa" w:w="2600"/>
          </w:tcPr>
          <w:p>
            <w:pPr>
              <w:keepLines/>
              <w:spacing w:after="0" w:line="276" w:lineRule="auto"/>
            </w:pPr>
            <w:r>
              <w:rPr>
                <w:rFonts w:ascii="Calibri" w:hAnsi="Calibri" w:eastAsia="Microsoft YaHei"/>
                <w:color w:val="0B2545"/>
                <w:sz w:val="13"/>
              </w:rPr>
              <w:t>生产 CODAC 与 Plant I&amp;C 配置未作为一个可核验公共代码库开放。</w:t>
            </w:r>
          </w:p>
        </w:tc>
        <w:tc>
          <w:tcPr>
            <w:tcW w:type="dxa" w:w="2160"/>
          </w:tcPr>
          <w:p>
            <w:pPr>
              <w:keepLines/>
              <w:spacing w:after="0" w:line="276" w:lineRule="auto"/>
            </w:pPr>
            <w:r>
              <w:rPr>
                <w:rFonts w:ascii="Calibri" w:hAnsi="Calibri" w:eastAsia="Microsoft YaHei"/>
                <w:color w:val="0B2545"/>
                <w:sz w:val="13"/>
              </w:rPr>
              <w:t>未公开</w:t>
            </w:r>
          </w:p>
        </w:tc>
      </w:tr>
      <w:tr>
        <w:trPr>
          <w:cantSplit/>
        </w:trPr>
        <w:tc>
          <w:tcPr>
            <w:tcW w:type="dxa" w:w="1400"/>
          </w:tcPr>
          <w:p>
            <w:pPr>
              <w:keepLines/>
              <w:spacing w:after="0" w:line="276" w:lineRule="auto"/>
            </w:pPr>
            <w:r>
              <w:rPr>
                <w:rFonts w:ascii="Calibri" w:hAnsi="Calibri" w:eastAsia="Microsoft YaHei"/>
                <w:color w:val="0B2545"/>
                <w:sz w:val="13"/>
              </w:rPr>
              <w:t>OpenMC</w:t>
            </w:r>
          </w:p>
        </w:tc>
        <w:tc>
          <w:tcPr>
            <w:tcW w:type="dxa" w:w="1250"/>
          </w:tcPr>
          <w:p>
            <w:pPr>
              <w:keepLines/>
              <w:spacing w:after="0" w:line="276" w:lineRule="auto"/>
            </w:pPr>
            <w:r>
              <w:rPr>
                <w:rFonts w:ascii="Calibri" w:hAnsi="Calibri" w:eastAsia="Microsoft YaHei"/>
                <w:color w:val="0B2545"/>
                <w:sz w:val="13"/>
              </w:rPr>
              <w:t>official-enabling</w:t>
            </w:r>
          </w:p>
        </w:tc>
        <w:tc>
          <w:tcPr>
            <w:tcW w:type="dxa" w:w="1050"/>
          </w:tcPr>
          <w:p>
            <w:pPr>
              <w:keepLines/>
              <w:spacing w:after="0" w:line="276" w:lineRule="auto"/>
            </w:pPr>
            <w:r>
              <w:rPr>
                <w:rFonts w:ascii="Calibri" w:hAnsi="Calibri" w:eastAsia="Microsoft YaHei"/>
                <w:color w:val="0B2545"/>
                <w:sz w:val="13"/>
              </w:rPr>
              <w:t>source-code</w:t>
            </w:r>
          </w:p>
        </w:tc>
        <w:tc>
          <w:tcPr>
            <w:tcW w:type="dxa" w:w="900"/>
          </w:tcPr>
          <w:p>
            <w:pPr>
              <w:keepLines/>
              <w:spacing w:after="0" w:line="276" w:lineRule="auto"/>
            </w:pPr>
            <w:r>
              <w:rPr>
                <w:rFonts w:ascii="Calibri" w:hAnsi="Calibri" w:eastAsia="Microsoft YaHei"/>
                <w:color w:val="0B2545"/>
                <w:sz w:val="13"/>
              </w:rPr>
              <w:t>public</w:t>
            </w:r>
          </w:p>
        </w:tc>
        <w:tc>
          <w:tcPr>
            <w:tcW w:type="dxa" w:w="2600"/>
          </w:tcPr>
          <w:p>
            <w:pPr>
              <w:keepLines/>
              <w:spacing w:after="0" w:line="276" w:lineRule="auto"/>
            </w:pPr>
            <w:r>
              <w:rPr>
                <w:rFonts w:ascii="Calibri" w:hAnsi="Calibri" w:eastAsia="Microsoft YaHei"/>
                <w:color w:val="0B2545"/>
                <w:sz w:val="13"/>
              </w:rPr>
              <w:t>中子响应与校准场计算的开源蒙特卡洛工具；不是 ITER RNC 校准工作流本体。</w:t>
            </w:r>
          </w:p>
        </w:tc>
        <w:tc>
          <w:tcPr>
            <w:tcW w:type="dxa" w:w="2160"/>
          </w:tcPr>
          <w:p>
            <w:pPr>
              <w:keepLines/>
              <w:spacing w:after="0" w:line="276" w:lineRule="auto"/>
            </w:pPr>
            <w:hyperlink r:id="rId35">
              <w:r>
                <w:rPr>
                  <w:rFonts w:ascii="Calibri" w:hAnsi="Calibri" w:eastAsia="Microsoft YaHei"/>
                  <w:color w:val="008C95"/>
                  <w:u w:val="single"/>
                </w:rPr>
                <w:t>打开原始来源 ↗</w:t>
              </w:r>
            </w:hyperlink>
          </w:p>
        </w:tc>
      </w:tr>
      <w:tr>
        <w:trPr>
          <w:cantSplit/>
        </w:trPr>
        <w:tc>
          <w:tcPr>
            <w:tcW w:type="dxa" w:w="1400"/>
          </w:tcPr>
          <w:p>
            <w:pPr>
              <w:keepLines/>
              <w:spacing w:after="0" w:line="276" w:lineRule="auto"/>
            </w:pPr>
            <w:r>
              <w:rPr>
                <w:rFonts w:ascii="Calibri" w:hAnsi="Calibri" w:eastAsia="Microsoft YaHei"/>
                <w:color w:val="0B2545"/>
                <w:sz w:val="13"/>
              </w:rPr>
              <w:t>装置专有分析/标定软件</w:t>
            </w:r>
          </w:p>
        </w:tc>
        <w:tc>
          <w:tcPr>
            <w:tcW w:type="dxa" w:w="1250"/>
          </w:tcPr>
          <w:p>
            <w:pPr>
              <w:keepLines/>
              <w:spacing w:after="0" w:line="276" w:lineRule="auto"/>
            </w:pPr>
            <w:r>
              <w:rPr>
                <w:rFonts w:ascii="Calibri" w:hAnsi="Calibri" w:eastAsia="Microsoft YaHei"/>
                <w:color w:val="0B2545"/>
                <w:sz w:val="13"/>
              </w:rPr>
              <w:t>not-public</w:t>
            </w:r>
          </w:p>
        </w:tc>
        <w:tc>
          <w:tcPr>
            <w:tcW w:type="dxa" w:w="1050"/>
          </w:tcPr>
          <w:p>
            <w:pPr>
              <w:keepLines/>
              <w:spacing w:after="0" w:line="276" w:lineRule="auto"/>
            </w:pPr>
            <w:r>
              <w:rPr>
                <w:rFonts w:ascii="Calibri" w:hAnsi="Calibri" w:eastAsia="Microsoft YaHei"/>
                <w:color w:val="0B2545"/>
                <w:sz w:val="13"/>
              </w:rPr>
              <w:t>operational-analysis-pipeline</w:t>
            </w:r>
          </w:p>
        </w:tc>
        <w:tc>
          <w:tcPr>
            <w:tcW w:type="dxa" w:w="900"/>
          </w:tcPr>
          <w:p>
            <w:pPr>
              <w:keepLines/>
              <w:spacing w:after="0" w:line="276" w:lineRule="auto"/>
            </w:pPr>
            <w:r>
              <w:rPr>
                <w:rFonts w:ascii="Calibri" w:hAnsi="Calibri" w:eastAsia="Microsoft YaHei"/>
                <w:color w:val="0B2545"/>
                <w:sz w:val="13"/>
              </w:rPr>
              <w:t>not public</w:t>
            </w:r>
          </w:p>
        </w:tc>
        <w:tc>
          <w:tcPr>
            <w:tcW w:type="dxa" w:w="2600"/>
          </w:tcPr>
          <w:p>
            <w:pPr>
              <w:keepLines/>
              <w:spacing w:after="0" w:line="276" w:lineRule="auto"/>
            </w:pPr>
            <w:r>
              <w:rPr>
                <w:rFonts w:ascii="Calibri" w:hAnsi="Calibri" w:eastAsia="Microsoft YaHei"/>
                <w:color w:val="0B2545"/>
                <w:sz w:val="13"/>
              </w:rPr>
              <w:t>装置积分器、涡流补偿和PCS接口未公开。</w:t>
            </w:r>
          </w:p>
        </w:tc>
        <w:tc>
          <w:tcPr>
            <w:tcW w:type="dxa" w:w="2160"/>
          </w:tcPr>
          <w:p>
            <w:pPr>
              <w:keepLines/>
              <w:spacing w:after="0" w:line="276" w:lineRule="auto"/>
            </w:pPr>
            <w:r>
              <w:rPr>
                <w:rFonts w:ascii="Calibri" w:hAnsi="Calibri" w:eastAsia="Microsoft YaHei"/>
                <w:color w:val="0B2545"/>
                <w:sz w:val="13"/>
              </w:rPr>
              <w:t>未公开</w:t>
            </w:r>
          </w:p>
        </w:tc>
      </w:tr>
      <w:tr>
        <w:trPr>
          <w:cantSplit/>
        </w:trPr>
        <w:tc>
          <w:tcPr>
            <w:tcW w:type="dxa" w:w="1400"/>
          </w:tcPr>
          <w:p>
            <w:pPr>
              <w:keepLines/>
              <w:spacing w:after="0" w:line="276" w:lineRule="auto"/>
            </w:pPr>
            <w:r>
              <w:rPr>
                <w:rFonts w:ascii="Calibri" w:hAnsi="Calibri" w:eastAsia="Microsoft YaHei"/>
                <w:color w:val="0B2545"/>
                <w:sz w:val="13"/>
              </w:rPr>
              <w:t>装置专有分析/标定软件</w:t>
            </w:r>
          </w:p>
        </w:tc>
        <w:tc>
          <w:tcPr>
            <w:tcW w:type="dxa" w:w="1250"/>
          </w:tcPr>
          <w:p>
            <w:pPr>
              <w:keepLines/>
              <w:spacing w:after="0" w:line="276" w:lineRule="auto"/>
            </w:pPr>
            <w:r>
              <w:rPr>
                <w:rFonts w:ascii="Calibri" w:hAnsi="Calibri" w:eastAsia="Microsoft YaHei"/>
                <w:color w:val="0B2545"/>
                <w:sz w:val="13"/>
              </w:rPr>
              <w:t>not-public</w:t>
            </w:r>
          </w:p>
        </w:tc>
        <w:tc>
          <w:tcPr>
            <w:tcW w:type="dxa" w:w="1050"/>
          </w:tcPr>
          <w:p>
            <w:pPr>
              <w:keepLines/>
              <w:spacing w:after="0" w:line="276" w:lineRule="auto"/>
            </w:pPr>
            <w:r>
              <w:rPr>
                <w:rFonts w:ascii="Calibri" w:hAnsi="Calibri" w:eastAsia="Microsoft YaHei"/>
                <w:color w:val="0B2545"/>
                <w:sz w:val="13"/>
              </w:rPr>
              <w:t>operational-analysis-pipeline</w:t>
            </w:r>
          </w:p>
        </w:tc>
        <w:tc>
          <w:tcPr>
            <w:tcW w:type="dxa" w:w="900"/>
          </w:tcPr>
          <w:p>
            <w:pPr>
              <w:keepLines/>
              <w:spacing w:after="0" w:line="276" w:lineRule="auto"/>
            </w:pPr>
            <w:r>
              <w:rPr>
                <w:rFonts w:ascii="Calibri" w:hAnsi="Calibri" w:eastAsia="Microsoft YaHei"/>
                <w:color w:val="0B2545"/>
                <w:sz w:val="13"/>
              </w:rPr>
              <w:t>not public</w:t>
            </w:r>
          </w:p>
        </w:tc>
        <w:tc>
          <w:tcPr>
            <w:tcW w:type="dxa" w:w="2600"/>
          </w:tcPr>
          <w:p>
            <w:pPr>
              <w:keepLines/>
              <w:spacing w:after="0" w:line="276" w:lineRule="auto"/>
            </w:pPr>
            <w:r>
              <w:rPr>
                <w:rFonts w:ascii="Calibri" w:hAnsi="Calibri" w:eastAsia="Microsoft YaHei"/>
                <w:color w:val="0B2545"/>
                <w:sz w:val="13"/>
              </w:rPr>
              <w:t>OVSS补偿系数和运行软件由项目配置控制。</w:t>
            </w:r>
          </w:p>
        </w:tc>
        <w:tc>
          <w:tcPr>
            <w:tcW w:type="dxa" w:w="2160"/>
          </w:tcPr>
          <w:p>
            <w:pPr>
              <w:keepLines/>
              <w:spacing w:after="0" w:line="276" w:lineRule="auto"/>
            </w:pPr>
            <w:r>
              <w:rPr>
                <w:rFonts w:ascii="Calibri" w:hAnsi="Calibri" w:eastAsia="Microsoft YaHei"/>
                <w:color w:val="0B2545"/>
                <w:sz w:val="13"/>
              </w:rPr>
              <w:t>未公开</w:t>
            </w:r>
          </w:p>
        </w:tc>
      </w:tr>
      <w:tr>
        <w:trPr>
          <w:cantSplit/>
        </w:trPr>
        <w:tc>
          <w:tcPr>
            <w:tcW w:type="dxa" w:w="1400"/>
          </w:tcPr>
          <w:p>
            <w:pPr>
              <w:keepLines/>
              <w:spacing w:after="0" w:line="276" w:lineRule="auto"/>
            </w:pPr>
            <w:r>
              <w:rPr>
                <w:rFonts w:ascii="Calibri" w:hAnsi="Calibri" w:eastAsia="Microsoft YaHei"/>
                <w:color w:val="0B2545"/>
                <w:sz w:val="13"/>
              </w:rPr>
              <w:t>装置专有分析/标定软件</w:t>
            </w:r>
          </w:p>
        </w:tc>
        <w:tc>
          <w:tcPr>
            <w:tcW w:type="dxa" w:w="1250"/>
          </w:tcPr>
          <w:p>
            <w:pPr>
              <w:keepLines/>
              <w:spacing w:after="0" w:line="276" w:lineRule="auto"/>
            </w:pPr>
            <w:r>
              <w:rPr>
                <w:rFonts w:ascii="Calibri" w:hAnsi="Calibri" w:eastAsia="Microsoft YaHei"/>
                <w:color w:val="0B2545"/>
                <w:sz w:val="13"/>
              </w:rPr>
              <w:t>not-public</w:t>
            </w:r>
          </w:p>
        </w:tc>
        <w:tc>
          <w:tcPr>
            <w:tcW w:type="dxa" w:w="1050"/>
          </w:tcPr>
          <w:p>
            <w:pPr>
              <w:keepLines/>
              <w:spacing w:after="0" w:line="276" w:lineRule="auto"/>
            </w:pPr>
            <w:r>
              <w:rPr>
                <w:rFonts w:ascii="Calibri" w:hAnsi="Calibri" w:eastAsia="Microsoft YaHei"/>
                <w:color w:val="0B2545"/>
                <w:sz w:val="13"/>
              </w:rPr>
              <w:t>operational-analysis-pipeline</w:t>
            </w:r>
          </w:p>
        </w:tc>
        <w:tc>
          <w:tcPr>
            <w:tcW w:type="dxa" w:w="900"/>
          </w:tcPr>
          <w:p>
            <w:pPr>
              <w:keepLines/>
              <w:spacing w:after="0" w:line="276" w:lineRule="auto"/>
            </w:pPr>
            <w:r>
              <w:rPr>
                <w:rFonts w:ascii="Calibri" w:hAnsi="Calibri" w:eastAsia="Microsoft YaHei"/>
                <w:color w:val="0B2545"/>
                <w:sz w:val="13"/>
              </w:rPr>
              <w:t>not public</w:t>
            </w:r>
          </w:p>
        </w:tc>
        <w:tc>
          <w:tcPr>
            <w:tcW w:type="dxa" w:w="2600"/>
          </w:tcPr>
          <w:p>
            <w:pPr>
              <w:keepLines/>
              <w:spacing w:after="0" w:line="276" w:lineRule="auto"/>
            </w:pPr>
            <w:r>
              <w:rPr>
                <w:rFonts w:ascii="Calibri" w:hAnsi="Calibri" w:eastAsia="Microsoft YaHei"/>
                <w:color w:val="0B2545"/>
                <w:sz w:val="13"/>
              </w:rPr>
              <w:t>偏振解调与装置实时接口未发布。</w:t>
            </w:r>
          </w:p>
        </w:tc>
        <w:tc>
          <w:tcPr>
            <w:tcW w:type="dxa" w:w="2160"/>
          </w:tcPr>
          <w:p>
            <w:pPr>
              <w:keepLines/>
              <w:spacing w:after="0" w:line="276" w:lineRule="auto"/>
            </w:pPr>
            <w:r>
              <w:rPr>
                <w:rFonts w:ascii="Calibri" w:hAnsi="Calibri" w:eastAsia="Microsoft YaHei"/>
                <w:color w:val="0B2545"/>
                <w:sz w:val="13"/>
              </w:rPr>
              <w:t>未公开</w:t>
            </w:r>
          </w:p>
        </w:tc>
      </w:tr>
      <w:tr>
        <w:trPr>
          <w:cantSplit/>
        </w:trPr>
        <w:tc>
          <w:tcPr>
            <w:tcW w:type="dxa" w:w="1400"/>
          </w:tcPr>
          <w:p>
            <w:pPr>
              <w:keepLines/>
              <w:spacing w:after="0" w:line="276" w:lineRule="auto"/>
            </w:pPr>
            <w:r>
              <w:rPr>
                <w:rFonts w:ascii="Calibri" w:hAnsi="Calibri" w:eastAsia="Microsoft YaHei"/>
                <w:color w:val="0B2545"/>
                <w:sz w:val="13"/>
              </w:rPr>
              <w:t>装置专有分析/标定软件</w:t>
            </w:r>
          </w:p>
        </w:tc>
        <w:tc>
          <w:tcPr>
            <w:tcW w:type="dxa" w:w="1250"/>
          </w:tcPr>
          <w:p>
            <w:pPr>
              <w:keepLines/>
              <w:spacing w:after="0" w:line="276" w:lineRule="auto"/>
            </w:pPr>
            <w:r>
              <w:rPr>
                <w:rFonts w:ascii="Calibri" w:hAnsi="Calibri" w:eastAsia="Microsoft YaHei"/>
                <w:color w:val="0B2545"/>
                <w:sz w:val="13"/>
              </w:rPr>
              <w:t>not-public</w:t>
            </w:r>
          </w:p>
        </w:tc>
        <w:tc>
          <w:tcPr>
            <w:tcW w:type="dxa" w:w="1050"/>
          </w:tcPr>
          <w:p>
            <w:pPr>
              <w:keepLines/>
              <w:spacing w:after="0" w:line="276" w:lineRule="auto"/>
            </w:pPr>
            <w:r>
              <w:rPr>
                <w:rFonts w:ascii="Calibri" w:hAnsi="Calibri" w:eastAsia="Microsoft YaHei"/>
                <w:color w:val="0B2545"/>
                <w:sz w:val="13"/>
              </w:rPr>
              <w:t>operational-analysis-pipeline</w:t>
            </w:r>
          </w:p>
        </w:tc>
        <w:tc>
          <w:tcPr>
            <w:tcW w:type="dxa" w:w="900"/>
          </w:tcPr>
          <w:p>
            <w:pPr>
              <w:keepLines/>
              <w:spacing w:after="0" w:line="276" w:lineRule="auto"/>
            </w:pPr>
            <w:r>
              <w:rPr>
                <w:rFonts w:ascii="Calibri" w:hAnsi="Calibri" w:eastAsia="Microsoft YaHei"/>
                <w:color w:val="0B2545"/>
                <w:sz w:val="13"/>
              </w:rPr>
              <w:t>not public</w:t>
            </w:r>
          </w:p>
        </w:tc>
        <w:tc>
          <w:tcPr>
            <w:tcW w:type="dxa" w:w="2600"/>
          </w:tcPr>
          <w:p>
            <w:pPr>
              <w:keepLines/>
              <w:spacing w:after="0" w:line="276" w:lineRule="auto"/>
            </w:pPr>
            <w:r>
              <w:rPr>
                <w:rFonts w:ascii="Calibri" w:hAnsi="Calibri" w:eastAsia="Microsoft YaHei"/>
                <w:color w:val="0B2545"/>
                <w:sz w:val="13"/>
              </w:rPr>
              <w:t>DIII-D MSE生产分析与标定库受控。</w:t>
            </w:r>
          </w:p>
        </w:tc>
        <w:tc>
          <w:tcPr>
            <w:tcW w:type="dxa" w:w="2160"/>
          </w:tcPr>
          <w:p>
            <w:pPr>
              <w:keepLines/>
              <w:spacing w:after="0" w:line="276" w:lineRule="auto"/>
            </w:pPr>
            <w:r>
              <w:rPr>
                <w:rFonts w:ascii="Calibri" w:hAnsi="Calibri" w:eastAsia="Microsoft YaHei"/>
                <w:color w:val="0B2545"/>
                <w:sz w:val="13"/>
              </w:rPr>
              <w:t>未公开</w:t>
            </w:r>
          </w:p>
        </w:tc>
      </w:tr>
      <w:tr>
        <w:trPr>
          <w:cantSplit/>
        </w:trPr>
        <w:tc>
          <w:tcPr>
            <w:tcW w:type="dxa" w:w="1400"/>
          </w:tcPr>
          <w:p>
            <w:pPr>
              <w:keepLines/>
              <w:spacing w:after="0" w:line="276" w:lineRule="auto"/>
            </w:pPr>
            <w:r>
              <w:rPr>
                <w:rFonts w:ascii="Calibri" w:hAnsi="Calibri" w:eastAsia="Microsoft YaHei"/>
                <w:color w:val="0B2545"/>
                <w:sz w:val="13"/>
              </w:rPr>
              <w:t>OMFIT EFIT module</w:t>
            </w:r>
          </w:p>
        </w:tc>
        <w:tc>
          <w:tcPr>
            <w:tcW w:type="dxa" w:w="1250"/>
          </w:tcPr>
          <w:p>
            <w:pPr>
              <w:keepLines/>
              <w:spacing w:after="0" w:line="276" w:lineRule="auto"/>
            </w:pPr>
            <w:r>
              <w:rPr>
                <w:rFonts w:ascii="Calibri" w:hAnsi="Calibri" w:eastAsia="Microsoft YaHei"/>
                <w:color w:val="0B2545"/>
                <w:sz w:val="13"/>
              </w:rPr>
              <w:t>controlled-access</w:t>
            </w:r>
          </w:p>
        </w:tc>
        <w:tc>
          <w:tcPr>
            <w:tcW w:type="dxa" w:w="1050"/>
          </w:tcPr>
          <w:p>
            <w:pPr>
              <w:keepLines/>
              <w:spacing w:after="0" w:line="276" w:lineRule="auto"/>
            </w:pPr>
            <w:r>
              <w:rPr>
                <w:rFonts w:ascii="Calibri" w:hAnsi="Calibri" w:eastAsia="Microsoft YaHei"/>
                <w:color w:val="0B2545"/>
                <w:sz w:val="13"/>
              </w:rPr>
              <w:t>workflow-interface</w:t>
            </w:r>
          </w:p>
        </w:tc>
        <w:tc>
          <w:tcPr>
            <w:tcW w:type="dxa" w:w="900"/>
          </w:tcPr>
          <w:p>
            <w:pPr>
              <w:keepLines/>
              <w:spacing w:after="0" w:line="276" w:lineRule="auto"/>
            </w:pPr>
            <w:r>
              <w:rPr>
                <w:rFonts w:ascii="Calibri" w:hAnsi="Calibri" w:eastAsia="Microsoft YaHei"/>
                <w:color w:val="0B2545"/>
                <w:sz w:val="13"/>
              </w:rPr>
              <w:t>authorized OMFIT access</w:t>
            </w:r>
          </w:p>
        </w:tc>
        <w:tc>
          <w:tcPr>
            <w:tcW w:type="dxa" w:w="2600"/>
          </w:tcPr>
          <w:p>
            <w:pPr>
              <w:keepLines/>
              <w:spacing w:after="0" w:line="276" w:lineRule="auto"/>
            </w:pPr>
            <w:r>
              <w:rPr>
                <w:rFonts w:ascii="Calibri" w:hAnsi="Calibri" w:eastAsia="Microsoft YaHei"/>
                <w:color w:val="0B2545"/>
                <w:sz w:val="13"/>
              </w:rPr>
              <w:t>EFIT配置/工作流接口，不等同rtEFIT源代码。</w:t>
            </w:r>
          </w:p>
        </w:tc>
        <w:tc>
          <w:tcPr>
            <w:tcW w:type="dxa" w:w="2160"/>
          </w:tcPr>
          <w:p>
            <w:pPr>
              <w:keepLines/>
              <w:spacing w:after="0" w:line="276" w:lineRule="auto"/>
            </w:pPr>
            <w:hyperlink r:id="rId47">
              <w:r>
                <w:rPr>
                  <w:rFonts w:ascii="Calibri" w:hAnsi="Calibri" w:eastAsia="Microsoft YaHei"/>
                  <w:color w:val="008C95"/>
                  <w:u w:val="single"/>
                </w:rPr>
                <w:t>打开原始来源 ↗</w:t>
              </w:r>
            </w:hyperlink>
          </w:p>
        </w:tc>
      </w:tr>
      <w:tr>
        <w:trPr>
          <w:cantSplit/>
        </w:trPr>
        <w:tc>
          <w:tcPr>
            <w:tcW w:type="dxa" w:w="1400"/>
          </w:tcPr>
          <w:p>
            <w:pPr>
              <w:keepLines/>
              <w:spacing w:after="0" w:line="276" w:lineRule="auto"/>
            </w:pPr>
            <w:r>
              <w:rPr>
                <w:rFonts w:ascii="Calibri" w:hAnsi="Calibri" w:eastAsia="Microsoft YaHei"/>
                <w:color w:val="0B2545"/>
                <w:sz w:val="13"/>
              </w:rPr>
              <w:t>FreeGS</w:t>
            </w:r>
          </w:p>
        </w:tc>
        <w:tc>
          <w:tcPr>
            <w:tcW w:type="dxa" w:w="1250"/>
          </w:tcPr>
          <w:p>
            <w:pPr>
              <w:keepLines/>
              <w:spacing w:after="0" w:line="276" w:lineRule="auto"/>
            </w:pPr>
            <w:r>
              <w:rPr>
                <w:rFonts w:ascii="Calibri" w:hAnsi="Calibri" w:eastAsia="Microsoft YaHei"/>
                <w:color w:val="0B2545"/>
                <w:sz w:val="13"/>
              </w:rPr>
              <w:t>official-enabling</w:t>
            </w:r>
          </w:p>
        </w:tc>
        <w:tc>
          <w:tcPr>
            <w:tcW w:type="dxa" w:w="1050"/>
          </w:tcPr>
          <w:p>
            <w:pPr>
              <w:keepLines/>
              <w:spacing w:after="0" w:line="276" w:lineRule="auto"/>
            </w:pPr>
            <w:r>
              <w:rPr>
                <w:rFonts w:ascii="Calibri" w:hAnsi="Calibri" w:eastAsia="Microsoft YaHei"/>
                <w:color w:val="0B2545"/>
                <w:sz w:val="13"/>
              </w:rPr>
              <w:t>open-source-equilibrium-solver</w:t>
            </w:r>
          </w:p>
        </w:tc>
        <w:tc>
          <w:tcPr>
            <w:tcW w:type="dxa" w:w="900"/>
          </w:tcPr>
          <w:p>
            <w:pPr>
              <w:keepLines/>
              <w:spacing w:after="0" w:line="276" w:lineRule="auto"/>
            </w:pPr>
            <w:r>
              <w:rPr>
                <w:rFonts w:ascii="Calibri" w:hAnsi="Calibri" w:eastAsia="Microsoft YaHei"/>
                <w:color w:val="0B2545"/>
                <w:sz w:val="13"/>
              </w:rPr>
              <w:t>public</w:t>
            </w:r>
          </w:p>
        </w:tc>
        <w:tc>
          <w:tcPr>
            <w:tcW w:type="dxa" w:w="2600"/>
          </w:tcPr>
          <w:p>
            <w:pPr>
              <w:keepLines/>
              <w:spacing w:after="0" w:line="276" w:lineRule="auto"/>
            </w:pPr>
            <w:r>
              <w:rPr>
                <w:rFonts w:ascii="Calibri" w:hAnsi="Calibri" w:eastAsia="Microsoft YaHei"/>
                <w:color w:val="0B2545"/>
                <w:sz w:val="13"/>
              </w:rPr>
              <w:t>开放的Grad–Shafranov与合成磁信号基线。</w:t>
            </w:r>
          </w:p>
        </w:tc>
        <w:tc>
          <w:tcPr>
            <w:tcW w:type="dxa" w:w="2160"/>
          </w:tcPr>
          <w:p>
            <w:pPr>
              <w:keepLines/>
              <w:spacing w:after="0" w:line="276" w:lineRule="auto"/>
            </w:pPr>
            <w:hyperlink r:id="rId48">
              <w:r>
                <w:rPr>
                  <w:rFonts w:ascii="Calibri" w:hAnsi="Calibri" w:eastAsia="Microsoft YaHei"/>
                  <w:color w:val="008C95"/>
                  <w:u w:val="single"/>
                </w:rPr>
                <w:t>打开原始来源 ↗</w:t>
              </w:r>
            </w:hyperlink>
          </w:p>
        </w:tc>
      </w:tr>
      <w:tr>
        <w:trPr>
          <w:cantSplit/>
        </w:trPr>
        <w:tc>
          <w:tcPr>
            <w:tcW w:type="dxa" w:w="1400"/>
          </w:tcPr>
          <w:p>
            <w:pPr>
              <w:keepLines/>
              <w:spacing w:after="0" w:line="276" w:lineRule="auto"/>
            </w:pPr>
            <w:r>
              <w:rPr>
                <w:rFonts w:ascii="Calibri" w:hAnsi="Calibri" w:eastAsia="Microsoft YaHei"/>
                <w:color w:val="0B2545"/>
                <w:sz w:val="13"/>
              </w:rPr>
              <w:t>装置专有分析/标定软件</w:t>
            </w:r>
          </w:p>
        </w:tc>
        <w:tc>
          <w:tcPr>
            <w:tcW w:type="dxa" w:w="1250"/>
          </w:tcPr>
          <w:p>
            <w:pPr>
              <w:keepLines/>
              <w:spacing w:after="0" w:line="276" w:lineRule="auto"/>
            </w:pPr>
            <w:r>
              <w:rPr>
                <w:rFonts w:ascii="Calibri" w:hAnsi="Calibri" w:eastAsia="Microsoft YaHei"/>
                <w:color w:val="0B2545"/>
                <w:sz w:val="13"/>
              </w:rPr>
              <w:t>not-public</w:t>
            </w:r>
          </w:p>
        </w:tc>
        <w:tc>
          <w:tcPr>
            <w:tcW w:type="dxa" w:w="1050"/>
          </w:tcPr>
          <w:p>
            <w:pPr>
              <w:keepLines/>
              <w:spacing w:after="0" w:line="276" w:lineRule="auto"/>
            </w:pPr>
            <w:r>
              <w:rPr>
                <w:rFonts w:ascii="Calibri" w:hAnsi="Calibri" w:eastAsia="Microsoft YaHei"/>
                <w:color w:val="0B2545"/>
                <w:sz w:val="13"/>
              </w:rPr>
              <w:t>operational-analysis-pipeline</w:t>
            </w:r>
          </w:p>
        </w:tc>
        <w:tc>
          <w:tcPr>
            <w:tcW w:type="dxa" w:w="900"/>
          </w:tcPr>
          <w:p>
            <w:pPr>
              <w:keepLines/>
              <w:spacing w:after="0" w:line="276" w:lineRule="auto"/>
            </w:pPr>
            <w:r>
              <w:rPr>
                <w:rFonts w:ascii="Calibri" w:hAnsi="Calibri" w:eastAsia="Microsoft YaHei"/>
                <w:color w:val="0B2545"/>
                <w:sz w:val="13"/>
              </w:rPr>
              <w:t>not public</w:t>
            </w:r>
          </w:p>
        </w:tc>
        <w:tc>
          <w:tcPr>
            <w:tcW w:type="dxa" w:w="2600"/>
          </w:tcPr>
          <w:p>
            <w:pPr>
              <w:keepLines/>
              <w:spacing w:after="0" w:line="276" w:lineRule="auto"/>
            </w:pPr>
            <w:r>
              <w:rPr>
                <w:rFonts w:ascii="Calibri" w:hAnsi="Calibri" w:eastAsia="Microsoft YaHei"/>
                <w:color w:val="0B2545"/>
                <w:sz w:val="13"/>
              </w:rPr>
              <w:t>rtEFIT与PCS集成源码未公开。</w:t>
            </w:r>
          </w:p>
        </w:tc>
        <w:tc>
          <w:tcPr>
            <w:tcW w:type="dxa" w:w="2160"/>
          </w:tcPr>
          <w:p>
            <w:pPr>
              <w:keepLines/>
              <w:spacing w:after="0" w:line="276" w:lineRule="auto"/>
            </w:pPr>
            <w:r>
              <w:rPr>
                <w:rFonts w:ascii="Calibri" w:hAnsi="Calibri" w:eastAsia="Microsoft YaHei"/>
                <w:color w:val="0B2545"/>
                <w:sz w:val="13"/>
              </w:rPr>
              <w:t>未公开</w:t>
            </w:r>
          </w:p>
        </w:tc>
      </w:tr>
      <w:tr>
        <w:trPr>
          <w:cantSplit/>
        </w:trPr>
        <w:tc>
          <w:tcPr>
            <w:tcW w:type="dxa" w:w="1400"/>
          </w:tcPr>
          <w:p>
            <w:pPr>
              <w:keepLines/>
              <w:spacing w:after="0" w:line="276" w:lineRule="auto"/>
            </w:pPr>
            <w:r>
              <w:rPr>
                <w:rFonts w:ascii="Calibri" w:hAnsi="Calibri" w:eastAsia="Microsoft YaHei"/>
                <w:color w:val="0B2545"/>
                <w:sz w:val="13"/>
              </w:rPr>
              <w:t>装置专有分析/标定软件</w:t>
            </w:r>
          </w:p>
        </w:tc>
        <w:tc>
          <w:tcPr>
            <w:tcW w:type="dxa" w:w="1250"/>
          </w:tcPr>
          <w:p>
            <w:pPr>
              <w:keepLines/>
              <w:spacing w:after="0" w:line="276" w:lineRule="auto"/>
            </w:pPr>
            <w:r>
              <w:rPr>
                <w:rFonts w:ascii="Calibri" w:hAnsi="Calibri" w:eastAsia="Microsoft YaHei"/>
                <w:color w:val="0B2545"/>
                <w:sz w:val="13"/>
              </w:rPr>
              <w:t>not-public</w:t>
            </w:r>
          </w:p>
        </w:tc>
        <w:tc>
          <w:tcPr>
            <w:tcW w:type="dxa" w:w="1050"/>
          </w:tcPr>
          <w:p>
            <w:pPr>
              <w:keepLines/>
              <w:spacing w:after="0" w:line="276" w:lineRule="auto"/>
            </w:pPr>
            <w:r>
              <w:rPr>
                <w:rFonts w:ascii="Calibri" w:hAnsi="Calibri" w:eastAsia="Microsoft YaHei"/>
                <w:color w:val="0B2545"/>
                <w:sz w:val="13"/>
              </w:rPr>
              <w:t>operational-analysis-pipeline</w:t>
            </w:r>
          </w:p>
        </w:tc>
        <w:tc>
          <w:tcPr>
            <w:tcW w:type="dxa" w:w="900"/>
          </w:tcPr>
          <w:p>
            <w:pPr>
              <w:keepLines/>
              <w:spacing w:after="0" w:line="276" w:lineRule="auto"/>
            </w:pPr>
            <w:r>
              <w:rPr>
                <w:rFonts w:ascii="Calibri" w:hAnsi="Calibri" w:eastAsia="Microsoft YaHei"/>
                <w:color w:val="0B2545"/>
                <w:sz w:val="13"/>
              </w:rPr>
              <w:t>not public</w:t>
            </w:r>
          </w:p>
        </w:tc>
        <w:tc>
          <w:tcPr>
            <w:tcW w:type="dxa" w:w="2600"/>
          </w:tcPr>
          <w:p>
            <w:pPr>
              <w:keepLines/>
              <w:spacing w:after="0" w:line="276" w:lineRule="auto"/>
            </w:pPr>
            <w:r>
              <w:rPr>
                <w:rFonts w:ascii="Calibri" w:hAnsi="Calibri" w:eastAsia="Microsoft YaHei"/>
                <w:color w:val="0B2545"/>
                <w:sz w:val="13"/>
              </w:rPr>
              <w:t>装置TS拟合、自动质量控制和实时发布代码未公开。</w:t>
            </w:r>
          </w:p>
        </w:tc>
        <w:tc>
          <w:tcPr>
            <w:tcW w:type="dxa" w:w="2160"/>
          </w:tcPr>
          <w:p>
            <w:pPr>
              <w:keepLines/>
              <w:spacing w:after="0" w:line="276" w:lineRule="auto"/>
            </w:pPr>
            <w:r>
              <w:rPr>
                <w:rFonts w:ascii="Calibri" w:hAnsi="Calibri" w:eastAsia="Microsoft YaHei"/>
                <w:color w:val="0B2545"/>
                <w:sz w:val="13"/>
              </w:rPr>
              <w:t>未公开</w:t>
            </w:r>
          </w:p>
        </w:tc>
      </w:tr>
      <w:tr>
        <w:trPr>
          <w:cantSplit/>
        </w:trPr>
        <w:tc>
          <w:tcPr>
            <w:tcW w:type="dxa" w:w="1400"/>
          </w:tcPr>
          <w:p>
            <w:pPr>
              <w:keepLines/>
              <w:spacing w:after="0" w:line="276" w:lineRule="auto"/>
            </w:pPr>
            <w:r>
              <w:rPr>
                <w:rFonts w:ascii="Calibri" w:hAnsi="Calibri" w:eastAsia="Microsoft YaHei"/>
                <w:color w:val="0B2545"/>
                <w:sz w:val="13"/>
              </w:rPr>
              <w:t>装置专有分析/标定软件</w:t>
            </w:r>
          </w:p>
        </w:tc>
        <w:tc>
          <w:tcPr>
            <w:tcW w:type="dxa" w:w="1250"/>
          </w:tcPr>
          <w:p>
            <w:pPr>
              <w:keepLines/>
              <w:spacing w:after="0" w:line="276" w:lineRule="auto"/>
            </w:pPr>
            <w:r>
              <w:rPr>
                <w:rFonts w:ascii="Calibri" w:hAnsi="Calibri" w:eastAsia="Microsoft YaHei"/>
                <w:color w:val="0B2545"/>
                <w:sz w:val="13"/>
              </w:rPr>
              <w:t>not-public</w:t>
            </w:r>
          </w:p>
        </w:tc>
        <w:tc>
          <w:tcPr>
            <w:tcW w:type="dxa" w:w="1050"/>
          </w:tcPr>
          <w:p>
            <w:pPr>
              <w:keepLines/>
              <w:spacing w:after="0" w:line="276" w:lineRule="auto"/>
            </w:pPr>
            <w:r>
              <w:rPr>
                <w:rFonts w:ascii="Calibri" w:hAnsi="Calibri" w:eastAsia="Microsoft YaHei"/>
                <w:color w:val="0B2545"/>
                <w:sz w:val="13"/>
              </w:rPr>
              <w:t>operational-analysis-pipeline</w:t>
            </w:r>
          </w:p>
        </w:tc>
        <w:tc>
          <w:tcPr>
            <w:tcW w:type="dxa" w:w="900"/>
          </w:tcPr>
          <w:p>
            <w:pPr>
              <w:keepLines/>
              <w:spacing w:after="0" w:line="276" w:lineRule="auto"/>
            </w:pPr>
            <w:r>
              <w:rPr>
                <w:rFonts w:ascii="Calibri" w:hAnsi="Calibri" w:eastAsia="Microsoft YaHei"/>
                <w:color w:val="0B2545"/>
                <w:sz w:val="13"/>
              </w:rPr>
              <w:t>not public</w:t>
            </w:r>
          </w:p>
        </w:tc>
        <w:tc>
          <w:tcPr>
            <w:tcW w:type="dxa" w:w="2600"/>
          </w:tcPr>
          <w:p>
            <w:pPr>
              <w:keepLines/>
              <w:spacing w:after="0" w:line="276" w:lineRule="auto"/>
            </w:pPr>
            <w:r>
              <w:rPr>
                <w:rFonts w:ascii="Calibri" w:hAnsi="Calibri" w:eastAsia="Microsoft YaHei"/>
                <w:color w:val="0B2545"/>
                <w:sz w:val="13"/>
              </w:rPr>
              <w:t>JET LIDAR反卷积和运行分析代码未公开。</w:t>
            </w:r>
          </w:p>
        </w:tc>
        <w:tc>
          <w:tcPr>
            <w:tcW w:type="dxa" w:w="2160"/>
          </w:tcPr>
          <w:p>
            <w:pPr>
              <w:keepLines/>
              <w:spacing w:after="0" w:line="276" w:lineRule="auto"/>
            </w:pPr>
            <w:r>
              <w:rPr>
                <w:rFonts w:ascii="Calibri" w:hAnsi="Calibri" w:eastAsia="Microsoft YaHei"/>
                <w:color w:val="0B2545"/>
                <w:sz w:val="13"/>
              </w:rPr>
              <w:t>未公开</w:t>
            </w:r>
          </w:p>
        </w:tc>
      </w:tr>
      <w:tr>
        <w:trPr>
          <w:cantSplit/>
        </w:trPr>
        <w:tc>
          <w:tcPr>
            <w:tcW w:type="dxa" w:w="1400"/>
          </w:tcPr>
          <w:p>
            <w:pPr>
              <w:keepLines/>
              <w:spacing w:after="0" w:line="276" w:lineRule="auto"/>
            </w:pPr>
            <w:r>
              <w:rPr>
                <w:rFonts w:ascii="Calibri" w:hAnsi="Calibri" w:eastAsia="Microsoft YaHei"/>
                <w:color w:val="0B2545"/>
                <w:sz w:val="13"/>
              </w:rPr>
              <w:t>装置专有分析/标定软件</w:t>
            </w:r>
          </w:p>
        </w:tc>
        <w:tc>
          <w:tcPr>
            <w:tcW w:type="dxa" w:w="1250"/>
          </w:tcPr>
          <w:p>
            <w:pPr>
              <w:keepLines/>
              <w:spacing w:after="0" w:line="276" w:lineRule="auto"/>
            </w:pPr>
            <w:r>
              <w:rPr>
                <w:rFonts w:ascii="Calibri" w:hAnsi="Calibri" w:eastAsia="Microsoft YaHei"/>
                <w:color w:val="0B2545"/>
                <w:sz w:val="13"/>
              </w:rPr>
              <w:t>not-public</w:t>
            </w:r>
          </w:p>
        </w:tc>
        <w:tc>
          <w:tcPr>
            <w:tcW w:type="dxa" w:w="1050"/>
          </w:tcPr>
          <w:p>
            <w:pPr>
              <w:keepLines/>
              <w:spacing w:after="0" w:line="276" w:lineRule="auto"/>
            </w:pPr>
            <w:r>
              <w:rPr>
                <w:rFonts w:ascii="Calibri" w:hAnsi="Calibri" w:eastAsia="Microsoft YaHei"/>
                <w:color w:val="0B2545"/>
                <w:sz w:val="13"/>
              </w:rPr>
              <w:t>operational-analysis-pipeline</w:t>
            </w:r>
          </w:p>
        </w:tc>
        <w:tc>
          <w:tcPr>
            <w:tcW w:type="dxa" w:w="900"/>
          </w:tcPr>
          <w:p>
            <w:pPr>
              <w:keepLines/>
              <w:spacing w:after="0" w:line="276" w:lineRule="auto"/>
            </w:pPr>
            <w:r>
              <w:rPr>
                <w:rFonts w:ascii="Calibri" w:hAnsi="Calibri" w:eastAsia="Microsoft YaHei"/>
                <w:color w:val="0B2545"/>
                <w:sz w:val="13"/>
              </w:rPr>
              <w:t>not public</w:t>
            </w:r>
          </w:p>
        </w:tc>
        <w:tc>
          <w:tcPr>
            <w:tcW w:type="dxa" w:w="2600"/>
          </w:tcPr>
          <w:p>
            <w:pPr>
              <w:keepLines/>
              <w:spacing w:after="0" w:line="276" w:lineRule="auto"/>
            </w:pPr>
            <w:r>
              <w:rPr>
                <w:rFonts w:ascii="Calibri" w:hAnsi="Calibri" w:eastAsia="Microsoft YaHei"/>
                <w:color w:val="0B2545"/>
                <w:sz w:val="13"/>
              </w:rPr>
              <w:t>实时解缠、振动补偿和PCS接口受控。</w:t>
            </w:r>
          </w:p>
        </w:tc>
        <w:tc>
          <w:tcPr>
            <w:tcW w:type="dxa" w:w="2160"/>
          </w:tcPr>
          <w:p>
            <w:pPr>
              <w:keepLines/>
              <w:spacing w:after="0" w:line="276" w:lineRule="auto"/>
            </w:pPr>
            <w:r>
              <w:rPr>
                <w:rFonts w:ascii="Calibri" w:hAnsi="Calibri" w:eastAsia="Microsoft YaHei"/>
                <w:color w:val="0B2545"/>
                <w:sz w:val="13"/>
              </w:rPr>
              <w:t>未公开</w:t>
            </w:r>
          </w:p>
        </w:tc>
      </w:tr>
      <w:tr>
        <w:trPr>
          <w:cantSplit/>
        </w:trPr>
        <w:tc>
          <w:tcPr>
            <w:tcW w:type="dxa" w:w="1400"/>
          </w:tcPr>
          <w:p>
            <w:pPr>
              <w:keepLines/>
              <w:spacing w:after="0" w:line="276" w:lineRule="auto"/>
            </w:pPr>
            <w:r>
              <w:rPr>
                <w:rFonts w:ascii="Calibri" w:hAnsi="Calibri" w:eastAsia="Microsoft YaHei"/>
                <w:color w:val="0B2545"/>
                <w:sz w:val="13"/>
              </w:rPr>
              <w:t>装置专有分析/标定软件</w:t>
            </w:r>
          </w:p>
        </w:tc>
        <w:tc>
          <w:tcPr>
            <w:tcW w:type="dxa" w:w="1250"/>
          </w:tcPr>
          <w:p>
            <w:pPr>
              <w:keepLines/>
              <w:spacing w:after="0" w:line="276" w:lineRule="auto"/>
            </w:pPr>
            <w:r>
              <w:rPr>
                <w:rFonts w:ascii="Calibri" w:hAnsi="Calibri" w:eastAsia="Microsoft YaHei"/>
                <w:color w:val="0B2545"/>
                <w:sz w:val="13"/>
              </w:rPr>
              <w:t>not-public</w:t>
            </w:r>
          </w:p>
        </w:tc>
        <w:tc>
          <w:tcPr>
            <w:tcW w:type="dxa" w:w="1050"/>
          </w:tcPr>
          <w:p>
            <w:pPr>
              <w:keepLines/>
              <w:spacing w:after="0" w:line="276" w:lineRule="auto"/>
            </w:pPr>
            <w:r>
              <w:rPr>
                <w:rFonts w:ascii="Calibri" w:hAnsi="Calibri" w:eastAsia="Microsoft YaHei"/>
                <w:color w:val="0B2545"/>
                <w:sz w:val="13"/>
              </w:rPr>
              <w:t>operational-analysis-pipeline</w:t>
            </w:r>
          </w:p>
        </w:tc>
        <w:tc>
          <w:tcPr>
            <w:tcW w:type="dxa" w:w="900"/>
          </w:tcPr>
          <w:p>
            <w:pPr>
              <w:keepLines/>
              <w:spacing w:after="0" w:line="276" w:lineRule="auto"/>
            </w:pPr>
            <w:r>
              <w:rPr>
                <w:rFonts w:ascii="Calibri" w:hAnsi="Calibri" w:eastAsia="Microsoft YaHei"/>
                <w:color w:val="0B2545"/>
                <w:sz w:val="13"/>
              </w:rPr>
              <w:t>not public</w:t>
            </w:r>
          </w:p>
        </w:tc>
        <w:tc>
          <w:tcPr>
            <w:tcW w:type="dxa" w:w="2600"/>
          </w:tcPr>
          <w:p>
            <w:pPr>
              <w:keepLines/>
              <w:spacing w:after="0" w:line="276" w:lineRule="auto"/>
            </w:pPr>
            <w:r>
              <w:rPr>
                <w:rFonts w:ascii="Calibri" w:hAnsi="Calibri" w:eastAsia="Microsoft YaHei"/>
                <w:color w:val="0B2545"/>
                <w:sz w:val="13"/>
              </w:rPr>
              <w:t>装置绝对标定库、射线追踪和实时事件算法未完整公开。</w:t>
            </w:r>
          </w:p>
        </w:tc>
        <w:tc>
          <w:tcPr>
            <w:tcW w:type="dxa" w:w="2160"/>
          </w:tcPr>
          <w:p>
            <w:pPr>
              <w:keepLines/>
              <w:spacing w:after="0" w:line="276" w:lineRule="auto"/>
            </w:pPr>
            <w:r>
              <w:rPr>
                <w:rFonts w:ascii="Calibri" w:hAnsi="Calibri" w:eastAsia="Microsoft YaHei"/>
                <w:color w:val="0B2545"/>
                <w:sz w:val="13"/>
              </w:rPr>
              <w:t>未公开</w:t>
            </w:r>
          </w:p>
        </w:tc>
      </w:tr>
      <w:tr>
        <w:trPr>
          <w:cantSplit/>
        </w:trPr>
        <w:tc>
          <w:tcPr>
            <w:tcW w:type="dxa" w:w="1400"/>
          </w:tcPr>
          <w:p>
            <w:pPr>
              <w:keepLines/>
              <w:spacing w:after="0" w:line="276" w:lineRule="auto"/>
            </w:pPr>
            <w:r>
              <w:rPr>
                <w:rFonts w:ascii="Calibri" w:hAnsi="Calibri" w:eastAsia="Microsoft YaHei"/>
                <w:color w:val="0B2545"/>
                <w:sz w:val="13"/>
              </w:rPr>
              <w:t>装置专有分析/标定软件</w:t>
            </w:r>
          </w:p>
        </w:tc>
        <w:tc>
          <w:tcPr>
            <w:tcW w:type="dxa" w:w="1250"/>
          </w:tcPr>
          <w:p>
            <w:pPr>
              <w:keepLines/>
              <w:spacing w:after="0" w:line="276" w:lineRule="auto"/>
            </w:pPr>
            <w:r>
              <w:rPr>
                <w:rFonts w:ascii="Calibri" w:hAnsi="Calibri" w:eastAsia="Microsoft YaHei"/>
                <w:color w:val="0B2545"/>
                <w:sz w:val="13"/>
              </w:rPr>
              <w:t>not-public</w:t>
            </w:r>
          </w:p>
        </w:tc>
        <w:tc>
          <w:tcPr>
            <w:tcW w:type="dxa" w:w="1050"/>
          </w:tcPr>
          <w:p>
            <w:pPr>
              <w:keepLines/>
              <w:spacing w:after="0" w:line="276" w:lineRule="auto"/>
            </w:pPr>
            <w:r>
              <w:rPr>
                <w:rFonts w:ascii="Calibri" w:hAnsi="Calibri" w:eastAsia="Microsoft YaHei"/>
                <w:color w:val="0B2545"/>
                <w:sz w:val="13"/>
              </w:rPr>
              <w:t>operational-analysis-pipeline</w:t>
            </w:r>
          </w:p>
        </w:tc>
        <w:tc>
          <w:tcPr>
            <w:tcW w:type="dxa" w:w="900"/>
          </w:tcPr>
          <w:p>
            <w:pPr>
              <w:keepLines/>
              <w:spacing w:after="0" w:line="276" w:lineRule="auto"/>
            </w:pPr>
            <w:r>
              <w:rPr>
                <w:rFonts w:ascii="Calibri" w:hAnsi="Calibri" w:eastAsia="Microsoft YaHei"/>
                <w:color w:val="0B2545"/>
                <w:sz w:val="13"/>
              </w:rPr>
              <w:t>not public</w:t>
            </w:r>
          </w:p>
        </w:tc>
        <w:tc>
          <w:tcPr>
            <w:tcW w:type="dxa" w:w="2600"/>
          </w:tcPr>
          <w:p>
            <w:pPr>
              <w:keepLines/>
              <w:spacing w:after="0" w:line="276" w:lineRule="auto"/>
            </w:pPr>
            <w:r>
              <w:rPr>
                <w:rFonts w:ascii="Calibri" w:hAnsi="Calibri" w:eastAsia="Microsoft YaHei"/>
                <w:color w:val="0B2545"/>
                <w:sz w:val="13"/>
              </w:rPr>
              <w:t>装置实时反演服务未作为可部署仓库发布。</w:t>
            </w:r>
          </w:p>
        </w:tc>
        <w:tc>
          <w:tcPr>
            <w:tcW w:type="dxa" w:w="2160"/>
          </w:tcPr>
          <w:p>
            <w:pPr>
              <w:keepLines/>
              <w:spacing w:after="0" w:line="276" w:lineRule="auto"/>
            </w:pPr>
            <w:r>
              <w:rPr>
                <w:rFonts w:ascii="Calibri" w:hAnsi="Calibri" w:eastAsia="Microsoft YaHei"/>
                <w:color w:val="0B2545"/>
                <w:sz w:val="13"/>
              </w:rPr>
              <w:t>未公开</w:t>
            </w:r>
          </w:p>
        </w:tc>
      </w:tr>
      <w:tr>
        <w:trPr>
          <w:cantSplit/>
        </w:trPr>
        <w:tc>
          <w:tcPr>
            <w:tcW w:type="dxa" w:w="1400"/>
          </w:tcPr>
          <w:p>
            <w:pPr>
              <w:keepLines/>
              <w:spacing w:after="0" w:line="276" w:lineRule="auto"/>
            </w:pPr>
            <w:r>
              <w:rPr>
                <w:rFonts w:ascii="Calibri" w:hAnsi="Calibri" w:eastAsia="Microsoft YaHei"/>
                <w:color w:val="0B2545"/>
                <w:sz w:val="13"/>
              </w:rPr>
              <w:t>OpenADAS</w:t>
            </w:r>
          </w:p>
        </w:tc>
        <w:tc>
          <w:tcPr>
            <w:tcW w:type="dxa" w:w="1250"/>
          </w:tcPr>
          <w:p>
            <w:pPr>
              <w:keepLines/>
              <w:spacing w:after="0" w:line="276" w:lineRule="auto"/>
            </w:pPr>
            <w:r>
              <w:rPr>
                <w:rFonts w:ascii="Calibri" w:hAnsi="Calibri" w:eastAsia="Microsoft YaHei"/>
                <w:color w:val="0B2545"/>
                <w:sz w:val="13"/>
              </w:rPr>
              <w:t>official-enabling</w:t>
            </w:r>
          </w:p>
        </w:tc>
        <w:tc>
          <w:tcPr>
            <w:tcW w:type="dxa" w:w="1050"/>
          </w:tcPr>
          <w:p>
            <w:pPr>
              <w:keepLines/>
              <w:spacing w:after="0" w:line="276" w:lineRule="auto"/>
            </w:pPr>
            <w:r>
              <w:rPr>
                <w:rFonts w:ascii="Calibri" w:hAnsi="Calibri" w:eastAsia="Microsoft YaHei"/>
                <w:color w:val="0B2545"/>
                <w:sz w:val="13"/>
              </w:rPr>
              <w:t>atomic-data-service</w:t>
            </w:r>
          </w:p>
        </w:tc>
        <w:tc>
          <w:tcPr>
            <w:tcW w:type="dxa" w:w="900"/>
          </w:tcPr>
          <w:p>
            <w:pPr>
              <w:keepLines/>
              <w:spacing w:after="0" w:line="276" w:lineRule="auto"/>
            </w:pPr>
            <w:r>
              <w:rPr>
                <w:rFonts w:ascii="Calibri" w:hAnsi="Calibri" w:eastAsia="Microsoft YaHei"/>
                <w:color w:val="0B2545"/>
                <w:sz w:val="13"/>
              </w:rPr>
              <w:t>public/registration</w:t>
            </w:r>
          </w:p>
        </w:tc>
        <w:tc>
          <w:tcPr>
            <w:tcW w:type="dxa" w:w="2600"/>
          </w:tcPr>
          <w:p>
            <w:pPr>
              <w:keepLines/>
              <w:spacing w:after="0" w:line="276" w:lineRule="auto"/>
            </w:pPr>
            <w:r>
              <w:rPr>
                <w:rFonts w:ascii="Calibri" w:hAnsi="Calibri" w:eastAsia="Microsoft YaHei"/>
                <w:color w:val="0B2545"/>
                <w:sz w:val="13"/>
              </w:rPr>
              <w:t>电荷交换与谱线原子数据，不是装置运行代码。</w:t>
            </w:r>
          </w:p>
        </w:tc>
        <w:tc>
          <w:tcPr>
            <w:tcW w:type="dxa" w:w="2160"/>
          </w:tcPr>
          <w:p>
            <w:pPr>
              <w:keepLines/>
              <w:spacing w:after="0" w:line="276" w:lineRule="auto"/>
            </w:pPr>
            <w:hyperlink r:id="rId60">
              <w:r>
                <w:rPr>
                  <w:rFonts w:ascii="Calibri" w:hAnsi="Calibri" w:eastAsia="Microsoft YaHei"/>
                  <w:color w:val="008C95"/>
                  <w:u w:val="single"/>
                </w:rPr>
                <w:t>打开原始来源 ↗</w:t>
              </w:r>
            </w:hyperlink>
          </w:p>
        </w:tc>
      </w:tr>
      <w:tr>
        <w:trPr>
          <w:cantSplit/>
        </w:trPr>
        <w:tc>
          <w:tcPr>
            <w:tcW w:type="dxa" w:w="1400"/>
          </w:tcPr>
          <w:p>
            <w:pPr>
              <w:keepLines/>
              <w:spacing w:after="0" w:line="276" w:lineRule="auto"/>
            </w:pPr>
            <w:r>
              <w:rPr>
                <w:rFonts w:ascii="Calibri" w:hAnsi="Calibri" w:eastAsia="Microsoft YaHei"/>
                <w:color w:val="0B2545"/>
                <w:sz w:val="13"/>
              </w:rPr>
              <w:t>装置专有分析/标定软件</w:t>
            </w:r>
          </w:p>
        </w:tc>
        <w:tc>
          <w:tcPr>
            <w:tcW w:type="dxa" w:w="1250"/>
          </w:tcPr>
          <w:p>
            <w:pPr>
              <w:keepLines/>
              <w:spacing w:after="0" w:line="276" w:lineRule="auto"/>
            </w:pPr>
            <w:r>
              <w:rPr>
                <w:rFonts w:ascii="Calibri" w:hAnsi="Calibri" w:eastAsia="Microsoft YaHei"/>
                <w:color w:val="0B2545"/>
                <w:sz w:val="13"/>
              </w:rPr>
              <w:t>not-public</w:t>
            </w:r>
          </w:p>
        </w:tc>
        <w:tc>
          <w:tcPr>
            <w:tcW w:type="dxa" w:w="1050"/>
          </w:tcPr>
          <w:p>
            <w:pPr>
              <w:keepLines/>
              <w:spacing w:after="0" w:line="276" w:lineRule="auto"/>
            </w:pPr>
            <w:r>
              <w:rPr>
                <w:rFonts w:ascii="Calibri" w:hAnsi="Calibri" w:eastAsia="Microsoft YaHei"/>
                <w:color w:val="0B2545"/>
                <w:sz w:val="13"/>
              </w:rPr>
              <w:t>operational-analysis-pipeline</w:t>
            </w:r>
          </w:p>
        </w:tc>
        <w:tc>
          <w:tcPr>
            <w:tcW w:type="dxa" w:w="900"/>
          </w:tcPr>
          <w:p>
            <w:pPr>
              <w:keepLines/>
              <w:spacing w:after="0" w:line="276" w:lineRule="auto"/>
            </w:pPr>
            <w:r>
              <w:rPr>
                <w:rFonts w:ascii="Calibri" w:hAnsi="Calibri" w:eastAsia="Microsoft YaHei"/>
                <w:color w:val="0B2545"/>
                <w:sz w:val="13"/>
              </w:rPr>
              <w:t>not public</w:t>
            </w:r>
          </w:p>
        </w:tc>
        <w:tc>
          <w:tcPr>
            <w:tcW w:type="dxa" w:w="2600"/>
          </w:tcPr>
          <w:p>
            <w:pPr>
              <w:keepLines/>
              <w:spacing w:after="0" w:line="276" w:lineRule="auto"/>
            </w:pPr>
            <w:r>
              <w:rPr>
                <w:rFonts w:ascii="Calibri" w:hAnsi="Calibri" w:eastAsia="Microsoft YaHei"/>
                <w:color w:val="0B2545"/>
                <w:sz w:val="13"/>
              </w:rPr>
              <w:t>生产谱拟合和几何库未公开。</w:t>
            </w:r>
          </w:p>
        </w:tc>
        <w:tc>
          <w:tcPr>
            <w:tcW w:type="dxa" w:w="2160"/>
          </w:tcPr>
          <w:p>
            <w:pPr>
              <w:keepLines/>
              <w:spacing w:after="0" w:line="276" w:lineRule="auto"/>
            </w:pPr>
            <w:r>
              <w:rPr>
                <w:rFonts w:ascii="Calibri" w:hAnsi="Calibri" w:eastAsia="Microsoft YaHei"/>
                <w:color w:val="0B2545"/>
                <w:sz w:val="13"/>
              </w:rPr>
              <w:t>未公开</w:t>
            </w:r>
          </w:p>
        </w:tc>
      </w:tr>
      <w:tr>
        <w:trPr>
          <w:cantSplit/>
        </w:trPr>
        <w:tc>
          <w:tcPr>
            <w:tcW w:type="dxa" w:w="1400"/>
          </w:tcPr>
          <w:p>
            <w:pPr>
              <w:keepLines/>
              <w:spacing w:after="0" w:line="276" w:lineRule="auto"/>
            </w:pPr>
            <w:r>
              <w:rPr>
                <w:rFonts w:ascii="Calibri" w:hAnsi="Calibri" w:eastAsia="Microsoft YaHei"/>
                <w:color w:val="0B2545"/>
                <w:sz w:val="13"/>
              </w:rPr>
              <w:t>OpenADAS</w:t>
            </w:r>
          </w:p>
        </w:tc>
        <w:tc>
          <w:tcPr>
            <w:tcW w:type="dxa" w:w="1250"/>
          </w:tcPr>
          <w:p>
            <w:pPr>
              <w:keepLines/>
              <w:spacing w:after="0" w:line="276" w:lineRule="auto"/>
            </w:pPr>
            <w:r>
              <w:rPr>
                <w:rFonts w:ascii="Calibri" w:hAnsi="Calibri" w:eastAsia="Microsoft YaHei"/>
                <w:color w:val="0B2545"/>
                <w:sz w:val="13"/>
              </w:rPr>
              <w:t>official-enabling</w:t>
            </w:r>
          </w:p>
        </w:tc>
        <w:tc>
          <w:tcPr>
            <w:tcW w:type="dxa" w:w="1050"/>
          </w:tcPr>
          <w:p>
            <w:pPr>
              <w:keepLines/>
              <w:spacing w:after="0" w:line="276" w:lineRule="auto"/>
            </w:pPr>
            <w:r>
              <w:rPr>
                <w:rFonts w:ascii="Calibri" w:hAnsi="Calibri" w:eastAsia="Microsoft YaHei"/>
                <w:color w:val="0B2545"/>
                <w:sz w:val="13"/>
              </w:rPr>
              <w:t>atomic-data-service</w:t>
            </w:r>
          </w:p>
        </w:tc>
        <w:tc>
          <w:tcPr>
            <w:tcW w:type="dxa" w:w="900"/>
          </w:tcPr>
          <w:p>
            <w:pPr>
              <w:keepLines/>
              <w:spacing w:after="0" w:line="276" w:lineRule="auto"/>
            </w:pPr>
            <w:r>
              <w:rPr>
                <w:rFonts w:ascii="Calibri" w:hAnsi="Calibri" w:eastAsia="Microsoft YaHei"/>
                <w:color w:val="0B2545"/>
                <w:sz w:val="13"/>
              </w:rPr>
              <w:t>public</w:t>
            </w:r>
          </w:p>
        </w:tc>
        <w:tc>
          <w:tcPr>
            <w:tcW w:type="dxa" w:w="2600"/>
          </w:tcPr>
          <w:p>
            <w:pPr>
              <w:keepLines/>
              <w:spacing w:after="0" w:line="276" w:lineRule="auto"/>
            </w:pPr>
            <w:r>
              <w:rPr>
                <w:rFonts w:ascii="Calibri" w:hAnsi="Calibri" w:eastAsia="Microsoft YaHei"/>
                <w:color w:val="0B2545"/>
                <w:sz w:val="13"/>
              </w:rPr>
              <w:t>谱线与激发/电离数据。</w:t>
            </w:r>
          </w:p>
        </w:tc>
        <w:tc>
          <w:tcPr>
            <w:tcW w:type="dxa" w:w="2160"/>
          </w:tcPr>
          <w:p>
            <w:pPr>
              <w:keepLines/>
              <w:spacing w:after="0" w:line="276" w:lineRule="auto"/>
            </w:pPr>
            <w:hyperlink r:id="rId60">
              <w:r>
                <w:rPr>
                  <w:rFonts w:ascii="Calibri" w:hAnsi="Calibri" w:eastAsia="Microsoft YaHei"/>
                  <w:color w:val="008C95"/>
                  <w:u w:val="single"/>
                </w:rPr>
                <w:t>打开原始来源 ↗</w:t>
              </w:r>
            </w:hyperlink>
          </w:p>
        </w:tc>
      </w:tr>
      <w:tr>
        <w:trPr>
          <w:cantSplit/>
        </w:trPr>
        <w:tc>
          <w:tcPr>
            <w:tcW w:type="dxa" w:w="1400"/>
          </w:tcPr>
          <w:p>
            <w:pPr>
              <w:keepLines/>
              <w:spacing w:after="0" w:line="276" w:lineRule="auto"/>
            </w:pPr>
            <w:r>
              <w:rPr>
                <w:rFonts w:ascii="Calibri" w:hAnsi="Calibri" w:eastAsia="Microsoft YaHei"/>
                <w:color w:val="0B2545"/>
                <w:sz w:val="13"/>
              </w:rPr>
              <w:t>装置专有分析/标定软件</w:t>
            </w:r>
          </w:p>
        </w:tc>
        <w:tc>
          <w:tcPr>
            <w:tcW w:type="dxa" w:w="1250"/>
          </w:tcPr>
          <w:p>
            <w:pPr>
              <w:keepLines/>
              <w:spacing w:after="0" w:line="276" w:lineRule="auto"/>
            </w:pPr>
            <w:r>
              <w:rPr>
                <w:rFonts w:ascii="Calibri" w:hAnsi="Calibri" w:eastAsia="Microsoft YaHei"/>
                <w:color w:val="0B2545"/>
                <w:sz w:val="13"/>
              </w:rPr>
              <w:t>not-public</w:t>
            </w:r>
          </w:p>
        </w:tc>
        <w:tc>
          <w:tcPr>
            <w:tcW w:type="dxa" w:w="1050"/>
          </w:tcPr>
          <w:p>
            <w:pPr>
              <w:keepLines/>
              <w:spacing w:after="0" w:line="276" w:lineRule="auto"/>
            </w:pPr>
            <w:r>
              <w:rPr>
                <w:rFonts w:ascii="Calibri" w:hAnsi="Calibri" w:eastAsia="Microsoft YaHei"/>
                <w:color w:val="0B2545"/>
                <w:sz w:val="13"/>
              </w:rPr>
              <w:t>operational-analysis-pipeline</w:t>
            </w:r>
          </w:p>
        </w:tc>
        <w:tc>
          <w:tcPr>
            <w:tcW w:type="dxa" w:w="900"/>
          </w:tcPr>
          <w:p>
            <w:pPr>
              <w:keepLines/>
              <w:spacing w:after="0" w:line="276" w:lineRule="auto"/>
            </w:pPr>
            <w:r>
              <w:rPr>
                <w:rFonts w:ascii="Calibri" w:hAnsi="Calibri" w:eastAsia="Microsoft YaHei"/>
                <w:color w:val="0B2545"/>
                <w:sz w:val="13"/>
              </w:rPr>
              <w:t>not public</w:t>
            </w:r>
          </w:p>
        </w:tc>
        <w:tc>
          <w:tcPr>
            <w:tcW w:type="dxa" w:w="2600"/>
          </w:tcPr>
          <w:p>
            <w:pPr>
              <w:keepLines/>
              <w:spacing w:after="0" w:line="276" w:lineRule="auto"/>
            </w:pPr>
            <w:r>
              <w:rPr>
                <w:rFonts w:ascii="Calibri" w:hAnsi="Calibri" w:eastAsia="Microsoft YaHei"/>
                <w:color w:val="0B2545"/>
                <w:sz w:val="13"/>
              </w:rPr>
              <w:t>晶体射线追踪和生产层析代码未公开。</w:t>
            </w:r>
          </w:p>
        </w:tc>
        <w:tc>
          <w:tcPr>
            <w:tcW w:type="dxa" w:w="2160"/>
          </w:tcPr>
          <w:p>
            <w:pPr>
              <w:keepLines/>
              <w:spacing w:after="0" w:line="276" w:lineRule="auto"/>
            </w:pPr>
            <w:r>
              <w:rPr>
                <w:rFonts w:ascii="Calibri" w:hAnsi="Calibri" w:eastAsia="Microsoft YaHei"/>
                <w:color w:val="0B2545"/>
                <w:sz w:val="13"/>
              </w:rPr>
              <w:t>未公开</w:t>
            </w:r>
          </w:p>
        </w:tc>
      </w:tr>
      <w:tr>
        <w:trPr>
          <w:cantSplit/>
        </w:trPr>
        <w:tc>
          <w:tcPr>
            <w:tcW w:type="dxa" w:w="1400"/>
          </w:tcPr>
          <w:p>
            <w:pPr>
              <w:keepLines/>
              <w:spacing w:after="0" w:line="276" w:lineRule="auto"/>
            </w:pPr>
            <w:r>
              <w:rPr>
                <w:rFonts w:ascii="Calibri" w:hAnsi="Calibri" w:eastAsia="Microsoft YaHei"/>
                <w:color w:val="0B2545"/>
                <w:sz w:val="13"/>
              </w:rPr>
              <w:t>FIDASIM</w:t>
            </w:r>
          </w:p>
        </w:tc>
        <w:tc>
          <w:tcPr>
            <w:tcW w:type="dxa" w:w="1250"/>
          </w:tcPr>
          <w:p>
            <w:pPr>
              <w:keepLines/>
              <w:spacing w:after="0" w:line="276" w:lineRule="auto"/>
            </w:pPr>
            <w:r>
              <w:rPr>
                <w:rFonts w:ascii="Calibri" w:hAnsi="Calibri" w:eastAsia="Microsoft YaHei"/>
                <w:color w:val="0B2545"/>
                <w:sz w:val="13"/>
              </w:rPr>
              <w:t>official-direct</w:t>
            </w:r>
          </w:p>
        </w:tc>
        <w:tc>
          <w:tcPr>
            <w:tcW w:type="dxa" w:w="1050"/>
          </w:tcPr>
          <w:p>
            <w:pPr>
              <w:keepLines/>
              <w:spacing w:after="0" w:line="276" w:lineRule="auto"/>
            </w:pPr>
            <w:r>
              <w:rPr>
                <w:rFonts w:ascii="Calibri" w:hAnsi="Calibri" w:eastAsia="Microsoft YaHei"/>
                <w:color w:val="0B2545"/>
                <w:sz w:val="13"/>
              </w:rPr>
              <w:t>open-source-fast-ion-diagnostic-forward-model</w:t>
            </w:r>
          </w:p>
        </w:tc>
        <w:tc>
          <w:tcPr>
            <w:tcW w:type="dxa" w:w="900"/>
          </w:tcPr>
          <w:p>
            <w:pPr>
              <w:keepLines/>
              <w:spacing w:after="0" w:line="276" w:lineRule="auto"/>
            </w:pPr>
            <w:r>
              <w:rPr>
                <w:rFonts w:ascii="Calibri" w:hAnsi="Calibri" w:eastAsia="Microsoft YaHei"/>
                <w:color w:val="0B2545"/>
                <w:sz w:val="13"/>
              </w:rPr>
              <w:t>public</w:t>
            </w:r>
          </w:p>
        </w:tc>
        <w:tc>
          <w:tcPr>
            <w:tcW w:type="dxa" w:w="2600"/>
          </w:tcPr>
          <w:p>
            <w:pPr>
              <w:keepLines/>
              <w:spacing w:after="0" w:line="276" w:lineRule="auto"/>
            </w:pPr>
            <w:r>
              <w:rPr>
                <w:rFonts w:ascii="Calibri" w:hAnsi="Calibri" w:eastAsia="Microsoft YaHei"/>
                <w:color w:val="0B2545"/>
                <w:sz w:val="13"/>
              </w:rPr>
              <w:t>NPA/FIDA合成观测与中性响应。</w:t>
            </w:r>
          </w:p>
        </w:tc>
        <w:tc>
          <w:tcPr>
            <w:tcW w:type="dxa" w:w="2160"/>
          </w:tcPr>
          <w:p>
            <w:pPr>
              <w:keepLines/>
              <w:spacing w:after="0" w:line="276" w:lineRule="auto"/>
            </w:pPr>
            <w:hyperlink r:id="rId66">
              <w:r>
                <w:rPr>
                  <w:rFonts w:ascii="Calibri" w:hAnsi="Calibri" w:eastAsia="Microsoft YaHei"/>
                  <w:color w:val="008C95"/>
                  <w:u w:val="single"/>
                </w:rPr>
                <w:t>打开原始来源 ↗</w:t>
              </w:r>
            </w:hyperlink>
          </w:p>
        </w:tc>
      </w:tr>
      <w:tr>
        <w:trPr>
          <w:cantSplit/>
        </w:trPr>
        <w:tc>
          <w:tcPr>
            <w:tcW w:type="dxa" w:w="1400"/>
          </w:tcPr>
          <w:p>
            <w:pPr>
              <w:keepLines/>
              <w:spacing w:after="0" w:line="276" w:lineRule="auto"/>
            </w:pPr>
            <w:r>
              <w:rPr>
                <w:rFonts w:ascii="Calibri" w:hAnsi="Calibri" w:eastAsia="Microsoft YaHei"/>
                <w:color w:val="0B2545"/>
                <w:sz w:val="13"/>
              </w:rPr>
              <w:t>装置专有分析/标定软件</w:t>
            </w:r>
          </w:p>
        </w:tc>
        <w:tc>
          <w:tcPr>
            <w:tcW w:type="dxa" w:w="1250"/>
          </w:tcPr>
          <w:p>
            <w:pPr>
              <w:keepLines/>
              <w:spacing w:after="0" w:line="276" w:lineRule="auto"/>
            </w:pPr>
            <w:r>
              <w:rPr>
                <w:rFonts w:ascii="Calibri" w:hAnsi="Calibri" w:eastAsia="Microsoft YaHei"/>
                <w:color w:val="0B2545"/>
                <w:sz w:val="13"/>
              </w:rPr>
              <w:t>not-public</w:t>
            </w:r>
          </w:p>
        </w:tc>
        <w:tc>
          <w:tcPr>
            <w:tcW w:type="dxa" w:w="1050"/>
          </w:tcPr>
          <w:p>
            <w:pPr>
              <w:keepLines/>
              <w:spacing w:after="0" w:line="276" w:lineRule="auto"/>
            </w:pPr>
            <w:r>
              <w:rPr>
                <w:rFonts w:ascii="Calibri" w:hAnsi="Calibri" w:eastAsia="Microsoft YaHei"/>
                <w:color w:val="0B2545"/>
                <w:sz w:val="13"/>
              </w:rPr>
              <w:t>operational-analysis-pipeline</w:t>
            </w:r>
          </w:p>
        </w:tc>
        <w:tc>
          <w:tcPr>
            <w:tcW w:type="dxa" w:w="900"/>
          </w:tcPr>
          <w:p>
            <w:pPr>
              <w:keepLines/>
              <w:spacing w:after="0" w:line="276" w:lineRule="auto"/>
            </w:pPr>
            <w:r>
              <w:rPr>
                <w:rFonts w:ascii="Calibri" w:hAnsi="Calibri" w:eastAsia="Microsoft YaHei"/>
                <w:color w:val="0B2545"/>
                <w:sz w:val="13"/>
              </w:rPr>
              <w:t>not public</w:t>
            </w:r>
          </w:p>
        </w:tc>
        <w:tc>
          <w:tcPr>
            <w:tcW w:type="dxa" w:w="2600"/>
          </w:tcPr>
          <w:p>
            <w:pPr>
              <w:keepLines/>
              <w:spacing w:after="0" w:line="276" w:lineRule="auto"/>
            </w:pPr>
            <w:r>
              <w:rPr>
                <w:rFonts w:ascii="Calibri" w:hAnsi="Calibri" w:eastAsia="Microsoft YaHei"/>
                <w:color w:val="0B2545"/>
                <w:sz w:val="13"/>
              </w:rPr>
              <w:t>硬件控制和生产反演未公开。</w:t>
            </w:r>
          </w:p>
        </w:tc>
        <w:tc>
          <w:tcPr>
            <w:tcW w:type="dxa" w:w="2160"/>
          </w:tcPr>
          <w:p>
            <w:pPr>
              <w:keepLines/>
              <w:spacing w:after="0" w:line="276" w:lineRule="auto"/>
            </w:pPr>
            <w:r>
              <w:rPr>
                <w:rFonts w:ascii="Calibri" w:hAnsi="Calibri" w:eastAsia="Microsoft YaHei"/>
                <w:color w:val="0B2545"/>
                <w:sz w:val="13"/>
              </w:rPr>
              <w:t>未公开</w:t>
            </w:r>
          </w:p>
        </w:tc>
      </w:tr>
      <w:tr>
        <w:trPr>
          <w:cantSplit/>
        </w:trPr>
        <w:tc>
          <w:tcPr>
            <w:tcW w:type="dxa" w:w="1400"/>
          </w:tcPr>
          <w:p>
            <w:pPr>
              <w:keepLines/>
              <w:spacing w:after="0" w:line="276" w:lineRule="auto"/>
            </w:pPr>
            <w:r>
              <w:rPr>
                <w:rFonts w:ascii="Calibri" w:hAnsi="Calibri" w:eastAsia="Microsoft YaHei"/>
                <w:color w:val="0B2545"/>
                <w:sz w:val="13"/>
              </w:rPr>
              <w:t>FIDASIM</w:t>
            </w:r>
          </w:p>
        </w:tc>
        <w:tc>
          <w:tcPr>
            <w:tcW w:type="dxa" w:w="1250"/>
          </w:tcPr>
          <w:p>
            <w:pPr>
              <w:keepLines/>
              <w:spacing w:after="0" w:line="276" w:lineRule="auto"/>
            </w:pPr>
            <w:r>
              <w:rPr>
                <w:rFonts w:ascii="Calibri" w:hAnsi="Calibri" w:eastAsia="Microsoft YaHei"/>
                <w:color w:val="0B2545"/>
                <w:sz w:val="13"/>
              </w:rPr>
              <w:t>official-direct</w:t>
            </w:r>
          </w:p>
        </w:tc>
        <w:tc>
          <w:tcPr>
            <w:tcW w:type="dxa" w:w="1050"/>
          </w:tcPr>
          <w:p>
            <w:pPr>
              <w:keepLines/>
              <w:spacing w:after="0" w:line="276" w:lineRule="auto"/>
            </w:pPr>
            <w:r>
              <w:rPr>
                <w:rFonts w:ascii="Calibri" w:hAnsi="Calibri" w:eastAsia="Microsoft YaHei"/>
                <w:color w:val="0B2545"/>
                <w:sz w:val="13"/>
              </w:rPr>
              <w:t>open-source-diagnostic-forward-model</w:t>
            </w:r>
          </w:p>
        </w:tc>
        <w:tc>
          <w:tcPr>
            <w:tcW w:type="dxa" w:w="900"/>
          </w:tcPr>
          <w:p>
            <w:pPr>
              <w:keepLines/>
              <w:spacing w:after="0" w:line="276" w:lineRule="auto"/>
            </w:pPr>
            <w:r>
              <w:rPr>
                <w:rFonts w:ascii="Calibri" w:hAnsi="Calibri" w:eastAsia="Microsoft YaHei"/>
                <w:color w:val="0B2545"/>
                <w:sz w:val="13"/>
              </w:rPr>
              <w:t>public</w:t>
            </w:r>
          </w:p>
        </w:tc>
        <w:tc>
          <w:tcPr>
            <w:tcW w:type="dxa" w:w="2600"/>
          </w:tcPr>
          <w:p>
            <w:pPr>
              <w:keepLines/>
              <w:spacing w:after="0" w:line="276" w:lineRule="auto"/>
            </w:pPr>
            <w:r>
              <w:rPr>
                <w:rFonts w:ascii="Calibri" w:hAnsi="Calibri" w:eastAsia="Microsoft YaHei"/>
                <w:color w:val="0B2545"/>
                <w:sz w:val="13"/>
              </w:rPr>
              <w:t>MICER/CER合成谱。</w:t>
            </w:r>
          </w:p>
        </w:tc>
        <w:tc>
          <w:tcPr>
            <w:tcW w:type="dxa" w:w="2160"/>
          </w:tcPr>
          <w:p>
            <w:pPr>
              <w:keepLines/>
              <w:spacing w:after="0" w:line="276" w:lineRule="auto"/>
            </w:pPr>
            <w:hyperlink r:id="rId66">
              <w:r>
                <w:rPr>
                  <w:rFonts w:ascii="Calibri" w:hAnsi="Calibri" w:eastAsia="Microsoft YaHei"/>
                  <w:color w:val="008C95"/>
                  <w:u w:val="single"/>
                </w:rPr>
                <w:t>打开原始来源 ↗</w:t>
              </w:r>
            </w:hyperlink>
          </w:p>
        </w:tc>
      </w:tr>
      <w:tr>
        <w:trPr>
          <w:cantSplit/>
        </w:trPr>
        <w:tc>
          <w:tcPr>
            <w:tcW w:type="dxa" w:w="1400"/>
          </w:tcPr>
          <w:p>
            <w:pPr>
              <w:keepLines/>
              <w:spacing w:after="0" w:line="276" w:lineRule="auto"/>
            </w:pPr>
            <w:r>
              <w:rPr>
                <w:rFonts w:ascii="Calibri" w:hAnsi="Calibri" w:eastAsia="Microsoft YaHei"/>
                <w:color w:val="0B2545"/>
                <w:sz w:val="13"/>
              </w:rPr>
              <w:t>OpenADAS</w:t>
            </w:r>
          </w:p>
        </w:tc>
        <w:tc>
          <w:tcPr>
            <w:tcW w:type="dxa" w:w="1250"/>
          </w:tcPr>
          <w:p>
            <w:pPr>
              <w:keepLines/>
              <w:spacing w:after="0" w:line="276" w:lineRule="auto"/>
            </w:pPr>
            <w:r>
              <w:rPr>
                <w:rFonts w:ascii="Calibri" w:hAnsi="Calibri" w:eastAsia="Microsoft YaHei"/>
                <w:color w:val="0B2545"/>
                <w:sz w:val="13"/>
              </w:rPr>
              <w:t>official-enabling</w:t>
            </w:r>
          </w:p>
        </w:tc>
        <w:tc>
          <w:tcPr>
            <w:tcW w:type="dxa" w:w="1050"/>
          </w:tcPr>
          <w:p>
            <w:pPr>
              <w:keepLines/>
              <w:spacing w:after="0" w:line="276" w:lineRule="auto"/>
            </w:pPr>
            <w:r>
              <w:rPr>
                <w:rFonts w:ascii="Calibri" w:hAnsi="Calibri" w:eastAsia="Microsoft YaHei"/>
                <w:color w:val="0B2545"/>
                <w:sz w:val="13"/>
              </w:rPr>
              <w:t>atomic-data-service</w:t>
            </w:r>
          </w:p>
        </w:tc>
        <w:tc>
          <w:tcPr>
            <w:tcW w:type="dxa" w:w="900"/>
          </w:tcPr>
          <w:p>
            <w:pPr>
              <w:keepLines/>
              <w:spacing w:after="0" w:line="276" w:lineRule="auto"/>
            </w:pPr>
            <w:r>
              <w:rPr>
                <w:rFonts w:ascii="Calibri" w:hAnsi="Calibri" w:eastAsia="Microsoft YaHei"/>
                <w:color w:val="0B2545"/>
                <w:sz w:val="13"/>
              </w:rPr>
              <w:t>public</w:t>
            </w:r>
          </w:p>
        </w:tc>
        <w:tc>
          <w:tcPr>
            <w:tcW w:type="dxa" w:w="2600"/>
          </w:tcPr>
          <w:p>
            <w:pPr>
              <w:keepLines/>
              <w:spacing w:after="0" w:line="276" w:lineRule="auto"/>
            </w:pPr>
            <w:r>
              <w:rPr>
                <w:rFonts w:ascii="Calibri" w:hAnsi="Calibri" w:eastAsia="Microsoft YaHei"/>
                <w:color w:val="0B2545"/>
                <w:sz w:val="13"/>
              </w:rPr>
              <w:t>原子速率。</w:t>
            </w:r>
          </w:p>
        </w:tc>
        <w:tc>
          <w:tcPr>
            <w:tcW w:type="dxa" w:w="2160"/>
          </w:tcPr>
          <w:p>
            <w:pPr>
              <w:keepLines/>
              <w:spacing w:after="0" w:line="276" w:lineRule="auto"/>
            </w:pPr>
            <w:hyperlink r:id="rId60">
              <w:r>
                <w:rPr>
                  <w:rFonts w:ascii="Calibri" w:hAnsi="Calibri" w:eastAsia="Microsoft YaHei"/>
                  <w:color w:val="008C95"/>
                  <w:u w:val="single"/>
                </w:rPr>
                <w:t>打开原始来源 ↗</w:t>
              </w:r>
            </w:hyperlink>
          </w:p>
        </w:tc>
      </w:tr>
      <w:tr>
        <w:trPr>
          <w:cantSplit/>
        </w:trPr>
        <w:tc>
          <w:tcPr>
            <w:tcW w:type="dxa" w:w="1400"/>
          </w:tcPr>
          <w:p>
            <w:pPr>
              <w:keepLines/>
              <w:spacing w:after="0" w:line="276" w:lineRule="auto"/>
            </w:pPr>
            <w:r>
              <w:rPr>
                <w:rFonts w:ascii="Calibri" w:hAnsi="Calibri" w:eastAsia="Microsoft YaHei"/>
                <w:color w:val="0B2545"/>
                <w:sz w:val="13"/>
              </w:rPr>
              <w:t>FIDASIM</w:t>
            </w:r>
          </w:p>
        </w:tc>
        <w:tc>
          <w:tcPr>
            <w:tcW w:type="dxa" w:w="1250"/>
          </w:tcPr>
          <w:p>
            <w:pPr>
              <w:keepLines/>
              <w:spacing w:after="0" w:line="276" w:lineRule="auto"/>
            </w:pPr>
            <w:r>
              <w:rPr>
                <w:rFonts w:ascii="Calibri" w:hAnsi="Calibri" w:eastAsia="Microsoft YaHei"/>
                <w:color w:val="0B2545"/>
                <w:sz w:val="13"/>
              </w:rPr>
              <w:t>official-enabling</w:t>
            </w:r>
          </w:p>
        </w:tc>
        <w:tc>
          <w:tcPr>
            <w:tcW w:type="dxa" w:w="1050"/>
          </w:tcPr>
          <w:p>
            <w:pPr>
              <w:keepLines/>
              <w:spacing w:after="0" w:line="276" w:lineRule="auto"/>
            </w:pPr>
            <w:r>
              <w:rPr>
                <w:rFonts w:ascii="Calibri" w:hAnsi="Calibri" w:eastAsia="Microsoft YaHei"/>
                <w:color w:val="0B2545"/>
                <w:sz w:val="13"/>
              </w:rPr>
              <w:t>open-source-neutral-beam-forward-model</w:t>
            </w:r>
          </w:p>
        </w:tc>
        <w:tc>
          <w:tcPr>
            <w:tcW w:type="dxa" w:w="900"/>
          </w:tcPr>
          <w:p>
            <w:pPr>
              <w:keepLines/>
              <w:spacing w:after="0" w:line="276" w:lineRule="auto"/>
            </w:pPr>
            <w:r>
              <w:rPr>
                <w:rFonts w:ascii="Calibri" w:hAnsi="Calibri" w:eastAsia="Microsoft YaHei"/>
                <w:color w:val="0B2545"/>
                <w:sz w:val="13"/>
              </w:rPr>
              <w:t>public</w:t>
            </w:r>
          </w:p>
        </w:tc>
        <w:tc>
          <w:tcPr>
            <w:tcW w:type="dxa" w:w="2600"/>
          </w:tcPr>
          <w:p>
            <w:pPr>
              <w:keepLines/>
              <w:spacing w:after="0" w:line="276" w:lineRule="auto"/>
            </w:pPr>
            <w:r>
              <w:rPr>
                <w:rFonts w:ascii="Calibri" w:hAnsi="Calibri" w:eastAsia="Microsoft YaHei"/>
                <w:color w:val="0B2545"/>
                <w:sz w:val="13"/>
              </w:rPr>
              <w:t>束传播与CXRS合成信号；非ITER控制软件。</w:t>
            </w:r>
          </w:p>
        </w:tc>
        <w:tc>
          <w:tcPr>
            <w:tcW w:type="dxa" w:w="2160"/>
          </w:tcPr>
          <w:p>
            <w:pPr>
              <w:keepLines/>
              <w:spacing w:after="0" w:line="276" w:lineRule="auto"/>
            </w:pPr>
            <w:hyperlink r:id="rId66">
              <w:r>
                <w:rPr>
                  <w:rFonts w:ascii="Calibri" w:hAnsi="Calibri" w:eastAsia="Microsoft YaHei"/>
                  <w:color w:val="008C95"/>
                  <w:u w:val="single"/>
                </w:rPr>
                <w:t>打开原始来源 ↗</w:t>
              </w:r>
            </w:hyperlink>
          </w:p>
        </w:tc>
      </w:tr>
      <w:tr>
        <w:trPr>
          <w:cantSplit/>
        </w:trPr>
        <w:tc>
          <w:tcPr>
            <w:tcW w:type="dxa" w:w="1400"/>
          </w:tcPr>
          <w:p>
            <w:pPr>
              <w:keepLines/>
              <w:spacing w:after="0" w:line="276" w:lineRule="auto"/>
            </w:pPr>
            <w:r>
              <w:rPr>
                <w:rFonts w:ascii="Calibri" w:hAnsi="Calibri" w:eastAsia="Microsoft YaHei"/>
                <w:color w:val="0B2545"/>
                <w:sz w:val="13"/>
              </w:rPr>
              <w:t>装置专有分析/标定软件</w:t>
            </w:r>
          </w:p>
        </w:tc>
        <w:tc>
          <w:tcPr>
            <w:tcW w:type="dxa" w:w="1250"/>
          </w:tcPr>
          <w:p>
            <w:pPr>
              <w:keepLines/>
              <w:spacing w:after="0" w:line="276" w:lineRule="auto"/>
            </w:pPr>
            <w:r>
              <w:rPr>
                <w:rFonts w:ascii="Calibri" w:hAnsi="Calibri" w:eastAsia="Microsoft YaHei"/>
                <w:color w:val="0B2545"/>
                <w:sz w:val="13"/>
              </w:rPr>
              <w:t>not-public</w:t>
            </w:r>
          </w:p>
        </w:tc>
        <w:tc>
          <w:tcPr>
            <w:tcW w:type="dxa" w:w="1050"/>
          </w:tcPr>
          <w:p>
            <w:pPr>
              <w:keepLines/>
              <w:spacing w:after="0" w:line="276" w:lineRule="auto"/>
            </w:pPr>
            <w:r>
              <w:rPr>
                <w:rFonts w:ascii="Calibri" w:hAnsi="Calibri" w:eastAsia="Microsoft YaHei"/>
                <w:color w:val="0B2545"/>
                <w:sz w:val="13"/>
              </w:rPr>
              <w:t>operational-analysis-pipeline</w:t>
            </w:r>
          </w:p>
        </w:tc>
        <w:tc>
          <w:tcPr>
            <w:tcW w:type="dxa" w:w="900"/>
          </w:tcPr>
          <w:p>
            <w:pPr>
              <w:keepLines/>
              <w:spacing w:after="0" w:line="276" w:lineRule="auto"/>
            </w:pPr>
            <w:r>
              <w:rPr>
                <w:rFonts w:ascii="Calibri" w:hAnsi="Calibri" w:eastAsia="Microsoft YaHei"/>
                <w:color w:val="0B2545"/>
                <w:sz w:val="13"/>
              </w:rPr>
              <w:t>not public</w:t>
            </w:r>
          </w:p>
        </w:tc>
        <w:tc>
          <w:tcPr>
            <w:tcW w:type="dxa" w:w="2600"/>
          </w:tcPr>
          <w:p>
            <w:pPr>
              <w:keepLines/>
              <w:spacing w:after="0" w:line="276" w:lineRule="auto"/>
            </w:pPr>
            <w:r>
              <w:rPr>
                <w:rFonts w:ascii="Calibri" w:hAnsi="Calibri" w:eastAsia="Microsoft YaHei"/>
                <w:color w:val="0B2545"/>
                <w:sz w:val="13"/>
              </w:rPr>
              <w:t>ITER DNB控制/CXRS反演未公开。</w:t>
            </w:r>
          </w:p>
        </w:tc>
        <w:tc>
          <w:tcPr>
            <w:tcW w:type="dxa" w:w="2160"/>
          </w:tcPr>
          <w:p>
            <w:pPr>
              <w:keepLines/>
              <w:spacing w:after="0" w:line="276" w:lineRule="auto"/>
            </w:pPr>
            <w:r>
              <w:rPr>
                <w:rFonts w:ascii="Calibri" w:hAnsi="Calibri" w:eastAsia="Microsoft YaHei"/>
                <w:color w:val="0B2545"/>
                <w:sz w:val="13"/>
              </w:rPr>
              <w:t>未公开</w:t>
            </w:r>
          </w:p>
        </w:tc>
      </w:tr>
      <w:tr>
        <w:trPr>
          <w:cantSplit/>
        </w:trPr>
        <w:tc>
          <w:tcPr>
            <w:tcW w:type="dxa" w:w="1400"/>
          </w:tcPr>
          <w:p>
            <w:pPr>
              <w:keepLines/>
              <w:spacing w:after="0" w:line="276" w:lineRule="auto"/>
            </w:pPr>
            <w:r>
              <w:rPr>
                <w:rFonts w:ascii="Calibri" w:hAnsi="Calibri" w:eastAsia="Microsoft YaHei"/>
                <w:color w:val="0B2545"/>
                <w:sz w:val="13"/>
              </w:rPr>
              <w:t>Cherab</w:t>
            </w:r>
          </w:p>
        </w:tc>
        <w:tc>
          <w:tcPr>
            <w:tcW w:type="dxa" w:w="1250"/>
          </w:tcPr>
          <w:p>
            <w:pPr>
              <w:keepLines/>
              <w:spacing w:after="0" w:line="276" w:lineRule="auto"/>
            </w:pPr>
            <w:r>
              <w:rPr>
                <w:rFonts w:ascii="Calibri" w:hAnsi="Calibri" w:eastAsia="Microsoft YaHei"/>
                <w:color w:val="0B2545"/>
                <w:sz w:val="13"/>
              </w:rPr>
              <w:t>official-enabling</w:t>
            </w:r>
          </w:p>
        </w:tc>
        <w:tc>
          <w:tcPr>
            <w:tcW w:type="dxa" w:w="1050"/>
          </w:tcPr>
          <w:p>
            <w:pPr>
              <w:keepLines/>
              <w:spacing w:after="0" w:line="276" w:lineRule="auto"/>
            </w:pPr>
            <w:r>
              <w:rPr>
                <w:rFonts w:ascii="Calibri" w:hAnsi="Calibri" w:eastAsia="Microsoft YaHei"/>
                <w:color w:val="0B2545"/>
                <w:sz w:val="13"/>
              </w:rPr>
              <w:t>open-source-radiation-forward-model</w:t>
            </w:r>
          </w:p>
        </w:tc>
        <w:tc>
          <w:tcPr>
            <w:tcW w:type="dxa" w:w="900"/>
          </w:tcPr>
          <w:p>
            <w:pPr>
              <w:keepLines/>
              <w:spacing w:after="0" w:line="276" w:lineRule="auto"/>
            </w:pPr>
            <w:r>
              <w:rPr>
                <w:rFonts w:ascii="Calibri" w:hAnsi="Calibri" w:eastAsia="Microsoft YaHei"/>
                <w:color w:val="0B2545"/>
                <w:sz w:val="13"/>
              </w:rPr>
              <w:t>public</w:t>
            </w:r>
          </w:p>
        </w:tc>
        <w:tc>
          <w:tcPr>
            <w:tcW w:type="dxa" w:w="2600"/>
          </w:tcPr>
          <w:p>
            <w:pPr>
              <w:keepLines/>
              <w:spacing w:after="0" w:line="276" w:lineRule="auto"/>
            </w:pPr>
            <w:r>
              <w:rPr>
                <w:rFonts w:ascii="Calibri" w:hAnsi="Calibri" w:eastAsia="Microsoft YaHei"/>
                <w:color w:val="0B2545"/>
                <w:sz w:val="13"/>
              </w:rPr>
              <w:t>视线/辐射合成观测。</w:t>
            </w:r>
          </w:p>
        </w:tc>
        <w:tc>
          <w:tcPr>
            <w:tcW w:type="dxa" w:w="2160"/>
          </w:tcPr>
          <w:p>
            <w:pPr>
              <w:keepLines/>
              <w:spacing w:after="0" w:line="276" w:lineRule="auto"/>
            </w:pPr>
            <w:hyperlink r:id="rId75">
              <w:r>
                <w:rPr>
                  <w:rFonts w:ascii="Calibri" w:hAnsi="Calibri" w:eastAsia="Microsoft YaHei"/>
                  <w:color w:val="008C95"/>
                  <w:u w:val="single"/>
                </w:rPr>
                <w:t>打开原始来源 ↗</w:t>
              </w:r>
            </w:hyperlink>
          </w:p>
        </w:tc>
      </w:tr>
      <w:tr>
        <w:trPr>
          <w:cantSplit/>
        </w:trPr>
        <w:tc>
          <w:tcPr>
            <w:tcW w:type="dxa" w:w="1400"/>
          </w:tcPr>
          <w:p>
            <w:pPr>
              <w:keepLines/>
              <w:spacing w:after="0" w:line="276" w:lineRule="auto"/>
            </w:pPr>
            <w:r>
              <w:rPr>
                <w:rFonts w:ascii="Calibri" w:hAnsi="Calibri" w:eastAsia="Microsoft YaHei"/>
                <w:color w:val="0B2545"/>
                <w:sz w:val="13"/>
              </w:rPr>
              <w:t>装置专有分析/标定软件</w:t>
            </w:r>
          </w:p>
        </w:tc>
        <w:tc>
          <w:tcPr>
            <w:tcW w:type="dxa" w:w="1250"/>
          </w:tcPr>
          <w:p>
            <w:pPr>
              <w:keepLines/>
              <w:spacing w:after="0" w:line="276" w:lineRule="auto"/>
            </w:pPr>
            <w:r>
              <w:rPr>
                <w:rFonts w:ascii="Calibri" w:hAnsi="Calibri" w:eastAsia="Microsoft YaHei"/>
                <w:color w:val="0B2545"/>
                <w:sz w:val="13"/>
              </w:rPr>
              <w:t>not-public</w:t>
            </w:r>
          </w:p>
        </w:tc>
        <w:tc>
          <w:tcPr>
            <w:tcW w:type="dxa" w:w="1050"/>
          </w:tcPr>
          <w:p>
            <w:pPr>
              <w:keepLines/>
              <w:spacing w:after="0" w:line="276" w:lineRule="auto"/>
            </w:pPr>
            <w:r>
              <w:rPr>
                <w:rFonts w:ascii="Calibri" w:hAnsi="Calibri" w:eastAsia="Microsoft YaHei"/>
                <w:color w:val="0B2545"/>
                <w:sz w:val="13"/>
              </w:rPr>
              <w:t>operational-analysis-pipeline</w:t>
            </w:r>
          </w:p>
        </w:tc>
        <w:tc>
          <w:tcPr>
            <w:tcW w:type="dxa" w:w="900"/>
          </w:tcPr>
          <w:p>
            <w:pPr>
              <w:keepLines/>
              <w:spacing w:after="0" w:line="276" w:lineRule="auto"/>
            </w:pPr>
            <w:r>
              <w:rPr>
                <w:rFonts w:ascii="Calibri" w:hAnsi="Calibri" w:eastAsia="Microsoft YaHei"/>
                <w:color w:val="0B2545"/>
                <w:sz w:val="13"/>
              </w:rPr>
              <w:t>not public</w:t>
            </w:r>
          </w:p>
        </w:tc>
        <w:tc>
          <w:tcPr>
            <w:tcW w:type="dxa" w:w="2600"/>
          </w:tcPr>
          <w:p>
            <w:pPr>
              <w:keepLines/>
              <w:spacing w:after="0" w:line="276" w:lineRule="auto"/>
            </w:pPr>
            <w:r>
              <w:rPr>
                <w:rFonts w:ascii="Calibri" w:hAnsi="Calibri" w:eastAsia="Microsoft YaHei"/>
                <w:color w:val="0B2545"/>
                <w:sz w:val="13"/>
              </w:rPr>
              <w:t>实时层析和健康管理代码未公开。</w:t>
            </w:r>
          </w:p>
        </w:tc>
        <w:tc>
          <w:tcPr>
            <w:tcW w:type="dxa" w:w="2160"/>
          </w:tcPr>
          <w:p>
            <w:pPr>
              <w:keepLines/>
              <w:spacing w:after="0" w:line="276" w:lineRule="auto"/>
            </w:pPr>
            <w:r>
              <w:rPr>
                <w:rFonts w:ascii="Calibri" w:hAnsi="Calibri" w:eastAsia="Microsoft YaHei"/>
                <w:color w:val="0B2545"/>
                <w:sz w:val="13"/>
              </w:rPr>
              <w:t>未公开</w:t>
            </w:r>
          </w:p>
        </w:tc>
      </w:tr>
      <w:tr>
        <w:trPr>
          <w:cantSplit/>
        </w:trPr>
        <w:tc>
          <w:tcPr>
            <w:tcW w:type="dxa" w:w="1400"/>
          </w:tcPr>
          <w:p>
            <w:pPr>
              <w:keepLines/>
              <w:spacing w:after="0" w:line="276" w:lineRule="auto"/>
            </w:pPr>
            <w:r>
              <w:rPr>
                <w:rFonts w:ascii="Calibri" w:hAnsi="Calibri" w:eastAsia="Microsoft YaHei"/>
                <w:color w:val="0B2545"/>
                <w:sz w:val="13"/>
              </w:rPr>
              <w:t>Cherab</w:t>
            </w:r>
          </w:p>
        </w:tc>
        <w:tc>
          <w:tcPr>
            <w:tcW w:type="dxa" w:w="1250"/>
          </w:tcPr>
          <w:p>
            <w:pPr>
              <w:keepLines/>
              <w:spacing w:after="0" w:line="276" w:lineRule="auto"/>
            </w:pPr>
            <w:r>
              <w:rPr>
                <w:rFonts w:ascii="Calibri" w:hAnsi="Calibri" w:eastAsia="Microsoft YaHei"/>
                <w:color w:val="0B2545"/>
                <w:sz w:val="13"/>
              </w:rPr>
              <w:t>official-enabling</w:t>
            </w:r>
          </w:p>
        </w:tc>
        <w:tc>
          <w:tcPr>
            <w:tcW w:type="dxa" w:w="1050"/>
          </w:tcPr>
          <w:p>
            <w:pPr>
              <w:keepLines/>
              <w:spacing w:after="0" w:line="276" w:lineRule="auto"/>
            </w:pPr>
            <w:r>
              <w:rPr>
                <w:rFonts w:ascii="Calibri" w:hAnsi="Calibri" w:eastAsia="Microsoft YaHei"/>
                <w:color w:val="0B2545"/>
                <w:sz w:val="13"/>
              </w:rPr>
              <w:t>open-source-forward-model</w:t>
            </w:r>
          </w:p>
        </w:tc>
        <w:tc>
          <w:tcPr>
            <w:tcW w:type="dxa" w:w="900"/>
          </w:tcPr>
          <w:p>
            <w:pPr>
              <w:keepLines/>
              <w:spacing w:after="0" w:line="276" w:lineRule="auto"/>
            </w:pPr>
            <w:r>
              <w:rPr>
                <w:rFonts w:ascii="Calibri" w:hAnsi="Calibri" w:eastAsia="Microsoft YaHei"/>
                <w:color w:val="0B2545"/>
                <w:sz w:val="13"/>
              </w:rPr>
              <w:t>public</w:t>
            </w:r>
          </w:p>
        </w:tc>
        <w:tc>
          <w:tcPr>
            <w:tcW w:type="dxa" w:w="2600"/>
          </w:tcPr>
          <w:p>
            <w:pPr>
              <w:keepLines/>
              <w:spacing w:after="0" w:line="276" w:lineRule="auto"/>
            </w:pPr>
            <w:r>
              <w:rPr>
                <w:rFonts w:ascii="Calibri" w:hAnsi="Calibri" w:eastAsia="Microsoft YaHei"/>
                <w:color w:val="0B2545"/>
                <w:sz w:val="13"/>
              </w:rPr>
              <w:t>几何与发射合成；SXR响应需扩展。</w:t>
            </w:r>
          </w:p>
        </w:tc>
        <w:tc>
          <w:tcPr>
            <w:tcW w:type="dxa" w:w="2160"/>
          </w:tcPr>
          <w:p>
            <w:pPr>
              <w:keepLines/>
              <w:spacing w:after="0" w:line="276" w:lineRule="auto"/>
            </w:pPr>
            <w:hyperlink r:id="rId75">
              <w:r>
                <w:rPr>
                  <w:rFonts w:ascii="Calibri" w:hAnsi="Calibri" w:eastAsia="Microsoft YaHei"/>
                  <w:color w:val="008C95"/>
                  <w:u w:val="single"/>
                </w:rPr>
                <w:t>打开原始来源 ↗</w:t>
              </w:r>
            </w:hyperlink>
          </w:p>
        </w:tc>
      </w:tr>
      <w:tr>
        <w:trPr>
          <w:cantSplit/>
        </w:trPr>
        <w:tc>
          <w:tcPr>
            <w:tcW w:type="dxa" w:w="1400"/>
          </w:tcPr>
          <w:p>
            <w:pPr>
              <w:keepLines/>
              <w:spacing w:after="0" w:line="276" w:lineRule="auto"/>
            </w:pPr>
            <w:r>
              <w:rPr>
                <w:rFonts w:ascii="Calibri" w:hAnsi="Calibri" w:eastAsia="Microsoft YaHei"/>
                <w:color w:val="0B2545"/>
                <w:sz w:val="13"/>
              </w:rPr>
              <w:t>装置专有分析/标定软件</w:t>
            </w:r>
          </w:p>
        </w:tc>
        <w:tc>
          <w:tcPr>
            <w:tcW w:type="dxa" w:w="1250"/>
          </w:tcPr>
          <w:p>
            <w:pPr>
              <w:keepLines/>
              <w:spacing w:after="0" w:line="276" w:lineRule="auto"/>
            </w:pPr>
            <w:r>
              <w:rPr>
                <w:rFonts w:ascii="Calibri" w:hAnsi="Calibri" w:eastAsia="Microsoft YaHei"/>
                <w:color w:val="0B2545"/>
                <w:sz w:val="13"/>
              </w:rPr>
              <w:t>not-public</w:t>
            </w:r>
          </w:p>
        </w:tc>
        <w:tc>
          <w:tcPr>
            <w:tcW w:type="dxa" w:w="1050"/>
          </w:tcPr>
          <w:p>
            <w:pPr>
              <w:keepLines/>
              <w:spacing w:after="0" w:line="276" w:lineRule="auto"/>
            </w:pPr>
            <w:r>
              <w:rPr>
                <w:rFonts w:ascii="Calibri" w:hAnsi="Calibri" w:eastAsia="Microsoft YaHei"/>
                <w:color w:val="0B2545"/>
                <w:sz w:val="13"/>
              </w:rPr>
              <w:t>operational-analysis-pipeline</w:t>
            </w:r>
          </w:p>
        </w:tc>
        <w:tc>
          <w:tcPr>
            <w:tcW w:type="dxa" w:w="900"/>
          </w:tcPr>
          <w:p>
            <w:pPr>
              <w:keepLines/>
              <w:spacing w:after="0" w:line="276" w:lineRule="auto"/>
            </w:pPr>
            <w:r>
              <w:rPr>
                <w:rFonts w:ascii="Calibri" w:hAnsi="Calibri" w:eastAsia="Microsoft YaHei"/>
                <w:color w:val="0B2545"/>
                <w:sz w:val="13"/>
              </w:rPr>
              <w:t>not public</w:t>
            </w:r>
          </w:p>
        </w:tc>
        <w:tc>
          <w:tcPr>
            <w:tcW w:type="dxa" w:w="2600"/>
          </w:tcPr>
          <w:p>
            <w:pPr>
              <w:keepLines/>
              <w:spacing w:after="0" w:line="276" w:lineRule="auto"/>
            </w:pPr>
            <w:r>
              <w:rPr>
                <w:rFonts w:ascii="Calibri" w:hAnsi="Calibri" w:eastAsia="Microsoft YaHei"/>
                <w:color w:val="0B2545"/>
                <w:sz w:val="13"/>
              </w:rPr>
              <w:t>实时生产层析/MHD代码未公开。</w:t>
            </w:r>
          </w:p>
        </w:tc>
        <w:tc>
          <w:tcPr>
            <w:tcW w:type="dxa" w:w="2160"/>
          </w:tcPr>
          <w:p>
            <w:pPr>
              <w:keepLines/>
              <w:spacing w:after="0" w:line="276" w:lineRule="auto"/>
            </w:pPr>
            <w:r>
              <w:rPr>
                <w:rFonts w:ascii="Calibri" w:hAnsi="Calibri" w:eastAsia="Microsoft YaHei"/>
                <w:color w:val="0B2545"/>
                <w:sz w:val="13"/>
              </w:rPr>
              <w:t>未公开</w:t>
            </w:r>
          </w:p>
        </w:tc>
      </w:tr>
      <w:tr>
        <w:trPr>
          <w:cantSplit/>
        </w:trPr>
        <w:tc>
          <w:tcPr>
            <w:tcW w:type="dxa" w:w="1400"/>
          </w:tcPr>
          <w:p>
            <w:pPr>
              <w:keepLines/>
              <w:spacing w:after="0" w:line="276" w:lineRule="auto"/>
            </w:pPr>
            <w:r>
              <w:rPr>
                <w:rFonts w:ascii="Calibri" w:hAnsi="Calibri" w:eastAsia="Microsoft YaHei"/>
                <w:color w:val="0B2545"/>
                <w:sz w:val="13"/>
              </w:rPr>
              <w:t>OpenADAS</w:t>
            </w:r>
          </w:p>
        </w:tc>
        <w:tc>
          <w:tcPr>
            <w:tcW w:type="dxa" w:w="1250"/>
          </w:tcPr>
          <w:p>
            <w:pPr>
              <w:keepLines/>
              <w:spacing w:after="0" w:line="276" w:lineRule="auto"/>
            </w:pPr>
            <w:r>
              <w:rPr>
                <w:rFonts w:ascii="Calibri" w:hAnsi="Calibri" w:eastAsia="Microsoft YaHei"/>
                <w:color w:val="0B2545"/>
                <w:sz w:val="13"/>
              </w:rPr>
              <w:t>official-enabling</w:t>
            </w:r>
          </w:p>
        </w:tc>
        <w:tc>
          <w:tcPr>
            <w:tcW w:type="dxa" w:w="1050"/>
          </w:tcPr>
          <w:p>
            <w:pPr>
              <w:keepLines/>
              <w:spacing w:after="0" w:line="276" w:lineRule="auto"/>
            </w:pPr>
            <w:r>
              <w:rPr>
                <w:rFonts w:ascii="Calibri" w:hAnsi="Calibri" w:eastAsia="Microsoft YaHei"/>
                <w:color w:val="0B2545"/>
                <w:sz w:val="13"/>
              </w:rPr>
              <w:t>atomic-data-service</w:t>
            </w:r>
          </w:p>
        </w:tc>
        <w:tc>
          <w:tcPr>
            <w:tcW w:type="dxa" w:w="900"/>
          </w:tcPr>
          <w:p>
            <w:pPr>
              <w:keepLines/>
              <w:spacing w:after="0" w:line="276" w:lineRule="auto"/>
            </w:pPr>
            <w:r>
              <w:rPr>
                <w:rFonts w:ascii="Calibri" w:hAnsi="Calibri" w:eastAsia="Microsoft YaHei"/>
                <w:color w:val="0B2545"/>
                <w:sz w:val="13"/>
              </w:rPr>
              <w:t>public</w:t>
            </w:r>
          </w:p>
        </w:tc>
        <w:tc>
          <w:tcPr>
            <w:tcW w:type="dxa" w:w="2600"/>
          </w:tcPr>
          <w:p>
            <w:pPr>
              <w:keepLines/>
              <w:spacing w:after="0" w:line="276" w:lineRule="auto"/>
            </w:pPr>
            <w:r>
              <w:rPr>
                <w:rFonts w:ascii="Calibri" w:hAnsi="Calibri" w:eastAsia="Microsoft YaHei"/>
                <w:color w:val="0B2545"/>
                <w:sz w:val="13"/>
              </w:rPr>
              <w:t>VUV谱线/PEC/电离平衡。</w:t>
            </w:r>
          </w:p>
        </w:tc>
        <w:tc>
          <w:tcPr>
            <w:tcW w:type="dxa" w:w="2160"/>
          </w:tcPr>
          <w:p>
            <w:pPr>
              <w:keepLines/>
              <w:spacing w:after="0" w:line="276" w:lineRule="auto"/>
            </w:pPr>
            <w:hyperlink r:id="rId60">
              <w:r>
                <w:rPr>
                  <w:rFonts w:ascii="Calibri" w:hAnsi="Calibri" w:eastAsia="Microsoft YaHei"/>
                  <w:color w:val="008C95"/>
                  <w:u w:val="single"/>
                </w:rPr>
                <w:t>打开原始来源 ↗</w:t>
              </w:r>
            </w:hyperlink>
          </w:p>
        </w:tc>
      </w:tr>
      <w:tr>
        <w:trPr>
          <w:cantSplit/>
        </w:trPr>
        <w:tc>
          <w:tcPr>
            <w:tcW w:type="dxa" w:w="1400"/>
          </w:tcPr>
          <w:p>
            <w:pPr>
              <w:keepLines/>
              <w:spacing w:after="0" w:line="276" w:lineRule="auto"/>
            </w:pPr>
            <w:r>
              <w:rPr>
                <w:rFonts w:ascii="Calibri" w:hAnsi="Calibri" w:eastAsia="Microsoft YaHei"/>
                <w:color w:val="0B2545"/>
                <w:sz w:val="13"/>
              </w:rPr>
              <w:t>装置专有分析/标定软件</w:t>
            </w:r>
          </w:p>
        </w:tc>
        <w:tc>
          <w:tcPr>
            <w:tcW w:type="dxa" w:w="1250"/>
          </w:tcPr>
          <w:p>
            <w:pPr>
              <w:keepLines/>
              <w:spacing w:after="0" w:line="276" w:lineRule="auto"/>
            </w:pPr>
            <w:r>
              <w:rPr>
                <w:rFonts w:ascii="Calibri" w:hAnsi="Calibri" w:eastAsia="Microsoft YaHei"/>
                <w:color w:val="0B2545"/>
                <w:sz w:val="13"/>
              </w:rPr>
              <w:t>not-public</w:t>
            </w:r>
          </w:p>
        </w:tc>
        <w:tc>
          <w:tcPr>
            <w:tcW w:type="dxa" w:w="1050"/>
          </w:tcPr>
          <w:p>
            <w:pPr>
              <w:keepLines/>
              <w:spacing w:after="0" w:line="276" w:lineRule="auto"/>
            </w:pPr>
            <w:r>
              <w:rPr>
                <w:rFonts w:ascii="Calibri" w:hAnsi="Calibri" w:eastAsia="Microsoft YaHei"/>
                <w:color w:val="0B2545"/>
                <w:sz w:val="13"/>
              </w:rPr>
              <w:t>operational-analysis-pipeline</w:t>
            </w:r>
          </w:p>
        </w:tc>
        <w:tc>
          <w:tcPr>
            <w:tcW w:type="dxa" w:w="900"/>
          </w:tcPr>
          <w:p>
            <w:pPr>
              <w:keepLines/>
              <w:spacing w:after="0" w:line="276" w:lineRule="auto"/>
            </w:pPr>
            <w:r>
              <w:rPr>
                <w:rFonts w:ascii="Calibri" w:hAnsi="Calibri" w:eastAsia="Microsoft YaHei"/>
                <w:color w:val="0B2545"/>
                <w:sz w:val="13"/>
              </w:rPr>
              <w:t>not public</w:t>
            </w:r>
          </w:p>
        </w:tc>
        <w:tc>
          <w:tcPr>
            <w:tcW w:type="dxa" w:w="2600"/>
          </w:tcPr>
          <w:p>
            <w:pPr>
              <w:keepLines/>
              <w:spacing w:after="0" w:line="276" w:lineRule="auto"/>
            </w:pPr>
            <w:r>
              <w:rPr>
                <w:rFonts w:ascii="Calibri" w:hAnsi="Calibri" w:eastAsia="Microsoft YaHei"/>
                <w:color w:val="0B2545"/>
                <w:sz w:val="13"/>
              </w:rPr>
              <w:t>自动识别和仪器响应库未公开。</w:t>
            </w:r>
          </w:p>
        </w:tc>
        <w:tc>
          <w:tcPr>
            <w:tcW w:type="dxa" w:w="2160"/>
          </w:tcPr>
          <w:p>
            <w:pPr>
              <w:keepLines/>
              <w:spacing w:after="0" w:line="276" w:lineRule="auto"/>
            </w:pPr>
            <w:r>
              <w:rPr>
                <w:rFonts w:ascii="Calibri" w:hAnsi="Calibri" w:eastAsia="Microsoft YaHei"/>
                <w:color w:val="0B2545"/>
                <w:sz w:val="13"/>
              </w:rPr>
              <w:t>未公开</w:t>
            </w:r>
          </w:p>
        </w:tc>
      </w:tr>
      <w:tr>
        <w:trPr>
          <w:cantSplit/>
        </w:trPr>
        <w:tc>
          <w:tcPr>
            <w:tcW w:type="dxa" w:w="1400"/>
          </w:tcPr>
          <w:p>
            <w:pPr>
              <w:keepLines/>
              <w:spacing w:after="0" w:line="276" w:lineRule="auto"/>
            </w:pPr>
            <w:r>
              <w:rPr>
                <w:rFonts w:ascii="Calibri" w:hAnsi="Calibri" w:eastAsia="Microsoft YaHei"/>
                <w:color w:val="0B2545"/>
                <w:sz w:val="13"/>
              </w:rPr>
              <w:t>OpenADAS</w:t>
            </w:r>
          </w:p>
        </w:tc>
        <w:tc>
          <w:tcPr>
            <w:tcW w:type="dxa" w:w="1250"/>
          </w:tcPr>
          <w:p>
            <w:pPr>
              <w:keepLines/>
              <w:spacing w:after="0" w:line="276" w:lineRule="auto"/>
            </w:pPr>
            <w:r>
              <w:rPr>
                <w:rFonts w:ascii="Calibri" w:hAnsi="Calibri" w:eastAsia="Microsoft YaHei"/>
                <w:color w:val="0B2545"/>
                <w:sz w:val="13"/>
              </w:rPr>
              <w:t>official-enabling</w:t>
            </w:r>
          </w:p>
        </w:tc>
        <w:tc>
          <w:tcPr>
            <w:tcW w:type="dxa" w:w="1050"/>
          </w:tcPr>
          <w:p>
            <w:pPr>
              <w:keepLines/>
              <w:spacing w:after="0" w:line="276" w:lineRule="auto"/>
            </w:pPr>
            <w:r>
              <w:rPr>
                <w:rFonts w:ascii="Calibri" w:hAnsi="Calibri" w:eastAsia="Microsoft YaHei"/>
                <w:color w:val="0B2545"/>
                <w:sz w:val="13"/>
              </w:rPr>
              <w:t>atomic-data-service</w:t>
            </w:r>
          </w:p>
        </w:tc>
        <w:tc>
          <w:tcPr>
            <w:tcW w:type="dxa" w:w="900"/>
          </w:tcPr>
          <w:p>
            <w:pPr>
              <w:keepLines/>
              <w:spacing w:after="0" w:line="276" w:lineRule="auto"/>
            </w:pPr>
            <w:r>
              <w:rPr>
                <w:rFonts w:ascii="Calibri" w:hAnsi="Calibri" w:eastAsia="Microsoft YaHei"/>
                <w:color w:val="0B2545"/>
                <w:sz w:val="13"/>
              </w:rPr>
              <w:t>public</w:t>
            </w:r>
          </w:p>
        </w:tc>
        <w:tc>
          <w:tcPr>
            <w:tcW w:type="dxa" w:w="2600"/>
          </w:tcPr>
          <w:p>
            <w:pPr>
              <w:keepLines/>
              <w:spacing w:after="0" w:line="276" w:lineRule="auto"/>
            </w:pPr>
            <w:r>
              <w:rPr>
                <w:rFonts w:ascii="Calibri" w:hAnsi="Calibri" w:eastAsia="Microsoft YaHei"/>
                <w:color w:val="0B2545"/>
                <w:sz w:val="13"/>
              </w:rPr>
              <w:t>S/XB、PEC和连续谱系数。</w:t>
            </w:r>
          </w:p>
        </w:tc>
        <w:tc>
          <w:tcPr>
            <w:tcW w:type="dxa" w:w="2160"/>
          </w:tcPr>
          <w:p>
            <w:pPr>
              <w:keepLines/>
              <w:spacing w:after="0" w:line="276" w:lineRule="auto"/>
            </w:pPr>
            <w:hyperlink r:id="rId60">
              <w:r>
                <w:rPr>
                  <w:rFonts w:ascii="Calibri" w:hAnsi="Calibri" w:eastAsia="Microsoft YaHei"/>
                  <w:color w:val="008C95"/>
                  <w:u w:val="single"/>
                </w:rPr>
                <w:t>打开原始来源 ↗</w:t>
              </w:r>
            </w:hyperlink>
          </w:p>
        </w:tc>
      </w:tr>
      <w:tr>
        <w:trPr>
          <w:cantSplit/>
        </w:trPr>
        <w:tc>
          <w:tcPr>
            <w:tcW w:type="dxa" w:w="1400"/>
          </w:tcPr>
          <w:p>
            <w:pPr>
              <w:keepLines/>
              <w:spacing w:after="0" w:line="276" w:lineRule="auto"/>
            </w:pPr>
            <w:r>
              <w:rPr>
                <w:rFonts w:ascii="Calibri" w:hAnsi="Calibri" w:eastAsia="Microsoft YaHei"/>
                <w:color w:val="0B2545"/>
                <w:sz w:val="13"/>
              </w:rPr>
              <w:t>Cherab</w:t>
            </w:r>
          </w:p>
        </w:tc>
        <w:tc>
          <w:tcPr>
            <w:tcW w:type="dxa" w:w="1250"/>
          </w:tcPr>
          <w:p>
            <w:pPr>
              <w:keepLines/>
              <w:spacing w:after="0" w:line="276" w:lineRule="auto"/>
            </w:pPr>
            <w:r>
              <w:rPr>
                <w:rFonts w:ascii="Calibri" w:hAnsi="Calibri" w:eastAsia="Microsoft YaHei"/>
                <w:color w:val="0B2545"/>
                <w:sz w:val="13"/>
              </w:rPr>
              <w:t>official-enabling</w:t>
            </w:r>
          </w:p>
        </w:tc>
        <w:tc>
          <w:tcPr>
            <w:tcW w:type="dxa" w:w="1050"/>
          </w:tcPr>
          <w:p>
            <w:pPr>
              <w:keepLines/>
              <w:spacing w:after="0" w:line="276" w:lineRule="auto"/>
            </w:pPr>
            <w:r>
              <w:rPr>
                <w:rFonts w:ascii="Calibri" w:hAnsi="Calibri" w:eastAsia="Microsoft YaHei"/>
                <w:color w:val="0B2545"/>
                <w:sz w:val="13"/>
              </w:rPr>
              <w:t>open-source-spectroscopy-forward-model</w:t>
            </w:r>
          </w:p>
        </w:tc>
        <w:tc>
          <w:tcPr>
            <w:tcW w:type="dxa" w:w="900"/>
          </w:tcPr>
          <w:p>
            <w:pPr>
              <w:keepLines/>
              <w:spacing w:after="0" w:line="276" w:lineRule="auto"/>
            </w:pPr>
            <w:r>
              <w:rPr>
                <w:rFonts w:ascii="Calibri" w:hAnsi="Calibri" w:eastAsia="Microsoft YaHei"/>
                <w:color w:val="0B2545"/>
                <w:sz w:val="13"/>
              </w:rPr>
              <w:t>public</w:t>
            </w:r>
          </w:p>
        </w:tc>
        <w:tc>
          <w:tcPr>
            <w:tcW w:type="dxa" w:w="2600"/>
          </w:tcPr>
          <w:p>
            <w:pPr>
              <w:keepLines/>
              <w:spacing w:after="0" w:line="276" w:lineRule="auto"/>
            </w:pPr>
            <w:r>
              <w:rPr>
                <w:rFonts w:ascii="Calibri" w:hAnsi="Calibri" w:eastAsia="Microsoft YaHei"/>
                <w:color w:val="0B2545"/>
                <w:sz w:val="13"/>
              </w:rPr>
              <w:t>几何/发射/壁反射合成。</w:t>
            </w:r>
          </w:p>
        </w:tc>
        <w:tc>
          <w:tcPr>
            <w:tcW w:type="dxa" w:w="2160"/>
          </w:tcPr>
          <w:p>
            <w:pPr>
              <w:keepLines/>
              <w:spacing w:after="0" w:line="276" w:lineRule="auto"/>
            </w:pPr>
            <w:hyperlink r:id="rId75">
              <w:r>
                <w:rPr>
                  <w:rFonts w:ascii="Calibri" w:hAnsi="Calibri" w:eastAsia="Microsoft YaHei"/>
                  <w:color w:val="008C95"/>
                  <w:u w:val="single"/>
                </w:rPr>
                <w:t>打开原始来源 ↗</w:t>
              </w:r>
            </w:hyperlink>
          </w:p>
        </w:tc>
      </w:tr>
      <w:tr>
        <w:trPr>
          <w:cantSplit/>
        </w:trPr>
        <w:tc>
          <w:tcPr>
            <w:tcW w:type="dxa" w:w="1400"/>
          </w:tcPr>
          <w:p>
            <w:pPr>
              <w:keepLines/>
              <w:spacing w:after="0" w:line="276" w:lineRule="auto"/>
            </w:pPr>
            <w:r>
              <w:rPr>
                <w:rFonts w:ascii="Calibri" w:hAnsi="Calibri" w:eastAsia="Microsoft YaHei"/>
                <w:color w:val="0B2545"/>
                <w:sz w:val="13"/>
              </w:rPr>
              <w:t>装置专有分析/标定软件</w:t>
            </w:r>
          </w:p>
        </w:tc>
        <w:tc>
          <w:tcPr>
            <w:tcW w:type="dxa" w:w="1250"/>
          </w:tcPr>
          <w:p>
            <w:pPr>
              <w:keepLines/>
              <w:spacing w:after="0" w:line="276" w:lineRule="auto"/>
            </w:pPr>
            <w:r>
              <w:rPr>
                <w:rFonts w:ascii="Calibri" w:hAnsi="Calibri" w:eastAsia="Microsoft YaHei"/>
                <w:color w:val="0B2545"/>
                <w:sz w:val="13"/>
              </w:rPr>
              <w:t>not-public</w:t>
            </w:r>
          </w:p>
        </w:tc>
        <w:tc>
          <w:tcPr>
            <w:tcW w:type="dxa" w:w="1050"/>
          </w:tcPr>
          <w:p>
            <w:pPr>
              <w:keepLines/>
              <w:spacing w:after="0" w:line="276" w:lineRule="auto"/>
            </w:pPr>
            <w:r>
              <w:rPr>
                <w:rFonts w:ascii="Calibri" w:hAnsi="Calibri" w:eastAsia="Microsoft YaHei"/>
                <w:color w:val="0B2545"/>
                <w:sz w:val="13"/>
              </w:rPr>
              <w:t>operational-analysis-pipeline</w:t>
            </w:r>
          </w:p>
        </w:tc>
        <w:tc>
          <w:tcPr>
            <w:tcW w:type="dxa" w:w="900"/>
          </w:tcPr>
          <w:p>
            <w:pPr>
              <w:keepLines/>
              <w:spacing w:after="0" w:line="276" w:lineRule="auto"/>
            </w:pPr>
            <w:r>
              <w:rPr>
                <w:rFonts w:ascii="Calibri" w:hAnsi="Calibri" w:eastAsia="Microsoft YaHei"/>
                <w:color w:val="0B2545"/>
                <w:sz w:val="13"/>
              </w:rPr>
              <w:t>not public</w:t>
            </w:r>
          </w:p>
        </w:tc>
        <w:tc>
          <w:tcPr>
            <w:tcW w:type="dxa" w:w="2600"/>
          </w:tcPr>
          <w:p>
            <w:pPr>
              <w:keepLines/>
              <w:spacing w:after="0" w:line="276" w:lineRule="auto"/>
            </w:pPr>
            <w:r>
              <w:rPr>
                <w:rFonts w:ascii="Calibri" w:hAnsi="Calibri" w:eastAsia="Microsoft YaHei"/>
                <w:color w:val="0B2545"/>
                <w:sz w:val="13"/>
              </w:rPr>
              <w:t>生产线拟合/Zeff代码未公开。</w:t>
            </w:r>
          </w:p>
        </w:tc>
        <w:tc>
          <w:tcPr>
            <w:tcW w:type="dxa" w:w="2160"/>
          </w:tcPr>
          <w:p>
            <w:pPr>
              <w:keepLines/>
              <w:spacing w:after="0" w:line="276" w:lineRule="auto"/>
            </w:pPr>
            <w:r>
              <w:rPr>
                <w:rFonts w:ascii="Calibri" w:hAnsi="Calibri" w:eastAsia="Microsoft YaHei"/>
                <w:color w:val="0B2545"/>
                <w:sz w:val="13"/>
              </w:rPr>
              <w:t>未公开</w:t>
            </w:r>
          </w:p>
        </w:tc>
      </w:tr>
      <w:tr>
        <w:trPr>
          <w:cantSplit/>
        </w:trPr>
        <w:tc>
          <w:tcPr>
            <w:tcW w:type="dxa" w:w="1400"/>
          </w:tcPr>
          <w:p>
            <w:pPr>
              <w:keepLines/>
              <w:spacing w:after="0" w:line="276" w:lineRule="auto"/>
            </w:pPr>
            <w:r>
              <w:rPr>
                <w:rFonts w:ascii="Calibri" w:hAnsi="Calibri" w:eastAsia="Microsoft YaHei"/>
                <w:color w:val="0B2545"/>
                <w:sz w:val="13"/>
              </w:rPr>
              <w:t>Geant4</w:t>
            </w:r>
          </w:p>
        </w:tc>
        <w:tc>
          <w:tcPr>
            <w:tcW w:type="dxa" w:w="1250"/>
          </w:tcPr>
          <w:p>
            <w:pPr>
              <w:keepLines/>
              <w:spacing w:after="0" w:line="276" w:lineRule="auto"/>
            </w:pPr>
            <w:r>
              <w:rPr>
                <w:rFonts w:ascii="Calibri" w:hAnsi="Calibri" w:eastAsia="Microsoft YaHei"/>
                <w:color w:val="0B2545"/>
                <w:sz w:val="13"/>
              </w:rPr>
              <w:t>official-enabling</w:t>
            </w:r>
          </w:p>
        </w:tc>
        <w:tc>
          <w:tcPr>
            <w:tcW w:type="dxa" w:w="1050"/>
          </w:tcPr>
          <w:p>
            <w:pPr>
              <w:keepLines/>
              <w:spacing w:after="0" w:line="276" w:lineRule="auto"/>
            </w:pPr>
            <w:r>
              <w:rPr>
                <w:rFonts w:ascii="Calibri" w:hAnsi="Calibri" w:eastAsia="Microsoft YaHei"/>
                <w:color w:val="0B2545"/>
                <w:sz w:val="13"/>
              </w:rPr>
              <w:t>open-source-particle-transport</w:t>
            </w:r>
          </w:p>
        </w:tc>
        <w:tc>
          <w:tcPr>
            <w:tcW w:type="dxa" w:w="900"/>
          </w:tcPr>
          <w:p>
            <w:pPr>
              <w:keepLines/>
              <w:spacing w:after="0" w:line="276" w:lineRule="auto"/>
            </w:pPr>
            <w:r>
              <w:rPr>
                <w:rFonts w:ascii="Calibri" w:hAnsi="Calibri" w:eastAsia="Microsoft YaHei"/>
                <w:color w:val="0B2545"/>
                <w:sz w:val="13"/>
              </w:rPr>
              <w:t>public</w:t>
            </w:r>
          </w:p>
        </w:tc>
        <w:tc>
          <w:tcPr>
            <w:tcW w:type="dxa" w:w="2600"/>
          </w:tcPr>
          <w:p>
            <w:pPr>
              <w:keepLines/>
              <w:spacing w:after="0" w:line="276" w:lineRule="auto"/>
            </w:pPr>
            <w:r>
              <w:rPr>
                <w:rFonts w:ascii="Calibri" w:hAnsi="Calibri" w:eastAsia="Microsoft YaHei"/>
                <w:color w:val="0B2545"/>
                <w:sz w:val="13"/>
              </w:rPr>
              <w:t>探测器响应/屏蔽/背景模型。</w:t>
            </w:r>
          </w:p>
        </w:tc>
        <w:tc>
          <w:tcPr>
            <w:tcW w:type="dxa" w:w="2160"/>
          </w:tcPr>
          <w:p>
            <w:pPr>
              <w:keepLines/>
              <w:spacing w:after="0" w:line="276" w:lineRule="auto"/>
            </w:pPr>
            <w:hyperlink r:id="rId85">
              <w:r>
                <w:rPr>
                  <w:rFonts w:ascii="Calibri" w:hAnsi="Calibri" w:eastAsia="Microsoft YaHei"/>
                  <w:color w:val="008C95"/>
                  <w:u w:val="single"/>
                </w:rPr>
                <w:t>打开原始来源 ↗</w:t>
              </w:r>
            </w:hyperlink>
          </w:p>
        </w:tc>
      </w:tr>
      <w:tr>
        <w:trPr>
          <w:cantSplit/>
        </w:trPr>
        <w:tc>
          <w:tcPr>
            <w:tcW w:type="dxa" w:w="1400"/>
          </w:tcPr>
          <w:p>
            <w:pPr>
              <w:keepLines/>
              <w:spacing w:after="0" w:line="276" w:lineRule="auto"/>
            </w:pPr>
            <w:r>
              <w:rPr>
                <w:rFonts w:ascii="Calibri" w:hAnsi="Calibri" w:eastAsia="Microsoft YaHei"/>
                <w:color w:val="0B2545"/>
                <w:sz w:val="13"/>
              </w:rPr>
              <w:t>装置专有分析/标定软件</w:t>
            </w:r>
          </w:p>
        </w:tc>
        <w:tc>
          <w:tcPr>
            <w:tcW w:type="dxa" w:w="1250"/>
          </w:tcPr>
          <w:p>
            <w:pPr>
              <w:keepLines/>
              <w:spacing w:after="0" w:line="276" w:lineRule="auto"/>
            </w:pPr>
            <w:r>
              <w:rPr>
                <w:rFonts w:ascii="Calibri" w:hAnsi="Calibri" w:eastAsia="Microsoft YaHei"/>
                <w:color w:val="0B2545"/>
                <w:sz w:val="13"/>
              </w:rPr>
              <w:t>not-public</w:t>
            </w:r>
          </w:p>
        </w:tc>
        <w:tc>
          <w:tcPr>
            <w:tcW w:type="dxa" w:w="1050"/>
          </w:tcPr>
          <w:p>
            <w:pPr>
              <w:keepLines/>
              <w:spacing w:after="0" w:line="276" w:lineRule="auto"/>
            </w:pPr>
            <w:r>
              <w:rPr>
                <w:rFonts w:ascii="Calibri" w:hAnsi="Calibri" w:eastAsia="Microsoft YaHei"/>
                <w:color w:val="0B2545"/>
                <w:sz w:val="13"/>
              </w:rPr>
              <w:t>operational-analysis-pipeline</w:t>
            </w:r>
          </w:p>
        </w:tc>
        <w:tc>
          <w:tcPr>
            <w:tcW w:type="dxa" w:w="900"/>
          </w:tcPr>
          <w:p>
            <w:pPr>
              <w:keepLines/>
              <w:spacing w:after="0" w:line="276" w:lineRule="auto"/>
            </w:pPr>
            <w:r>
              <w:rPr>
                <w:rFonts w:ascii="Calibri" w:hAnsi="Calibri" w:eastAsia="Microsoft YaHei"/>
                <w:color w:val="0B2545"/>
                <w:sz w:val="13"/>
              </w:rPr>
              <w:t>not public</w:t>
            </w:r>
          </w:p>
        </w:tc>
        <w:tc>
          <w:tcPr>
            <w:tcW w:type="dxa" w:w="2600"/>
          </w:tcPr>
          <w:p>
            <w:pPr>
              <w:keepLines/>
              <w:spacing w:after="0" w:line="276" w:lineRule="auto"/>
            </w:pPr>
            <w:r>
              <w:rPr>
                <w:rFonts w:ascii="Calibri" w:hAnsi="Calibri" w:eastAsia="Microsoft YaHei"/>
                <w:color w:val="0B2545"/>
                <w:sz w:val="13"/>
              </w:rPr>
              <w:t>在线事件逻辑和反演未公开。</w:t>
            </w:r>
          </w:p>
        </w:tc>
        <w:tc>
          <w:tcPr>
            <w:tcW w:type="dxa" w:w="2160"/>
          </w:tcPr>
          <w:p>
            <w:pPr>
              <w:keepLines/>
              <w:spacing w:after="0" w:line="276" w:lineRule="auto"/>
            </w:pPr>
            <w:r>
              <w:rPr>
                <w:rFonts w:ascii="Calibri" w:hAnsi="Calibri" w:eastAsia="Microsoft YaHei"/>
                <w:color w:val="0B2545"/>
                <w:sz w:val="13"/>
              </w:rPr>
              <w:t>未公开</w:t>
            </w:r>
          </w:p>
        </w:tc>
      </w:tr>
      <w:tr>
        <w:trPr>
          <w:cantSplit/>
        </w:trPr>
        <w:tc>
          <w:tcPr>
            <w:tcW w:type="dxa" w:w="1400"/>
          </w:tcPr>
          <w:p>
            <w:pPr>
              <w:keepLines/>
              <w:spacing w:after="0" w:line="276" w:lineRule="auto"/>
            </w:pPr>
            <w:r>
              <w:rPr>
                <w:rFonts w:ascii="Calibri" w:hAnsi="Calibri" w:eastAsia="Microsoft YaHei"/>
                <w:color w:val="0B2545"/>
                <w:sz w:val="13"/>
              </w:rPr>
              <w:t>MCNP</w:t>
            </w:r>
          </w:p>
        </w:tc>
        <w:tc>
          <w:tcPr>
            <w:tcW w:type="dxa" w:w="1250"/>
          </w:tcPr>
          <w:p>
            <w:pPr>
              <w:keepLines/>
              <w:spacing w:after="0" w:line="276" w:lineRule="auto"/>
            </w:pPr>
            <w:r>
              <w:rPr>
                <w:rFonts w:ascii="Calibri" w:hAnsi="Calibri" w:eastAsia="Microsoft YaHei"/>
                <w:color w:val="0B2545"/>
                <w:sz w:val="13"/>
              </w:rPr>
              <w:t>controlled-access</w:t>
            </w:r>
          </w:p>
        </w:tc>
        <w:tc>
          <w:tcPr>
            <w:tcW w:type="dxa" w:w="1050"/>
          </w:tcPr>
          <w:p>
            <w:pPr>
              <w:keepLines/>
              <w:spacing w:after="0" w:line="276" w:lineRule="auto"/>
            </w:pPr>
            <w:r>
              <w:rPr>
                <w:rFonts w:ascii="Calibri" w:hAnsi="Calibri" w:eastAsia="Microsoft YaHei"/>
                <w:color w:val="0B2545"/>
                <w:sz w:val="13"/>
              </w:rPr>
              <w:t>radiation-transport-code</w:t>
            </w:r>
          </w:p>
        </w:tc>
        <w:tc>
          <w:tcPr>
            <w:tcW w:type="dxa" w:w="900"/>
          </w:tcPr>
          <w:p>
            <w:pPr>
              <w:keepLines/>
              <w:spacing w:after="0" w:line="276" w:lineRule="auto"/>
            </w:pPr>
            <w:r>
              <w:rPr>
                <w:rFonts w:ascii="Calibri" w:hAnsi="Calibri" w:eastAsia="Microsoft YaHei"/>
                <w:color w:val="0B2545"/>
                <w:sz w:val="13"/>
              </w:rPr>
              <w:t>licensed/export-controlled</w:t>
            </w:r>
          </w:p>
        </w:tc>
        <w:tc>
          <w:tcPr>
            <w:tcW w:type="dxa" w:w="2600"/>
          </w:tcPr>
          <w:p>
            <w:pPr>
              <w:keepLines/>
              <w:spacing w:after="0" w:line="276" w:lineRule="auto"/>
            </w:pPr>
            <w:r>
              <w:rPr>
                <w:rFonts w:ascii="Calibri" w:hAnsi="Calibri" w:eastAsia="Microsoft YaHei"/>
                <w:color w:val="0B2545"/>
                <w:sz w:val="13"/>
              </w:rPr>
              <w:t>响应/屏蔽/标定传递。</w:t>
            </w:r>
          </w:p>
        </w:tc>
        <w:tc>
          <w:tcPr>
            <w:tcW w:type="dxa" w:w="2160"/>
          </w:tcPr>
          <w:p>
            <w:pPr>
              <w:keepLines/>
              <w:spacing w:after="0" w:line="276" w:lineRule="auto"/>
            </w:pPr>
            <w:hyperlink r:id="rId88">
              <w:r>
                <w:rPr>
                  <w:rFonts w:ascii="Calibri" w:hAnsi="Calibri" w:eastAsia="Microsoft YaHei"/>
                  <w:color w:val="008C95"/>
                  <w:u w:val="single"/>
                </w:rPr>
                <w:t>打开原始来源 ↗</w:t>
              </w:r>
            </w:hyperlink>
          </w:p>
        </w:tc>
      </w:tr>
      <w:tr>
        <w:trPr>
          <w:cantSplit/>
        </w:trPr>
        <w:tc>
          <w:tcPr>
            <w:tcW w:type="dxa" w:w="1400"/>
          </w:tcPr>
          <w:p>
            <w:pPr>
              <w:keepLines/>
              <w:spacing w:after="0" w:line="276" w:lineRule="auto"/>
            </w:pPr>
            <w:r>
              <w:rPr>
                <w:rFonts w:ascii="Calibri" w:hAnsi="Calibri" w:eastAsia="Microsoft YaHei"/>
                <w:color w:val="0B2545"/>
                <w:sz w:val="13"/>
              </w:rPr>
              <w:t>装置专有分析/标定软件</w:t>
            </w:r>
          </w:p>
        </w:tc>
        <w:tc>
          <w:tcPr>
            <w:tcW w:type="dxa" w:w="1250"/>
          </w:tcPr>
          <w:p>
            <w:pPr>
              <w:keepLines/>
              <w:spacing w:after="0" w:line="276" w:lineRule="auto"/>
            </w:pPr>
            <w:r>
              <w:rPr>
                <w:rFonts w:ascii="Calibri" w:hAnsi="Calibri" w:eastAsia="Microsoft YaHei"/>
                <w:color w:val="0B2545"/>
                <w:sz w:val="13"/>
              </w:rPr>
              <w:t>not-public</w:t>
            </w:r>
          </w:p>
        </w:tc>
        <w:tc>
          <w:tcPr>
            <w:tcW w:type="dxa" w:w="1050"/>
          </w:tcPr>
          <w:p>
            <w:pPr>
              <w:keepLines/>
              <w:spacing w:after="0" w:line="276" w:lineRule="auto"/>
            </w:pPr>
            <w:r>
              <w:rPr>
                <w:rFonts w:ascii="Calibri" w:hAnsi="Calibri" w:eastAsia="Microsoft YaHei"/>
                <w:color w:val="0B2545"/>
                <w:sz w:val="13"/>
              </w:rPr>
              <w:t>operational-analysis-pipeline</w:t>
            </w:r>
          </w:p>
        </w:tc>
        <w:tc>
          <w:tcPr>
            <w:tcW w:type="dxa" w:w="900"/>
          </w:tcPr>
          <w:p>
            <w:pPr>
              <w:keepLines/>
              <w:spacing w:after="0" w:line="276" w:lineRule="auto"/>
            </w:pPr>
            <w:r>
              <w:rPr>
                <w:rFonts w:ascii="Calibri" w:hAnsi="Calibri" w:eastAsia="Microsoft YaHei"/>
                <w:color w:val="0B2545"/>
                <w:sz w:val="13"/>
              </w:rPr>
              <w:t>not public</w:t>
            </w:r>
          </w:p>
        </w:tc>
        <w:tc>
          <w:tcPr>
            <w:tcW w:type="dxa" w:w="2600"/>
          </w:tcPr>
          <w:p>
            <w:pPr>
              <w:keepLines/>
              <w:spacing w:after="0" w:line="276" w:lineRule="auto"/>
            </w:pPr>
            <w:r>
              <w:rPr>
                <w:rFonts w:ascii="Calibri" w:hAnsi="Calibri" w:eastAsia="Microsoft YaHei"/>
                <w:color w:val="0B2545"/>
                <w:sz w:val="13"/>
              </w:rPr>
              <w:t>在线计量数据库与控制接口未公开。</w:t>
            </w:r>
          </w:p>
        </w:tc>
        <w:tc>
          <w:tcPr>
            <w:tcW w:type="dxa" w:w="2160"/>
          </w:tcPr>
          <w:p>
            <w:pPr>
              <w:keepLines/>
              <w:spacing w:after="0" w:line="276" w:lineRule="auto"/>
            </w:pPr>
            <w:r>
              <w:rPr>
                <w:rFonts w:ascii="Calibri" w:hAnsi="Calibri" w:eastAsia="Microsoft YaHei"/>
                <w:color w:val="0B2545"/>
                <w:sz w:val="13"/>
              </w:rPr>
              <w:t>未公开</w:t>
            </w:r>
          </w:p>
        </w:tc>
      </w:tr>
      <w:tr>
        <w:trPr>
          <w:cantSplit/>
        </w:trPr>
        <w:tc>
          <w:tcPr>
            <w:tcW w:type="dxa" w:w="1400"/>
          </w:tcPr>
          <w:p>
            <w:pPr>
              <w:keepLines/>
              <w:spacing w:after="0" w:line="276" w:lineRule="auto"/>
            </w:pPr>
            <w:r>
              <w:rPr>
                <w:rFonts w:ascii="Calibri" w:hAnsi="Calibri" w:eastAsia="Microsoft YaHei"/>
                <w:color w:val="0B2545"/>
                <w:sz w:val="13"/>
              </w:rPr>
              <w:t>MCNP</w:t>
            </w:r>
          </w:p>
        </w:tc>
        <w:tc>
          <w:tcPr>
            <w:tcW w:type="dxa" w:w="1250"/>
          </w:tcPr>
          <w:p>
            <w:pPr>
              <w:keepLines/>
              <w:spacing w:after="0" w:line="276" w:lineRule="auto"/>
            </w:pPr>
            <w:r>
              <w:rPr>
                <w:rFonts w:ascii="Calibri" w:hAnsi="Calibri" w:eastAsia="Microsoft YaHei"/>
                <w:color w:val="0B2545"/>
                <w:sz w:val="13"/>
              </w:rPr>
              <w:t>controlled-access</w:t>
            </w:r>
          </w:p>
        </w:tc>
        <w:tc>
          <w:tcPr>
            <w:tcW w:type="dxa" w:w="1050"/>
          </w:tcPr>
          <w:p>
            <w:pPr>
              <w:keepLines/>
              <w:spacing w:after="0" w:line="276" w:lineRule="auto"/>
            </w:pPr>
            <w:r>
              <w:rPr>
                <w:rFonts w:ascii="Calibri" w:hAnsi="Calibri" w:eastAsia="Microsoft YaHei"/>
                <w:color w:val="0B2545"/>
                <w:sz w:val="13"/>
              </w:rPr>
              <w:t>radiation-transport-code</w:t>
            </w:r>
          </w:p>
        </w:tc>
        <w:tc>
          <w:tcPr>
            <w:tcW w:type="dxa" w:w="900"/>
          </w:tcPr>
          <w:p>
            <w:pPr>
              <w:keepLines/>
              <w:spacing w:after="0" w:line="276" w:lineRule="auto"/>
            </w:pPr>
            <w:r>
              <w:rPr>
                <w:rFonts w:ascii="Calibri" w:hAnsi="Calibri" w:eastAsia="Microsoft YaHei"/>
                <w:color w:val="0B2545"/>
                <w:sz w:val="13"/>
              </w:rPr>
              <w:t>licensed/export-controlled</w:t>
            </w:r>
          </w:p>
        </w:tc>
        <w:tc>
          <w:tcPr>
            <w:tcW w:type="dxa" w:w="2600"/>
          </w:tcPr>
          <w:p>
            <w:pPr>
              <w:keepLines/>
              <w:spacing w:after="0" w:line="276" w:lineRule="auto"/>
            </w:pPr>
            <w:r>
              <w:rPr>
                <w:rFonts w:ascii="Calibri" w:hAnsi="Calibri" w:eastAsia="Microsoft YaHei"/>
                <w:color w:val="0B2545"/>
                <w:sz w:val="13"/>
              </w:rPr>
              <w:t>相机响应和散射串扰。</w:t>
            </w:r>
          </w:p>
        </w:tc>
        <w:tc>
          <w:tcPr>
            <w:tcW w:type="dxa" w:w="2160"/>
          </w:tcPr>
          <w:p>
            <w:pPr>
              <w:keepLines/>
              <w:spacing w:after="0" w:line="276" w:lineRule="auto"/>
            </w:pPr>
            <w:hyperlink r:id="rId88">
              <w:r>
                <w:rPr>
                  <w:rFonts w:ascii="Calibri" w:hAnsi="Calibri" w:eastAsia="Microsoft YaHei"/>
                  <w:color w:val="008C95"/>
                  <w:u w:val="single"/>
                </w:rPr>
                <w:t>打开原始来源 ↗</w:t>
              </w:r>
            </w:hyperlink>
          </w:p>
        </w:tc>
      </w:tr>
      <w:tr>
        <w:trPr>
          <w:cantSplit/>
        </w:trPr>
        <w:tc>
          <w:tcPr>
            <w:tcW w:type="dxa" w:w="1400"/>
          </w:tcPr>
          <w:p>
            <w:pPr>
              <w:keepLines/>
              <w:spacing w:after="0" w:line="276" w:lineRule="auto"/>
            </w:pPr>
            <w:r>
              <w:rPr>
                <w:rFonts w:ascii="Calibri" w:hAnsi="Calibri" w:eastAsia="Microsoft YaHei"/>
                <w:color w:val="0B2545"/>
                <w:sz w:val="13"/>
              </w:rPr>
              <w:t>装置专有分析/标定软件</w:t>
            </w:r>
          </w:p>
        </w:tc>
        <w:tc>
          <w:tcPr>
            <w:tcW w:type="dxa" w:w="1250"/>
          </w:tcPr>
          <w:p>
            <w:pPr>
              <w:keepLines/>
              <w:spacing w:after="0" w:line="276" w:lineRule="auto"/>
            </w:pPr>
            <w:r>
              <w:rPr>
                <w:rFonts w:ascii="Calibri" w:hAnsi="Calibri" w:eastAsia="Microsoft YaHei"/>
                <w:color w:val="0B2545"/>
                <w:sz w:val="13"/>
              </w:rPr>
              <w:t>not-public</w:t>
            </w:r>
          </w:p>
        </w:tc>
        <w:tc>
          <w:tcPr>
            <w:tcW w:type="dxa" w:w="1050"/>
          </w:tcPr>
          <w:p>
            <w:pPr>
              <w:keepLines/>
              <w:spacing w:after="0" w:line="276" w:lineRule="auto"/>
            </w:pPr>
            <w:r>
              <w:rPr>
                <w:rFonts w:ascii="Calibri" w:hAnsi="Calibri" w:eastAsia="Microsoft YaHei"/>
                <w:color w:val="0B2545"/>
                <w:sz w:val="13"/>
              </w:rPr>
              <w:t>operational-analysis-pipeline</w:t>
            </w:r>
          </w:p>
        </w:tc>
        <w:tc>
          <w:tcPr>
            <w:tcW w:type="dxa" w:w="900"/>
          </w:tcPr>
          <w:p>
            <w:pPr>
              <w:keepLines/>
              <w:spacing w:after="0" w:line="276" w:lineRule="auto"/>
            </w:pPr>
            <w:r>
              <w:rPr>
                <w:rFonts w:ascii="Calibri" w:hAnsi="Calibri" w:eastAsia="Microsoft YaHei"/>
                <w:color w:val="0B2545"/>
                <w:sz w:val="13"/>
              </w:rPr>
              <w:t>not public</w:t>
            </w:r>
          </w:p>
        </w:tc>
        <w:tc>
          <w:tcPr>
            <w:tcW w:type="dxa" w:w="2600"/>
          </w:tcPr>
          <w:p>
            <w:pPr>
              <w:keepLines/>
              <w:spacing w:after="0" w:line="276" w:lineRule="auto"/>
            </w:pPr>
            <w:r>
              <w:rPr>
                <w:rFonts w:ascii="Calibri" w:hAnsi="Calibri" w:eastAsia="Microsoft YaHei"/>
                <w:color w:val="0B2545"/>
                <w:sz w:val="13"/>
              </w:rPr>
              <w:t>RNC生产层析代码未公开。</w:t>
            </w:r>
          </w:p>
        </w:tc>
        <w:tc>
          <w:tcPr>
            <w:tcW w:type="dxa" w:w="2160"/>
          </w:tcPr>
          <w:p>
            <w:pPr>
              <w:keepLines/>
              <w:spacing w:after="0" w:line="276" w:lineRule="auto"/>
            </w:pPr>
            <w:r>
              <w:rPr>
                <w:rFonts w:ascii="Calibri" w:hAnsi="Calibri" w:eastAsia="Microsoft YaHei"/>
                <w:color w:val="0B2545"/>
                <w:sz w:val="13"/>
              </w:rPr>
              <w:t>未公开</w:t>
            </w:r>
          </w:p>
        </w:tc>
      </w:tr>
      <w:tr>
        <w:trPr>
          <w:cantSplit/>
        </w:trPr>
        <w:tc>
          <w:tcPr>
            <w:tcW w:type="dxa" w:w="1400"/>
          </w:tcPr>
          <w:p>
            <w:pPr>
              <w:keepLines/>
              <w:spacing w:after="0" w:line="276" w:lineRule="auto"/>
            </w:pPr>
            <w:r>
              <w:rPr>
                <w:rFonts w:ascii="Calibri" w:hAnsi="Calibri" w:eastAsia="Microsoft YaHei"/>
                <w:color w:val="0B2545"/>
                <w:sz w:val="13"/>
              </w:rPr>
              <w:t>装置专有分析/标定软件</w:t>
            </w:r>
          </w:p>
        </w:tc>
        <w:tc>
          <w:tcPr>
            <w:tcW w:type="dxa" w:w="1250"/>
          </w:tcPr>
          <w:p>
            <w:pPr>
              <w:keepLines/>
              <w:spacing w:after="0" w:line="276" w:lineRule="auto"/>
            </w:pPr>
            <w:r>
              <w:rPr>
                <w:rFonts w:ascii="Calibri" w:hAnsi="Calibri" w:eastAsia="Microsoft YaHei"/>
                <w:color w:val="0B2545"/>
                <w:sz w:val="13"/>
              </w:rPr>
              <w:t>not-public</w:t>
            </w:r>
          </w:p>
        </w:tc>
        <w:tc>
          <w:tcPr>
            <w:tcW w:type="dxa" w:w="1050"/>
          </w:tcPr>
          <w:p>
            <w:pPr>
              <w:keepLines/>
              <w:spacing w:after="0" w:line="276" w:lineRule="auto"/>
            </w:pPr>
            <w:r>
              <w:rPr>
                <w:rFonts w:ascii="Calibri" w:hAnsi="Calibri" w:eastAsia="Microsoft YaHei"/>
                <w:color w:val="0B2545"/>
                <w:sz w:val="13"/>
              </w:rPr>
              <w:t>operational-analysis-pipeline</w:t>
            </w:r>
          </w:p>
        </w:tc>
        <w:tc>
          <w:tcPr>
            <w:tcW w:type="dxa" w:w="900"/>
          </w:tcPr>
          <w:p>
            <w:pPr>
              <w:keepLines/>
              <w:spacing w:after="0" w:line="276" w:lineRule="auto"/>
            </w:pPr>
            <w:r>
              <w:rPr>
                <w:rFonts w:ascii="Calibri" w:hAnsi="Calibri" w:eastAsia="Microsoft YaHei"/>
                <w:color w:val="0B2545"/>
                <w:sz w:val="13"/>
              </w:rPr>
              <w:t>not public</w:t>
            </w:r>
          </w:p>
        </w:tc>
        <w:tc>
          <w:tcPr>
            <w:tcW w:type="dxa" w:w="2600"/>
          </w:tcPr>
          <w:p>
            <w:pPr>
              <w:keepLines/>
              <w:spacing w:after="0" w:line="276" w:lineRule="auto"/>
            </w:pPr>
            <w:r>
              <w:rPr>
                <w:rFonts w:ascii="Calibri" w:hAnsi="Calibri" w:eastAsia="Microsoft YaHei"/>
                <w:color w:val="0B2545"/>
                <w:sz w:val="13"/>
              </w:rPr>
              <w:t>JET/ITER谱反卷积和核数据配置未作为完整仓库公开。</w:t>
            </w:r>
          </w:p>
        </w:tc>
        <w:tc>
          <w:tcPr>
            <w:tcW w:type="dxa" w:w="2160"/>
          </w:tcPr>
          <w:p>
            <w:pPr>
              <w:keepLines/>
              <w:spacing w:after="0" w:line="276" w:lineRule="auto"/>
            </w:pPr>
            <w:r>
              <w:rPr>
                <w:rFonts w:ascii="Calibri" w:hAnsi="Calibri" w:eastAsia="Microsoft YaHei"/>
                <w:color w:val="0B2545"/>
                <w:sz w:val="13"/>
              </w:rPr>
              <w:t>未公开</w:t>
            </w:r>
          </w:p>
        </w:tc>
      </w:tr>
      <w:tr>
        <w:trPr>
          <w:cantSplit/>
        </w:trPr>
        <w:tc>
          <w:tcPr>
            <w:tcW w:type="dxa" w:w="1400"/>
          </w:tcPr>
          <w:p>
            <w:pPr>
              <w:keepLines/>
              <w:spacing w:after="0" w:line="276" w:lineRule="auto"/>
            </w:pPr>
            <w:r>
              <w:rPr>
                <w:rFonts w:ascii="Calibri" w:hAnsi="Calibri" w:eastAsia="Microsoft YaHei"/>
                <w:color w:val="0B2545"/>
                <w:sz w:val="13"/>
              </w:rPr>
              <w:t>MCNP</w:t>
            </w:r>
          </w:p>
        </w:tc>
        <w:tc>
          <w:tcPr>
            <w:tcW w:type="dxa" w:w="1250"/>
          </w:tcPr>
          <w:p>
            <w:pPr>
              <w:keepLines/>
              <w:spacing w:after="0" w:line="276" w:lineRule="auto"/>
            </w:pPr>
            <w:r>
              <w:rPr>
                <w:rFonts w:ascii="Calibri" w:hAnsi="Calibri" w:eastAsia="Microsoft YaHei"/>
                <w:color w:val="0B2545"/>
                <w:sz w:val="13"/>
              </w:rPr>
              <w:t>controlled-access</w:t>
            </w:r>
          </w:p>
        </w:tc>
        <w:tc>
          <w:tcPr>
            <w:tcW w:type="dxa" w:w="1050"/>
          </w:tcPr>
          <w:p>
            <w:pPr>
              <w:keepLines/>
              <w:spacing w:after="0" w:line="276" w:lineRule="auto"/>
            </w:pPr>
            <w:r>
              <w:rPr>
                <w:rFonts w:ascii="Calibri" w:hAnsi="Calibri" w:eastAsia="Microsoft YaHei"/>
                <w:color w:val="0B2545"/>
                <w:sz w:val="13"/>
              </w:rPr>
              <w:t>radiation-transport-code</w:t>
            </w:r>
          </w:p>
        </w:tc>
        <w:tc>
          <w:tcPr>
            <w:tcW w:type="dxa" w:w="900"/>
          </w:tcPr>
          <w:p>
            <w:pPr>
              <w:keepLines/>
              <w:spacing w:after="0" w:line="276" w:lineRule="auto"/>
            </w:pPr>
            <w:r>
              <w:rPr>
                <w:rFonts w:ascii="Calibri" w:hAnsi="Calibri" w:eastAsia="Microsoft YaHei"/>
                <w:color w:val="0B2545"/>
                <w:sz w:val="13"/>
              </w:rPr>
              <w:t>licensed/export-controlled</w:t>
            </w:r>
          </w:p>
        </w:tc>
        <w:tc>
          <w:tcPr>
            <w:tcW w:type="dxa" w:w="2600"/>
          </w:tcPr>
          <w:p>
            <w:pPr>
              <w:keepLines/>
              <w:spacing w:after="0" w:line="276" w:lineRule="auto"/>
            </w:pPr>
            <w:r>
              <w:rPr>
                <w:rFonts w:ascii="Calibri" w:hAnsi="Calibri" w:eastAsia="Microsoft YaHei"/>
                <w:color w:val="0B2545"/>
                <w:sz w:val="13"/>
              </w:rPr>
              <w:t>活化位置响应与谱折叠。</w:t>
            </w:r>
          </w:p>
        </w:tc>
        <w:tc>
          <w:tcPr>
            <w:tcW w:type="dxa" w:w="2160"/>
          </w:tcPr>
          <w:p>
            <w:pPr>
              <w:keepLines/>
              <w:spacing w:after="0" w:line="276" w:lineRule="auto"/>
            </w:pPr>
            <w:hyperlink r:id="rId88">
              <w:r>
                <w:rPr>
                  <w:rFonts w:ascii="Calibri" w:hAnsi="Calibri" w:eastAsia="Microsoft YaHei"/>
                  <w:color w:val="008C95"/>
                  <w:u w:val="single"/>
                </w:rPr>
                <w:t>打开原始来源 ↗</w:t>
              </w:r>
            </w:hyperlink>
          </w:p>
        </w:tc>
      </w:tr>
      <w:tr>
        <w:trPr>
          <w:cantSplit/>
        </w:trPr>
        <w:tc>
          <w:tcPr>
            <w:tcW w:type="dxa" w:w="1400"/>
          </w:tcPr>
          <w:p>
            <w:pPr>
              <w:keepLines/>
              <w:spacing w:after="0" w:line="276" w:lineRule="auto"/>
            </w:pPr>
            <w:r>
              <w:rPr>
                <w:rFonts w:ascii="Calibri" w:hAnsi="Calibri" w:eastAsia="Microsoft YaHei"/>
                <w:color w:val="0B2545"/>
                <w:sz w:val="13"/>
              </w:rPr>
              <w:t>装置专有分析/标定软件</w:t>
            </w:r>
          </w:p>
        </w:tc>
        <w:tc>
          <w:tcPr>
            <w:tcW w:type="dxa" w:w="1250"/>
          </w:tcPr>
          <w:p>
            <w:pPr>
              <w:keepLines/>
              <w:spacing w:after="0" w:line="276" w:lineRule="auto"/>
            </w:pPr>
            <w:r>
              <w:rPr>
                <w:rFonts w:ascii="Calibri" w:hAnsi="Calibri" w:eastAsia="Microsoft YaHei"/>
                <w:color w:val="0B2545"/>
                <w:sz w:val="13"/>
              </w:rPr>
              <w:t>not-public</w:t>
            </w:r>
          </w:p>
        </w:tc>
        <w:tc>
          <w:tcPr>
            <w:tcW w:type="dxa" w:w="1050"/>
          </w:tcPr>
          <w:p>
            <w:pPr>
              <w:keepLines/>
              <w:spacing w:after="0" w:line="276" w:lineRule="auto"/>
            </w:pPr>
            <w:r>
              <w:rPr>
                <w:rFonts w:ascii="Calibri" w:hAnsi="Calibri" w:eastAsia="Microsoft YaHei"/>
                <w:color w:val="0B2545"/>
                <w:sz w:val="13"/>
              </w:rPr>
              <w:t>operational-analysis-pipeline</w:t>
            </w:r>
          </w:p>
        </w:tc>
        <w:tc>
          <w:tcPr>
            <w:tcW w:type="dxa" w:w="900"/>
          </w:tcPr>
          <w:p>
            <w:pPr>
              <w:keepLines/>
              <w:spacing w:after="0" w:line="276" w:lineRule="auto"/>
            </w:pPr>
            <w:r>
              <w:rPr>
                <w:rFonts w:ascii="Calibri" w:hAnsi="Calibri" w:eastAsia="Microsoft YaHei"/>
                <w:color w:val="0B2545"/>
                <w:sz w:val="13"/>
              </w:rPr>
              <w:t>not public</w:t>
            </w:r>
          </w:p>
        </w:tc>
        <w:tc>
          <w:tcPr>
            <w:tcW w:type="dxa" w:w="2600"/>
          </w:tcPr>
          <w:p>
            <w:pPr>
              <w:keepLines/>
              <w:spacing w:after="0" w:line="276" w:lineRule="auto"/>
            </w:pPr>
            <w:r>
              <w:rPr>
                <w:rFonts w:ascii="Calibri" w:hAnsi="Calibri" w:eastAsia="Microsoft YaHei"/>
                <w:color w:val="0B2545"/>
                <w:sz w:val="13"/>
              </w:rPr>
              <w:t>气动控制和活度分析生产代码未公开。</w:t>
            </w:r>
          </w:p>
        </w:tc>
        <w:tc>
          <w:tcPr>
            <w:tcW w:type="dxa" w:w="2160"/>
          </w:tcPr>
          <w:p>
            <w:pPr>
              <w:keepLines/>
              <w:spacing w:after="0" w:line="276" w:lineRule="auto"/>
            </w:pPr>
            <w:r>
              <w:rPr>
                <w:rFonts w:ascii="Calibri" w:hAnsi="Calibri" w:eastAsia="Microsoft YaHei"/>
                <w:color w:val="0B2545"/>
                <w:sz w:val="13"/>
              </w:rPr>
              <w:t>未公开</w:t>
            </w:r>
          </w:p>
        </w:tc>
      </w:tr>
      <w:tr>
        <w:trPr>
          <w:cantSplit/>
        </w:trPr>
        <w:tc>
          <w:tcPr>
            <w:tcW w:type="dxa" w:w="1400"/>
          </w:tcPr>
          <w:p>
            <w:pPr>
              <w:keepLines/>
              <w:spacing w:after="0" w:line="276" w:lineRule="auto"/>
            </w:pPr>
            <w:r>
              <w:rPr>
                <w:rFonts w:ascii="Calibri" w:hAnsi="Calibri" w:eastAsia="Microsoft YaHei"/>
                <w:color w:val="0B2545"/>
                <w:sz w:val="13"/>
              </w:rPr>
              <w:t>Geant4</w:t>
            </w:r>
          </w:p>
        </w:tc>
        <w:tc>
          <w:tcPr>
            <w:tcW w:type="dxa" w:w="1250"/>
          </w:tcPr>
          <w:p>
            <w:pPr>
              <w:keepLines/>
              <w:spacing w:after="0" w:line="276" w:lineRule="auto"/>
            </w:pPr>
            <w:r>
              <w:rPr>
                <w:rFonts w:ascii="Calibri" w:hAnsi="Calibri" w:eastAsia="Microsoft YaHei"/>
                <w:color w:val="0B2545"/>
                <w:sz w:val="13"/>
              </w:rPr>
              <w:t>official-enabling</w:t>
            </w:r>
          </w:p>
        </w:tc>
        <w:tc>
          <w:tcPr>
            <w:tcW w:type="dxa" w:w="1050"/>
          </w:tcPr>
          <w:p>
            <w:pPr>
              <w:keepLines/>
              <w:spacing w:after="0" w:line="276" w:lineRule="auto"/>
            </w:pPr>
            <w:r>
              <w:rPr>
                <w:rFonts w:ascii="Calibri" w:hAnsi="Calibri" w:eastAsia="Microsoft YaHei"/>
                <w:color w:val="0B2545"/>
                <w:sz w:val="13"/>
              </w:rPr>
              <w:t>particle-transport-toolkit</w:t>
            </w:r>
          </w:p>
        </w:tc>
        <w:tc>
          <w:tcPr>
            <w:tcW w:type="dxa" w:w="900"/>
          </w:tcPr>
          <w:p>
            <w:pPr>
              <w:keepLines/>
              <w:spacing w:after="0" w:line="276" w:lineRule="auto"/>
            </w:pPr>
            <w:r>
              <w:rPr>
                <w:rFonts w:ascii="Calibri" w:hAnsi="Calibri" w:eastAsia="Microsoft YaHei"/>
                <w:color w:val="0B2545"/>
                <w:sz w:val="13"/>
              </w:rPr>
              <w:t>public</w:t>
            </w:r>
          </w:p>
        </w:tc>
        <w:tc>
          <w:tcPr>
            <w:tcW w:type="dxa" w:w="2600"/>
          </w:tcPr>
          <w:p>
            <w:pPr>
              <w:keepLines/>
              <w:spacing w:after="0" w:line="276" w:lineRule="auto"/>
            </w:pPr>
            <w:r>
              <w:rPr>
                <w:rFonts w:ascii="Calibri" w:hAnsi="Calibri" w:eastAsia="Microsoft YaHei"/>
                <w:color w:val="0B2545"/>
                <w:sz w:val="13"/>
              </w:rPr>
              <w:t>探测器效率、屏蔽和背景响应。</w:t>
            </w:r>
          </w:p>
        </w:tc>
        <w:tc>
          <w:tcPr>
            <w:tcW w:type="dxa" w:w="2160"/>
          </w:tcPr>
          <w:p>
            <w:pPr>
              <w:keepLines/>
              <w:spacing w:after="0" w:line="276" w:lineRule="auto"/>
            </w:pPr>
            <w:hyperlink r:id="rId85">
              <w:r>
                <w:rPr>
                  <w:rFonts w:ascii="Calibri" w:hAnsi="Calibri" w:eastAsia="Microsoft YaHei"/>
                  <w:color w:val="008C95"/>
                  <w:u w:val="single"/>
                </w:rPr>
                <w:t>打开原始来源 ↗</w:t>
              </w:r>
            </w:hyperlink>
          </w:p>
        </w:tc>
      </w:tr>
      <w:tr>
        <w:trPr>
          <w:cantSplit/>
        </w:trPr>
        <w:tc>
          <w:tcPr>
            <w:tcW w:type="dxa" w:w="1400"/>
          </w:tcPr>
          <w:p>
            <w:pPr>
              <w:keepLines/>
              <w:spacing w:after="0" w:line="276" w:lineRule="auto"/>
            </w:pPr>
            <w:r>
              <w:rPr>
                <w:rFonts w:ascii="Calibri" w:hAnsi="Calibri" w:eastAsia="Microsoft YaHei"/>
                <w:color w:val="0B2545"/>
                <w:sz w:val="13"/>
              </w:rPr>
              <w:t>装置专有分析/标定软件</w:t>
            </w:r>
          </w:p>
        </w:tc>
        <w:tc>
          <w:tcPr>
            <w:tcW w:type="dxa" w:w="1250"/>
          </w:tcPr>
          <w:p>
            <w:pPr>
              <w:keepLines/>
              <w:spacing w:after="0" w:line="276" w:lineRule="auto"/>
            </w:pPr>
            <w:r>
              <w:rPr>
                <w:rFonts w:ascii="Calibri" w:hAnsi="Calibri" w:eastAsia="Microsoft YaHei"/>
                <w:color w:val="0B2545"/>
                <w:sz w:val="13"/>
              </w:rPr>
              <w:t>not-public</w:t>
            </w:r>
          </w:p>
        </w:tc>
        <w:tc>
          <w:tcPr>
            <w:tcW w:type="dxa" w:w="1050"/>
          </w:tcPr>
          <w:p>
            <w:pPr>
              <w:keepLines/>
              <w:spacing w:after="0" w:line="276" w:lineRule="auto"/>
            </w:pPr>
            <w:r>
              <w:rPr>
                <w:rFonts w:ascii="Calibri" w:hAnsi="Calibri" w:eastAsia="Microsoft YaHei"/>
                <w:color w:val="0B2545"/>
                <w:sz w:val="13"/>
              </w:rPr>
              <w:t>operational-analysis-pipeline</w:t>
            </w:r>
          </w:p>
        </w:tc>
        <w:tc>
          <w:tcPr>
            <w:tcW w:type="dxa" w:w="900"/>
          </w:tcPr>
          <w:p>
            <w:pPr>
              <w:keepLines/>
              <w:spacing w:after="0" w:line="276" w:lineRule="auto"/>
            </w:pPr>
            <w:r>
              <w:rPr>
                <w:rFonts w:ascii="Calibri" w:hAnsi="Calibri" w:eastAsia="Microsoft YaHei"/>
                <w:color w:val="0B2545"/>
                <w:sz w:val="13"/>
              </w:rPr>
              <w:t>not public</w:t>
            </w:r>
          </w:p>
        </w:tc>
        <w:tc>
          <w:tcPr>
            <w:tcW w:type="dxa" w:w="2600"/>
          </w:tcPr>
          <w:p>
            <w:pPr>
              <w:keepLines/>
              <w:spacing w:after="0" w:line="276" w:lineRule="auto"/>
            </w:pPr>
            <w:r>
              <w:rPr>
                <w:rFonts w:ascii="Calibri" w:hAnsi="Calibri" w:eastAsia="Microsoft YaHei"/>
                <w:color w:val="0B2545"/>
                <w:sz w:val="13"/>
              </w:rPr>
              <w:t>JET峰拟合/核反应反演未公开。</w:t>
            </w:r>
          </w:p>
        </w:tc>
        <w:tc>
          <w:tcPr>
            <w:tcW w:type="dxa" w:w="2160"/>
          </w:tcPr>
          <w:p>
            <w:pPr>
              <w:keepLines/>
              <w:spacing w:after="0" w:line="276" w:lineRule="auto"/>
            </w:pPr>
            <w:r>
              <w:rPr>
                <w:rFonts w:ascii="Calibri" w:hAnsi="Calibri" w:eastAsia="Microsoft YaHei"/>
                <w:color w:val="0B2545"/>
                <w:sz w:val="13"/>
              </w:rPr>
              <w:t>未公开</w:t>
            </w:r>
          </w:p>
        </w:tc>
      </w:tr>
      <w:tr>
        <w:trPr>
          <w:cantSplit/>
        </w:trPr>
        <w:tc>
          <w:tcPr>
            <w:tcW w:type="dxa" w:w="1400"/>
          </w:tcPr>
          <w:p>
            <w:pPr>
              <w:keepLines/>
              <w:spacing w:after="0" w:line="276" w:lineRule="auto"/>
            </w:pPr>
            <w:r>
              <w:rPr>
                <w:rFonts w:ascii="Calibri" w:hAnsi="Calibri" w:eastAsia="Microsoft YaHei"/>
                <w:color w:val="0B2545"/>
                <w:sz w:val="13"/>
              </w:rPr>
              <w:t>FIDASIM</w:t>
            </w:r>
          </w:p>
        </w:tc>
        <w:tc>
          <w:tcPr>
            <w:tcW w:type="dxa" w:w="1250"/>
          </w:tcPr>
          <w:p>
            <w:pPr>
              <w:keepLines/>
              <w:spacing w:after="0" w:line="276" w:lineRule="auto"/>
            </w:pPr>
            <w:r>
              <w:rPr>
                <w:rFonts w:ascii="Calibri" w:hAnsi="Calibri" w:eastAsia="Microsoft YaHei"/>
                <w:color w:val="0B2545"/>
                <w:sz w:val="13"/>
              </w:rPr>
              <w:t>official-direct</w:t>
            </w:r>
          </w:p>
        </w:tc>
        <w:tc>
          <w:tcPr>
            <w:tcW w:type="dxa" w:w="1050"/>
          </w:tcPr>
          <w:p>
            <w:pPr>
              <w:keepLines/>
              <w:spacing w:after="0" w:line="276" w:lineRule="auto"/>
            </w:pPr>
            <w:r>
              <w:rPr>
                <w:rFonts w:ascii="Calibri" w:hAnsi="Calibri" w:eastAsia="Microsoft YaHei"/>
                <w:color w:val="0B2545"/>
                <w:sz w:val="13"/>
              </w:rPr>
              <w:t>open-source-FIDA-forward-model</w:t>
            </w:r>
          </w:p>
        </w:tc>
        <w:tc>
          <w:tcPr>
            <w:tcW w:type="dxa" w:w="900"/>
          </w:tcPr>
          <w:p>
            <w:pPr>
              <w:keepLines/>
              <w:spacing w:after="0" w:line="276" w:lineRule="auto"/>
            </w:pPr>
            <w:r>
              <w:rPr>
                <w:rFonts w:ascii="Calibri" w:hAnsi="Calibri" w:eastAsia="Microsoft YaHei"/>
                <w:color w:val="0B2545"/>
                <w:sz w:val="13"/>
              </w:rPr>
              <w:t>public</w:t>
            </w:r>
          </w:p>
        </w:tc>
        <w:tc>
          <w:tcPr>
            <w:tcW w:type="dxa" w:w="2600"/>
          </w:tcPr>
          <w:p>
            <w:pPr>
              <w:keepLines/>
              <w:spacing w:after="0" w:line="276" w:lineRule="auto"/>
            </w:pPr>
            <w:r>
              <w:rPr>
                <w:rFonts w:ascii="Calibri" w:hAnsi="Calibri" w:eastAsia="Microsoft YaHei"/>
                <w:color w:val="0B2545"/>
                <w:sz w:val="13"/>
              </w:rPr>
              <w:t>束、原子、权函数和合成FIDA谱。</w:t>
            </w:r>
          </w:p>
        </w:tc>
        <w:tc>
          <w:tcPr>
            <w:tcW w:type="dxa" w:w="2160"/>
          </w:tcPr>
          <w:p>
            <w:pPr>
              <w:keepLines/>
              <w:spacing w:after="0" w:line="276" w:lineRule="auto"/>
            </w:pPr>
            <w:hyperlink r:id="rId66">
              <w:r>
                <w:rPr>
                  <w:rFonts w:ascii="Calibri" w:hAnsi="Calibri" w:eastAsia="Microsoft YaHei"/>
                  <w:color w:val="008C95"/>
                  <w:u w:val="single"/>
                </w:rPr>
                <w:t>打开原始来源 ↗</w:t>
              </w:r>
            </w:hyperlink>
          </w:p>
        </w:tc>
      </w:tr>
      <w:tr>
        <w:trPr>
          <w:cantSplit/>
        </w:trPr>
        <w:tc>
          <w:tcPr>
            <w:tcW w:type="dxa" w:w="1400"/>
          </w:tcPr>
          <w:p>
            <w:pPr>
              <w:keepLines/>
              <w:spacing w:after="0" w:line="276" w:lineRule="auto"/>
            </w:pPr>
            <w:r>
              <w:rPr>
                <w:rFonts w:ascii="Calibri" w:hAnsi="Calibri" w:eastAsia="Microsoft YaHei"/>
                <w:color w:val="0B2545"/>
                <w:sz w:val="13"/>
              </w:rPr>
              <w:t>装置专有分析/标定软件</w:t>
            </w:r>
          </w:p>
        </w:tc>
        <w:tc>
          <w:tcPr>
            <w:tcW w:type="dxa" w:w="1250"/>
          </w:tcPr>
          <w:p>
            <w:pPr>
              <w:keepLines/>
              <w:spacing w:after="0" w:line="276" w:lineRule="auto"/>
            </w:pPr>
            <w:r>
              <w:rPr>
                <w:rFonts w:ascii="Calibri" w:hAnsi="Calibri" w:eastAsia="Microsoft YaHei"/>
                <w:color w:val="0B2545"/>
                <w:sz w:val="13"/>
              </w:rPr>
              <w:t>not-public</w:t>
            </w:r>
          </w:p>
        </w:tc>
        <w:tc>
          <w:tcPr>
            <w:tcW w:type="dxa" w:w="1050"/>
          </w:tcPr>
          <w:p>
            <w:pPr>
              <w:keepLines/>
              <w:spacing w:after="0" w:line="276" w:lineRule="auto"/>
            </w:pPr>
            <w:r>
              <w:rPr>
                <w:rFonts w:ascii="Calibri" w:hAnsi="Calibri" w:eastAsia="Microsoft YaHei"/>
                <w:color w:val="0B2545"/>
                <w:sz w:val="13"/>
              </w:rPr>
              <w:t>operational-analysis-pipeline</w:t>
            </w:r>
          </w:p>
        </w:tc>
        <w:tc>
          <w:tcPr>
            <w:tcW w:type="dxa" w:w="900"/>
          </w:tcPr>
          <w:p>
            <w:pPr>
              <w:keepLines/>
              <w:spacing w:after="0" w:line="276" w:lineRule="auto"/>
            </w:pPr>
            <w:r>
              <w:rPr>
                <w:rFonts w:ascii="Calibri" w:hAnsi="Calibri" w:eastAsia="Microsoft YaHei"/>
                <w:color w:val="0B2545"/>
                <w:sz w:val="13"/>
              </w:rPr>
              <w:t>not public</w:t>
            </w:r>
          </w:p>
        </w:tc>
        <w:tc>
          <w:tcPr>
            <w:tcW w:type="dxa" w:w="2600"/>
          </w:tcPr>
          <w:p>
            <w:pPr>
              <w:keepLines/>
              <w:spacing w:after="0" w:line="276" w:lineRule="auto"/>
            </w:pPr>
            <w:r>
              <w:rPr>
                <w:rFonts w:ascii="Calibri" w:hAnsi="Calibri" w:eastAsia="Microsoft YaHei"/>
                <w:color w:val="0B2545"/>
                <w:sz w:val="13"/>
              </w:rPr>
              <w:t>CTS谱拟合、准光配置和运行代码未公开。</w:t>
            </w:r>
          </w:p>
        </w:tc>
        <w:tc>
          <w:tcPr>
            <w:tcW w:type="dxa" w:w="2160"/>
          </w:tcPr>
          <w:p>
            <w:pPr>
              <w:keepLines/>
              <w:spacing w:after="0" w:line="276" w:lineRule="auto"/>
            </w:pPr>
            <w:r>
              <w:rPr>
                <w:rFonts w:ascii="Calibri" w:hAnsi="Calibri" w:eastAsia="Microsoft YaHei"/>
                <w:color w:val="0B2545"/>
                <w:sz w:val="13"/>
              </w:rPr>
              <w:t>未公开</w:t>
            </w:r>
          </w:p>
        </w:tc>
      </w:tr>
      <w:tr>
        <w:trPr>
          <w:cantSplit/>
        </w:trPr>
        <w:tc>
          <w:tcPr>
            <w:tcW w:type="dxa" w:w="1400"/>
          </w:tcPr>
          <w:p>
            <w:pPr>
              <w:keepLines/>
              <w:spacing w:after="0" w:line="276" w:lineRule="auto"/>
            </w:pPr>
            <w:r>
              <w:rPr>
                <w:rFonts w:ascii="Calibri" w:hAnsi="Calibri" w:eastAsia="Microsoft YaHei"/>
                <w:color w:val="0B2545"/>
                <w:sz w:val="13"/>
              </w:rPr>
              <w:t>装置专有分析/标定软件</w:t>
            </w:r>
          </w:p>
        </w:tc>
        <w:tc>
          <w:tcPr>
            <w:tcW w:type="dxa" w:w="1250"/>
          </w:tcPr>
          <w:p>
            <w:pPr>
              <w:keepLines/>
              <w:spacing w:after="0" w:line="276" w:lineRule="auto"/>
            </w:pPr>
            <w:r>
              <w:rPr>
                <w:rFonts w:ascii="Calibri" w:hAnsi="Calibri" w:eastAsia="Microsoft YaHei"/>
                <w:color w:val="0B2545"/>
                <w:sz w:val="13"/>
              </w:rPr>
              <w:t>not-public</w:t>
            </w:r>
          </w:p>
        </w:tc>
        <w:tc>
          <w:tcPr>
            <w:tcW w:type="dxa" w:w="1050"/>
          </w:tcPr>
          <w:p>
            <w:pPr>
              <w:keepLines/>
              <w:spacing w:after="0" w:line="276" w:lineRule="auto"/>
            </w:pPr>
            <w:r>
              <w:rPr>
                <w:rFonts w:ascii="Calibri" w:hAnsi="Calibri" w:eastAsia="Microsoft YaHei"/>
                <w:color w:val="0B2545"/>
                <w:sz w:val="13"/>
              </w:rPr>
              <w:t>operational-analysis-pipeline</w:t>
            </w:r>
          </w:p>
        </w:tc>
        <w:tc>
          <w:tcPr>
            <w:tcW w:type="dxa" w:w="900"/>
          </w:tcPr>
          <w:p>
            <w:pPr>
              <w:keepLines/>
              <w:spacing w:after="0" w:line="276" w:lineRule="auto"/>
            </w:pPr>
            <w:r>
              <w:rPr>
                <w:rFonts w:ascii="Calibri" w:hAnsi="Calibri" w:eastAsia="Microsoft YaHei"/>
                <w:color w:val="0B2545"/>
                <w:sz w:val="13"/>
              </w:rPr>
              <w:t>not public</w:t>
            </w:r>
          </w:p>
        </w:tc>
        <w:tc>
          <w:tcPr>
            <w:tcW w:type="dxa" w:w="2600"/>
          </w:tcPr>
          <w:p>
            <w:pPr>
              <w:keepLines/>
              <w:spacing w:after="0" w:line="276" w:lineRule="auto"/>
            </w:pPr>
            <w:r>
              <w:rPr>
                <w:rFonts w:ascii="Calibri" w:hAnsi="Calibri" w:eastAsia="Microsoft YaHei"/>
                <w:color w:val="0B2545"/>
                <w:sz w:val="13"/>
              </w:rPr>
              <w:t>FILD图像映射、轨道数据库与在线事件代码未公开。</w:t>
            </w:r>
          </w:p>
        </w:tc>
        <w:tc>
          <w:tcPr>
            <w:tcW w:type="dxa" w:w="2160"/>
          </w:tcPr>
          <w:p>
            <w:pPr>
              <w:keepLines/>
              <w:spacing w:after="0" w:line="276" w:lineRule="auto"/>
            </w:pPr>
            <w:r>
              <w:rPr>
                <w:rFonts w:ascii="Calibri" w:hAnsi="Calibri" w:eastAsia="Microsoft YaHei"/>
                <w:color w:val="0B2545"/>
                <w:sz w:val="13"/>
              </w:rPr>
              <w:t>未公开</w:t>
            </w:r>
          </w:p>
        </w:tc>
      </w:tr>
      <w:tr>
        <w:trPr>
          <w:cantSplit/>
        </w:trPr>
        <w:tc>
          <w:tcPr>
            <w:tcW w:type="dxa" w:w="1400"/>
          </w:tcPr>
          <w:p>
            <w:pPr>
              <w:keepLines/>
              <w:spacing w:after="0" w:line="276" w:lineRule="auto"/>
            </w:pPr>
            <w:r>
              <w:rPr>
                <w:rFonts w:ascii="Calibri" w:hAnsi="Calibri" w:eastAsia="Microsoft YaHei"/>
                <w:color w:val="0B2545"/>
                <w:sz w:val="13"/>
              </w:rPr>
              <w:t>装置专有分析/标定软件</w:t>
            </w:r>
          </w:p>
        </w:tc>
        <w:tc>
          <w:tcPr>
            <w:tcW w:type="dxa" w:w="1250"/>
          </w:tcPr>
          <w:p>
            <w:pPr>
              <w:keepLines/>
              <w:spacing w:after="0" w:line="276" w:lineRule="auto"/>
            </w:pPr>
            <w:r>
              <w:rPr>
                <w:rFonts w:ascii="Calibri" w:hAnsi="Calibri" w:eastAsia="Microsoft YaHei"/>
                <w:color w:val="0B2545"/>
                <w:sz w:val="13"/>
              </w:rPr>
              <w:t>not-public</w:t>
            </w:r>
          </w:p>
        </w:tc>
        <w:tc>
          <w:tcPr>
            <w:tcW w:type="dxa" w:w="1050"/>
          </w:tcPr>
          <w:p>
            <w:pPr>
              <w:keepLines/>
              <w:spacing w:after="0" w:line="276" w:lineRule="auto"/>
            </w:pPr>
            <w:r>
              <w:rPr>
                <w:rFonts w:ascii="Calibri" w:hAnsi="Calibri" w:eastAsia="Microsoft YaHei"/>
                <w:color w:val="0B2545"/>
                <w:sz w:val="13"/>
              </w:rPr>
              <w:t>operational-analysis-pipeline</w:t>
            </w:r>
          </w:p>
        </w:tc>
        <w:tc>
          <w:tcPr>
            <w:tcW w:type="dxa" w:w="900"/>
          </w:tcPr>
          <w:p>
            <w:pPr>
              <w:keepLines/>
              <w:spacing w:after="0" w:line="276" w:lineRule="auto"/>
            </w:pPr>
            <w:r>
              <w:rPr>
                <w:rFonts w:ascii="Calibri" w:hAnsi="Calibri" w:eastAsia="Microsoft YaHei"/>
                <w:color w:val="0B2545"/>
                <w:sz w:val="13"/>
              </w:rPr>
              <w:t>not public</w:t>
            </w:r>
          </w:p>
        </w:tc>
        <w:tc>
          <w:tcPr>
            <w:tcW w:type="dxa" w:w="2600"/>
          </w:tcPr>
          <w:p>
            <w:pPr>
              <w:keepLines/>
              <w:spacing w:after="0" w:line="276" w:lineRule="auto"/>
            </w:pPr>
            <w:r>
              <w:rPr>
                <w:rFonts w:ascii="Calibri" w:hAnsi="Calibri" w:eastAsia="Microsoft YaHei"/>
                <w:color w:val="0B2545"/>
                <w:sz w:val="13"/>
              </w:rPr>
              <w:t>实时模态识别和保护接口未公开。</w:t>
            </w:r>
          </w:p>
        </w:tc>
        <w:tc>
          <w:tcPr>
            <w:tcW w:type="dxa" w:w="2160"/>
          </w:tcPr>
          <w:p>
            <w:pPr>
              <w:keepLines/>
              <w:spacing w:after="0" w:line="276" w:lineRule="auto"/>
            </w:pPr>
            <w:r>
              <w:rPr>
                <w:rFonts w:ascii="Calibri" w:hAnsi="Calibri" w:eastAsia="Microsoft YaHei"/>
                <w:color w:val="0B2545"/>
                <w:sz w:val="13"/>
              </w:rPr>
              <w:t>未公开</w:t>
            </w:r>
          </w:p>
        </w:tc>
      </w:tr>
      <w:tr>
        <w:trPr>
          <w:cantSplit/>
        </w:trPr>
        <w:tc>
          <w:tcPr>
            <w:tcW w:type="dxa" w:w="1400"/>
          </w:tcPr>
          <w:p>
            <w:pPr>
              <w:keepLines/>
              <w:spacing w:after="0" w:line="276" w:lineRule="auto"/>
            </w:pPr>
            <w:r>
              <w:rPr>
                <w:rFonts w:ascii="Calibri" w:hAnsi="Calibri" w:eastAsia="Microsoft YaHei"/>
                <w:color w:val="0B2545"/>
                <w:sz w:val="13"/>
              </w:rPr>
              <w:t>装置专有分析/标定软件</w:t>
            </w:r>
          </w:p>
        </w:tc>
        <w:tc>
          <w:tcPr>
            <w:tcW w:type="dxa" w:w="1250"/>
          </w:tcPr>
          <w:p>
            <w:pPr>
              <w:keepLines/>
              <w:spacing w:after="0" w:line="276" w:lineRule="auto"/>
            </w:pPr>
            <w:r>
              <w:rPr>
                <w:rFonts w:ascii="Calibri" w:hAnsi="Calibri" w:eastAsia="Microsoft YaHei"/>
                <w:color w:val="0B2545"/>
                <w:sz w:val="13"/>
              </w:rPr>
              <w:t>not-public</w:t>
            </w:r>
          </w:p>
        </w:tc>
        <w:tc>
          <w:tcPr>
            <w:tcW w:type="dxa" w:w="1050"/>
          </w:tcPr>
          <w:p>
            <w:pPr>
              <w:keepLines/>
              <w:spacing w:after="0" w:line="276" w:lineRule="auto"/>
            </w:pPr>
            <w:r>
              <w:rPr>
                <w:rFonts w:ascii="Calibri" w:hAnsi="Calibri" w:eastAsia="Microsoft YaHei"/>
                <w:color w:val="0B2545"/>
                <w:sz w:val="13"/>
              </w:rPr>
              <w:t>operational-analysis-pipeline</w:t>
            </w:r>
          </w:p>
        </w:tc>
        <w:tc>
          <w:tcPr>
            <w:tcW w:type="dxa" w:w="900"/>
          </w:tcPr>
          <w:p>
            <w:pPr>
              <w:keepLines/>
              <w:spacing w:after="0" w:line="276" w:lineRule="auto"/>
            </w:pPr>
            <w:r>
              <w:rPr>
                <w:rFonts w:ascii="Calibri" w:hAnsi="Calibri" w:eastAsia="Microsoft YaHei"/>
                <w:color w:val="0B2545"/>
                <w:sz w:val="13"/>
              </w:rPr>
              <w:t>not public</w:t>
            </w:r>
          </w:p>
        </w:tc>
        <w:tc>
          <w:tcPr>
            <w:tcW w:type="dxa" w:w="2600"/>
          </w:tcPr>
          <w:p>
            <w:pPr>
              <w:keepLines/>
              <w:spacing w:after="0" w:line="276" w:lineRule="auto"/>
            </w:pPr>
            <w:r>
              <w:rPr>
                <w:rFonts w:ascii="Calibri" w:hAnsi="Calibri" w:eastAsia="Microsoft YaHei"/>
                <w:color w:val="0B2545"/>
                <w:sz w:val="13"/>
              </w:rPr>
              <w:t>ECEI成像校准、实时事件识别和射线追踪生产代码未公开。</w:t>
            </w:r>
          </w:p>
        </w:tc>
        <w:tc>
          <w:tcPr>
            <w:tcW w:type="dxa" w:w="2160"/>
          </w:tcPr>
          <w:p>
            <w:pPr>
              <w:keepLines/>
              <w:spacing w:after="0" w:line="276" w:lineRule="auto"/>
            </w:pPr>
            <w:r>
              <w:rPr>
                <w:rFonts w:ascii="Calibri" w:hAnsi="Calibri" w:eastAsia="Microsoft YaHei"/>
                <w:color w:val="0B2545"/>
                <w:sz w:val="13"/>
              </w:rPr>
              <w:t>未公开</w:t>
            </w:r>
          </w:p>
        </w:tc>
      </w:tr>
      <w:tr>
        <w:trPr>
          <w:cantSplit/>
        </w:trPr>
        <w:tc>
          <w:tcPr>
            <w:tcW w:type="dxa" w:w="1400"/>
          </w:tcPr>
          <w:p>
            <w:pPr>
              <w:keepLines/>
              <w:spacing w:after="0" w:line="276" w:lineRule="auto"/>
            </w:pPr>
            <w:r>
              <w:rPr>
                <w:rFonts w:ascii="Calibri" w:hAnsi="Calibri" w:eastAsia="Microsoft YaHei"/>
                <w:color w:val="0B2545"/>
                <w:sz w:val="13"/>
              </w:rPr>
              <w:t>装置专有分析/标定软件</w:t>
            </w:r>
          </w:p>
        </w:tc>
        <w:tc>
          <w:tcPr>
            <w:tcW w:type="dxa" w:w="1250"/>
          </w:tcPr>
          <w:p>
            <w:pPr>
              <w:keepLines/>
              <w:spacing w:after="0" w:line="276" w:lineRule="auto"/>
            </w:pPr>
            <w:r>
              <w:rPr>
                <w:rFonts w:ascii="Calibri" w:hAnsi="Calibri" w:eastAsia="Microsoft YaHei"/>
                <w:color w:val="0B2545"/>
                <w:sz w:val="13"/>
              </w:rPr>
              <w:t>not-public</w:t>
            </w:r>
          </w:p>
        </w:tc>
        <w:tc>
          <w:tcPr>
            <w:tcW w:type="dxa" w:w="1050"/>
          </w:tcPr>
          <w:p>
            <w:pPr>
              <w:keepLines/>
              <w:spacing w:after="0" w:line="276" w:lineRule="auto"/>
            </w:pPr>
            <w:r>
              <w:rPr>
                <w:rFonts w:ascii="Calibri" w:hAnsi="Calibri" w:eastAsia="Microsoft YaHei"/>
                <w:color w:val="0B2545"/>
                <w:sz w:val="13"/>
              </w:rPr>
              <w:t>operational-analysis-pipeline</w:t>
            </w:r>
          </w:p>
        </w:tc>
        <w:tc>
          <w:tcPr>
            <w:tcW w:type="dxa" w:w="900"/>
          </w:tcPr>
          <w:p>
            <w:pPr>
              <w:keepLines/>
              <w:spacing w:after="0" w:line="276" w:lineRule="auto"/>
            </w:pPr>
            <w:r>
              <w:rPr>
                <w:rFonts w:ascii="Calibri" w:hAnsi="Calibri" w:eastAsia="Microsoft YaHei"/>
                <w:color w:val="0B2545"/>
                <w:sz w:val="13"/>
              </w:rPr>
              <w:t>not public</w:t>
            </w:r>
          </w:p>
        </w:tc>
        <w:tc>
          <w:tcPr>
            <w:tcW w:type="dxa" w:w="2600"/>
          </w:tcPr>
          <w:p>
            <w:pPr>
              <w:keepLines/>
              <w:spacing w:after="0" w:line="276" w:lineRule="auto"/>
            </w:pPr>
            <w:r>
              <w:rPr>
                <w:rFonts w:ascii="Calibri" w:hAnsi="Calibri" w:eastAsia="Microsoft YaHei"/>
                <w:color w:val="0B2545"/>
                <w:sz w:val="13"/>
              </w:rPr>
              <w:t>BES实时/离线湍流分析和PSF数据库未公开。</w:t>
            </w:r>
          </w:p>
        </w:tc>
        <w:tc>
          <w:tcPr>
            <w:tcW w:type="dxa" w:w="2160"/>
          </w:tcPr>
          <w:p>
            <w:pPr>
              <w:keepLines/>
              <w:spacing w:after="0" w:line="276" w:lineRule="auto"/>
            </w:pPr>
            <w:r>
              <w:rPr>
                <w:rFonts w:ascii="Calibri" w:hAnsi="Calibri" w:eastAsia="Microsoft YaHei"/>
                <w:color w:val="0B2545"/>
                <w:sz w:val="13"/>
              </w:rPr>
              <w:t>未公开</w:t>
            </w:r>
          </w:p>
        </w:tc>
      </w:tr>
      <w:tr>
        <w:trPr>
          <w:cantSplit/>
        </w:trPr>
        <w:tc>
          <w:tcPr>
            <w:tcW w:type="dxa" w:w="1400"/>
          </w:tcPr>
          <w:p>
            <w:pPr>
              <w:keepLines/>
              <w:spacing w:after="0" w:line="276" w:lineRule="auto"/>
            </w:pPr>
            <w:r>
              <w:rPr>
                <w:rFonts w:ascii="Calibri" w:hAnsi="Calibri" w:eastAsia="Microsoft YaHei"/>
                <w:color w:val="0B2545"/>
                <w:sz w:val="13"/>
              </w:rPr>
              <w:t>装置专有分析/标定软件</w:t>
            </w:r>
          </w:p>
        </w:tc>
        <w:tc>
          <w:tcPr>
            <w:tcW w:type="dxa" w:w="1250"/>
          </w:tcPr>
          <w:p>
            <w:pPr>
              <w:keepLines/>
              <w:spacing w:after="0" w:line="276" w:lineRule="auto"/>
            </w:pPr>
            <w:r>
              <w:rPr>
                <w:rFonts w:ascii="Calibri" w:hAnsi="Calibri" w:eastAsia="Microsoft YaHei"/>
                <w:color w:val="0B2545"/>
                <w:sz w:val="13"/>
              </w:rPr>
              <w:t>not-public</w:t>
            </w:r>
          </w:p>
        </w:tc>
        <w:tc>
          <w:tcPr>
            <w:tcW w:type="dxa" w:w="1050"/>
          </w:tcPr>
          <w:p>
            <w:pPr>
              <w:keepLines/>
              <w:spacing w:after="0" w:line="276" w:lineRule="auto"/>
            </w:pPr>
            <w:r>
              <w:rPr>
                <w:rFonts w:ascii="Calibri" w:hAnsi="Calibri" w:eastAsia="Microsoft YaHei"/>
                <w:color w:val="0B2545"/>
                <w:sz w:val="13"/>
              </w:rPr>
              <w:t>operational-analysis-pipeline</w:t>
            </w:r>
          </w:p>
        </w:tc>
        <w:tc>
          <w:tcPr>
            <w:tcW w:type="dxa" w:w="900"/>
          </w:tcPr>
          <w:p>
            <w:pPr>
              <w:keepLines/>
              <w:spacing w:after="0" w:line="276" w:lineRule="auto"/>
            </w:pPr>
            <w:r>
              <w:rPr>
                <w:rFonts w:ascii="Calibri" w:hAnsi="Calibri" w:eastAsia="Microsoft YaHei"/>
                <w:color w:val="0B2545"/>
                <w:sz w:val="13"/>
              </w:rPr>
              <w:t>not public</w:t>
            </w:r>
          </w:p>
        </w:tc>
        <w:tc>
          <w:tcPr>
            <w:tcW w:type="dxa" w:w="2600"/>
          </w:tcPr>
          <w:p>
            <w:pPr>
              <w:keepLines/>
              <w:spacing w:after="0" w:line="276" w:lineRule="auto"/>
            </w:pPr>
            <w:r>
              <w:rPr>
                <w:rFonts w:ascii="Calibri" w:hAnsi="Calibri" w:eastAsia="Microsoft YaHei"/>
                <w:color w:val="0B2545"/>
                <w:sz w:val="13"/>
              </w:rPr>
              <w:t>射线追踪、实时谱拟合和角度配置代码未公开。</w:t>
            </w:r>
          </w:p>
        </w:tc>
        <w:tc>
          <w:tcPr>
            <w:tcW w:type="dxa" w:w="2160"/>
          </w:tcPr>
          <w:p>
            <w:pPr>
              <w:keepLines/>
              <w:spacing w:after="0" w:line="276" w:lineRule="auto"/>
            </w:pPr>
            <w:r>
              <w:rPr>
                <w:rFonts w:ascii="Calibri" w:hAnsi="Calibri" w:eastAsia="Microsoft YaHei"/>
                <w:color w:val="0B2545"/>
                <w:sz w:val="13"/>
              </w:rPr>
              <w:t>未公开</w:t>
            </w:r>
          </w:p>
        </w:tc>
      </w:tr>
      <w:tr>
        <w:trPr>
          <w:cantSplit/>
        </w:trPr>
        <w:tc>
          <w:tcPr>
            <w:tcW w:type="dxa" w:w="1400"/>
          </w:tcPr>
          <w:p>
            <w:pPr>
              <w:keepLines/>
              <w:spacing w:after="0" w:line="276" w:lineRule="auto"/>
            </w:pPr>
            <w:r>
              <w:rPr>
                <w:rFonts w:ascii="Calibri" w:hAnsi="Calibri" w:eastAsia="Microsoft YaHei"/>
                <w:color w:val="0B2545"/>
                <w:sz w:val="13"/>
              </w:rPr>
              <w:t>装置专有分析/标定软件</w:t>
            </w:r>
          </w:p>
        </w:tc>
        <w:tc>
          <w:tcPr>
            <w:tcW w:type="dxa" w:w="1250"/>
          </w:tcPr>
          <w:p>
            <w:pPr>
              <w:keepLines/>
              <w:spacing w:after="0" w:line="276" w:lineRule="auto"/>
            </w:pPr>
            <w:r>
              <w:rPr>
                <w:rFonts w:ascii="Calibri" w:hAnsi="Calibri" w:eastAsia="Microsoft YaHei"/>
                <w:color w:val="0B2545"/>
                <w:sz w:val="13"/>
              </w:rPr>
              <w:t>not-public</w:t>
            </w:r>
          </w:p>
        </w:tc>
        <w:tc>
          <w:tcPr>
            <w:tcW w:type="dxa" w:w="1050"/>
          </w:tcPr>
          <w:p>
            <w:pPr>
              <w:keepLines/>
              <w:spacing w:after="0" w:line="276" w:lineRule="auto"/>
            </w:pPr>
            <w:r>
              <w:rPr>
                <w:rFonts w:ascii="Calibri" w:hAnsi="Calibri" w:eastAsia="Microsoft YaHei"/>
                <w:color w:val="0B2545"/>
                <w:sz w:val="13"/>
              </w:rPr>
              <w:t>operational-analysis-pipeline</w:t>
            </w:r>
          </w:p>
        </w:tc>
        <w:tc>
          <w:tcPr>
            <w:tcW w:type="dxa" w:w="900"/>
          </w:tcPr>
          <w:p>
            <w:pPr>
              <w:keepLines/>
              <w:spacing w:after="0" w:line="276" w:lineRule="auto"/>
            </w:pPr>
            <w:r>
              <w:rPr>
                <w:rFonts w:ascii="Calibri" w:hAnsi="Calibri" w:eastAsia="Microsoft YaHei"/>
                <w:color w:val="0B2545"/>
                <w:sz w:val="13"/>
              </w:rPr>
              <w:t>not public</w:t>
            </w:r>
          </w:p>
        </w:tc>
        <w:tc>
          <w:tcPr>
            <w:tcW w:type="dxa" w:w="2600"/>
          </w:tcPr>
          <w:p>
            <w:pPr>
              <w:keepLines/>
              <w:spacing w:after="0" w:line="276" w:lineRule="auto"/>
            </w:pPr>
            <w:r>
              <w:rPr>
                <w:rFonts w:ascii="Calibri" w:hAnsi="Calibri" w:eastAsia="Microsoft YaHei"/>
                <w:color w:val="0B2545"/>
                <w:sz w:val="13"/>
              </w:rPr>
              <w:t>HIBP轨道、分析器控制和装置反演代码未公开。</w:t>
            </w:r>
          </w:p>
        </w:tc>
        <w:tc>
          <w:tcPr>
            <w:tcW w:type="dxa" w:w="2160"/>
          </w:tcPr>
          <w:p>
            <w:pPr>
              <w:keepLines/>
              <w:spacing w:after="0" w:line="276" w:lineRule="auto"/>
            </w:pPr>
            <w:r>
              <w:rPr>
                <w:rFonts w:ascii="Calibri" w:hAnsi="Calibri" w:eastAsia="Microsoft YaHei"/>
                <w:color w:val="0B2545"/>
                <w:sz w:val="13"/>
              </w:rPr>
              <w:t>未公开</w:t>
            </w:r>
          </w:p>
        </w:tc>
      </w:tr>
      <w:tr>
        <w:trPr>
          <w:cantSplit/>
        </w:trPr>
        <w:tc>
          <w:tcPr>
            <w:tcW w:type="dxa" w:w="1400"/>
          </w:tcPr>
          <w:p>
            <w:pPr>
              <w:keepLines/>
              <w:spacing w:after="0" w:line="276" w:lineRule="auto"/>
            </w:pPr>
            <w:r>
              <w:rPr>
                <w:rFonts w:ascii="Calibri" w:hAnsi="Calibri" w:eastAsia="Microsoft YaHei"/>
                <w:color w:val="0B2545"/>
                <w:sz w:val="13"/>
              </w:rPr>
              <w:t>OpenADAS</w:t>
            </w:r>
          </w:p>
        </w:tc>
        <w:tc>
          <w:tcPr>
            <w:tcW w:type="dxa" w:w="1250"/>
          </w:tcPr>
          <w:p>
            <w:pPr>
              <w:keepLines/>
              <w:spacing w:after="0" w:line="276" w:lineRule="auto"/>
            </w:pPr>
            <w:r>
              <w:rPr>
                <w:rFonts w:ascii="Calibri" w:hAnsi="Calibri" w:eastAsia="Microsoft YaHei"/>
                <w:color w:val="0B2545"/>
                <w:sz w:val="13"/>
              </w:rPr>
              <w:t>official-enabling</w:t>
            </w:r>
          </w:p>
        </w:tc>
        <w:tc>
          <w:tcPr>
            <w:tcW w:type="dxa" w:w="1050"/>
          </w:tcPr>
          <w:p>
            <w:pPr>
              <w:keepLines/>
              <w:spacing w:after="0" w:line="276" w:lineRule="auto"/>
            </w:pPr>
            <w:r>
              <w:rPr>
                <w:rFonts w:ascii="Calibri" w:hAnsi="Calibri" w:eastAsia="Microsoft YaHei"/>
                <w:color w:val="0B2545"/>
                <w:sz w:val="13"/>
              </w:rPr>
              <w:t>atomic-data-service</w:t>
            </w:r>
          </w:p>
        </w:tc>
        <w:tc>
          <w:tcPr>
            <w:tcW w:type="dxa" w:w="900"/>
          </w:tcPr>
          <w:p>
            <w:pPr>
              <w:keepLines/>
              <w:spacing w:after="0" w:line="276" w:lineRule="auto"/>
            </w:pPr>
            <w:r>
              <w:rPr>
                <w:rFonts w:ascii="Calibri" w:hAnsi="Calibri" w:eastAsia="Microsoft YaHei"/>
                <w:color w:val="0B2545"/>
                <w:sz w:val="13"/>
              </w:rPr>
              <w:t>public</w:t>
            </w:r>
          </w:p>
        </w:tc>
        <w:tc>
          <w:tcPr>
            <w:tcW w:type="dxa" w:w="2600"/>
          </w:tcPr>
          <w:p>
            <w:pPr>
              <w:keepLines/>
              <w:spacing w:after="0" w:line="276" w:lineRule="auto"/>
            </w:pPr>
            <w:r>
              <w:rPr>
                <w:rFonts w:ascii="Calibri" w:hAnsi="Calibri" w:eastAsia="Microsoft YaHei"/>
                <w:color w:val="0B2545"/>
                <w:sz w:val="13"/>
              </w:rPr>
              <w:t>GPI谱线碰撞辐射系数。</w:t>
            </w:r>
          </w:p>
        </w:tc>
        <w:tc>
          <w:tcPr>
            <w:tcW w:type="dxa" w:w="2160"/>
          </w:tcPr>
          <w:p>
            <w:pPr>
              <w:keepLines/>
              <w:spacing w:after="0" w:line="276" w:lineRule="auto"/>
            </w:pPr>
            <w:hyperlink r:id="rId60">
              <w:r>
                <w:rPr>
                  <w:rFonts w:ascii="Calibri" w:hAnsi="Calibri" w:eastAsia="Microsoft YaHei"/>
                  <w:color w:val="008C95"/>
                  <w:u w:val="single"/>
                </w:rPr>
                <w:t>打开原始来源 ↗</w:t>
              </w:r>
            </w:hyperlink>
          </w:p>
        </w:tc>
      </w:tr>
      <w:tr>
        <w:trPr>
          <w:cantSplit/>
        </w:trPr>
        <w:tc>
          <w:tcPr>
            <w:tcW w:type="dxa" w:w="1400"/>
          </w:tcPr>
          <w:p>
            <w:pPr>
              <w:keepLines/>
              <w:spacing w:after="0" w:line="276" w:lineRule="auto"/>
            </w:pPr>
            <w:r>
              <w:rPr>
                <w:rFonts w:ascii="Calibri" w:hAnsi="Calibri" w:eastAsia="Microsoft YaHei"/>
                <w:color w:val="0B2545"/>
                <w:sz w:val="13"/>
              </w:rPr>
              <w:t>装置专有分析/标定软件</w:t>
            </w:r>
          </w:p>
        </w:tc>
        <w:tc>
          <w:tcPr>
            <w:tcW w:type="dxa" w:w="1250"/>
          </w:tcPr>
          <w:p>
            <w:pPr>
              <w:keepLines/>
              <w:spacing w:after="0" w:line="276" w:lineRule="auto"/>
            </w:pPr>
            <w:r>
              <w:rPr>
                <w:rFonts w:ascii="Calibri" w:hAnsi="Calibri" w:eastAsia="Microsoft YaHei"/>
                <w:color w:val="0B2545"/>
                <w:sz w:val="13"/>
              </w:rPr>
              <w:t>not-public</w:t>
            </w:r>
          </w:p>
        </w:tc>
        <w:tc>
          <w:tcPr>
            <w:tcW w:type="dxa" w:w="1050"/>
          </w:tcPr>
          <w:p>
            <w:pPr>
              <w:keepLines/>
              <w:spacing w:after="0" w:line="276" w:lineRule="auto"/>
            </w:pPr>
            <w:r>
              <w:rPr>
                <w:rFonts w:ascii="Calibri" w:hAnsi="Calibri" w:eastAsia="Microsoft YaHei"/>
                <w:color w:val="0B2545"/>
                <w:sz w:val="13"/>
              </w:rPr>
              <w:t>operational-analysis-pipeline</w:t>
            </w:r>
          </w:p>
        </w:tc>
        <w:tc>
          <w:tcPr>
            <w:tcW w:type="dxa" w:w="900"/>
          </w:tcPr>
          <w:p>
            <w:pPr>
              <w:keepLines/>
              <w:spacing w:after="0" w:line="276" w:lineRule="auto"/>
            </w:pPr>
            <w:r>
              <w:rPr>
                <w:rFonts w:ascii="Calibri" w:hAnsi="Calibri" w:eastAsia="Microsoft YaHei"/>
                <w:color w:val="0B2545"/>
                <w:sz w:val="13"/>
              </w:rPr>
              <w:t>not public</w:t>
            </w:r>
          </w:p>
        </w:tc>
        <w:tc>
          <w:tcPr>
            <w:tcW w:type="dxa" w:w="2600"/>
          </w:tcPr>
          <w:p>
            <w:pPr>
              <w:keepLines/>
              <w:spacing w:after="0" w:line="276" w:lineRule="auto"/>
            </w:pPr>
            <w:r>
              <w:rPr>
                <w:rFonts w:ascii="Calibri" w:hAnsi="Calibri" w:eastAsia="Microsoft YaHei"/>
                <w:color w:val="0B2545"/>
                <w:sz w:val="13"/>
              </w:rPr>
              <w:t>中性输运、光流和装置实时分析未公开。</w:t>
            </w:r>
          </w:p>
        </w:tc>
        <w:tc>
          <w:tcPr>
            <w:tcW w:type="dxa" w:w="2160"/>
          </w:tcPr>
          <w:p>
            <w:pPr>
              <w:keepLines/>
              <w:spacing w:after="0" w:line="276" w:lineRule="auto"/>
            </w:pPr>
            <w:r>
              <w:rPr>
                <w:rFonts w:ascii="Calibri" w:hAnsi="Calibri" w:eastAsia="Microsoft YaHei"/>
                <w:color w:val="0B2545"/>
                <w:sz w:val="13"/>
              </w:rPr>
              <w:t>未公开</w:t>
            </w:r>
          </w:p>
        </w:tc>
      </w:tr>
      <w:tr>
        <w:trPr>
          <w:cantSplit/>
        </w:trPr>
        <w:tc>
          <w:tcPr>
            <w:tcW w:type="dxa" w:w="1400"/>
          </w:tcPr>
          <w:p>
            <w:pPr>
              <w:keepLines/>
              <w:spacing w:after="0" w:line="276" w:lineRule="auto"/>
            </w:pPr>
            <w:r>
              <w:rPr>
                <w:rFonts w:ascii="Calibri" w:hAnsi="Calibri" w:eastAsia="Microsoft YaHei"/>
                <w:color w:val="0B2545"/>
                <w:sz w:val="13"/>
              </w:rPr>
              <w:t>装置专有分析/标定软件</w:t>
            </w:r>
          </w:p>
        </w:tc>
        <w:tc>
          <w:tcPr>
            <w:tcW w:type="dxa" w:w="1250"/>
          </w:tcPr>
          <w:p>
            <w:pPr>
              <w:keepLines/>
              <w:spacing w:after="0" w:line="276" w:lineRule="auto"/>
            </w:pPr>
            <w:r>
              <w:rPr>
                <w:rFonts w:ascii="Calibri" w:hAnsi="Calibri" w:eastAsia="Microsoft YaHei"/>
                <w:color w:val="0B2545"/>
                <w:sz w:val="13"/>
              </w:rPr>
              <w:t>not-public</w:t>
            </w:r>
          </w:p>
        </w:tc>
        <w:tc>
          <w:tcPr>
            <w:tcW w:type="dxa" w:w="1050"/>
          </w:tcPr>
          <w:p>
            <w:pPr>
              <w:keepLines/>
              <w:spacing w:after="0" w:line="276" w:lineRule="auto"/>
            </w:pPr>
            <w:r>
              <w:rPr>
                <w:rFonts w:ascii="Calibri" w:hAnsi="Calibri" w:eastAsia="Microsoft YaHei"/>
                <w:color w:val="0B2545"/>
                <w:sz w:val="13"/>
              </w:rPr>
              <w:t>operational-analysis-pipeline</w:t>
            </w:r>
          </w:p>
        </w:tc>
        <w:tc>
          <w:tcPr>
            <w:tcW w:type="dxa" w:w="900"/>
          </w:tcPr>
          <w:p>
            <w:pPr>
              <w:keepLines/>
              <w:spacing w:after="0" w:line="276" w:lineRule="auto"/>
            </w:pPr>
            <w:r>
              <w:rPr>
                <w:rFonts w:ascii="Calibri" w:hAnsi="Calibri" w:eastAsia="Microsoft YaHei"/>
                <w:color w:val="0B2545"/>
                <w:sz w:val="13"/>
              </w:rPr>
              <w:t>not public</w:t>
            </w:r>
          </w:p>
        </w:tc>
        <w:tc>
          <w:tcPr>
            <w:tcW w:type="dxa" w:w="2600"/>
          </w:tcPr>
          <w:p>
            <w:pPr>
              <w:keepLines/>
              <w:spacing w:after="0" w:line="276" w:lineRule="auto"/>
            </w:pPr>
            <w:r>
              <w:rPr>
                <w:rFonts w:ascii="Calibri" w:hAnsi="Calibri" w:eastAsia="Microsoft YaHei"/>
                <w:color w:val="0B2545"/>
                <w:sz w:val="13"/>
              </w:rPr>
              <w:t>探针快速拟合、清洗和机器保护门控代码未公开。</w:t>
            </w:r>
          </w:p>
        </w:tc>
        <w:tc>
          <w:tcPr>
            <w:tcW w:type="dxa" w:w="2160"/>
          </w:tcPr>
          <w:p>
            <w:pPr>
              <w:keepLines/>
              <w:spacing w:after="0" w:line="276" w:lineRule="auto"/>
            </w:pPr>
            <w:r>
              <w:rPr>
                <w:rFonts w:ascii="Calibri" w:hAnsi="Calibri" w:eastAsia="Microsoft YaHei"/>
                <w:color w:val="0B2545"/>
                <w:sz w:val="13"/>
              </w:rPr>
              <w:t>未公开</w:t>
            </w:r>
          </w:p>
        </w:tc>
      </w:tr>
      <w:tr>
        <w:trPr>
          <w:cantSplit/>
        </w:trPr>
        <w:tc>
          <w:tcPr>
            <w:tcW w:type="dxa" w:w="1400"/>
          </w:tcPr>
          <w:p>
            <w:pPr>
              <w:keepLines/>
              <w:spacing w:after="0" w:line="276" w:lineRule="auto"/>
            </w:pPr>
            <w:r>
              <w:rPr>
                <w:rFonts w:ascii="Calibri" w:hAnsi="Calibri" w:eastAsia="Microsoft YaHei"/>
                <w:color w:val="0B2545"/>
                <w:sz w:val="13"/>
              </w:rPr>
              <w:t>装置专有分析/标定软件</w:t>
            </w:r>
          </w:p>
        </w:tc>
        <w:tc>
          <w:tcPr>
            <w:tcW w:type="dxa" w:w="1250"/>
          </w:tcPr>
          <w:p>
            <w:pPr>
              <w:keepLines/>
              <w:spacing w:after="0" w:line="276" w:lineRule="auto"/>
            </w:pPr>
            <w:r>
              <w:rPr>
                <w:rFonts w:ascii="Calibri" w:hAnsi="Calibri" w:eastAsia="Microsoft YaHei"/>
                <w:color w:val="0B2545"/>
                <w:sz w:val="13"/>
              </w:rPr>
              <w:t>not-public</w:t>
            </w:r>
          </w:p>
        </w:tc>
        <w:tc>
          <w:tcPr>
            <w:tcW w:type="dxa" w:w="1050"/>
          </w:tcPr>
          <w:p>
            <w:pPr>
              <w:keepLines/>
              <w:spacing w:after="0" w:line="276" w:lineRule="auto"/>
            </w:pPr>
            <w:r>
              <w:rPr>
                <w:rFonts w:ascii="Calibri" w:hAnsi="Calibri" w:eastAsia="Microsoft YaHei"/>
                <w:color w:val="0B2545"/>
                <w:sz w:val="13"/>
              </w:rPr>
              <w:t>operational-analysis-pipeline</w:t>
            </w:r>
          </w:p>
        </w:tc>
        <w:tc>
          <w:tcPr>
            <w:tcW w:type="dxa" w:w="900"/>
          </w:tcPr>
          <w:p>
            <w:pPr>
              <w:keepLines/>
              <w:spacing w:after="0" w:line="276" w:lineRule="auto"/>
            </w:pPr>
            <w:r>
              <w:rPr>
                <w:rFonts w:ascii="Calibri" w:hAnsi="Calibri" w:eastAsia="Microsoft YaHei"/>
                <w:color w:val="0B2545"/>
                <w:sz w:val="13"/>
              </w:rPr>
              <w:t>not public</w:t>
            </w:r>
          </w:p>
        </w:tc>
        <w:tc>
          <w:tcPr>
            <w:tcW w:type="dxa" w:w="2600"/>
          </w:tcPr>
          <w:p>
            <w:pPr>
              <w:keepLines/>
              <w:spacing w:after="0" w:line="276" w:lineRule="auto"/>
            </w:pPr>
            <w:r>
              <w:rPr>
                <w:rFonts w:ascii="Calibri" w:hAnsi="Calibri" w:eastAsia="Microsoft YaHei"/>
                <w:color w:val="0B2545"/>
                <w:sz w:val="13"/>
              </w:rPr>
              <w:t>实时热流反演、ROI和保护阈值配置未公开。</w:t>
            </w:r>
          </w:p>
        </w:tc>
        <w:tc>
          <w:tcPr>
            <w:tcW w:type="dxa" w:w="2160"/>
          </w:tcPr>
          <w:p>
            <w:pPr>
              <w:keepLines/>
              <w:spacing w:after="0" w:line="276" w:lineRule="auto"/>
            </w:pPr>
            <w:r>
              <w:rPr>
                <w:rFonts w:ascii="Calibri" w:hAnsi="Calibri" w:eastAsia="Microsoft YaHei"/>
                <w:color w:val="0B2545"/>
                <w:sz w:val="13"/>
              </w:rPr>
              <w:t>未公开</w:t>
            </w:r>
          </w:p>
        </w:tc>
      </w:tr>
      <w:tr>
        <w:trPr>
          <w:cantSplit/>
        </w:trPr>
        <w:tc>
          <w:tcPr>
            <w:tcW w:type="dxa" w:w="1400"/>
          </w:tcPr>
          <w:p>
            <w:pPr>
              <w:keepLines/>
              <w:spacing w:after="0" w:line="276" w:lineRule="auto"/>
            </w:pPr>
            <w:r>
              <w:rPr>
                <w:rFonts w:ascii="Calibri" w:hAnsi="Calibri" w:eastAsia="Microsoft YaHei"/>
                <w:color w:val="0B2545"/>
                <w:sz w:val="13"/>
              </w:rPr>
              <w:t>装置专有分析/标定软件</w:t>
            </w:r>
          </w:p>
        </w:tc>
        <w:tc>
          <w:tcPr>
            <w:tcW w:type="dxa" w:w="1250"/>
          </w:tcPr>
          <w:p>
            <w:pPr>
              <w:keepLines/>
              <w:spacing w:after="0" w:line="276" w:lineRule="auto"/>
            </w:pPr>
            <w:r>
              <w:rPr>
                <w:rFonts w:ascii="Calibri" w:hAnsi="Calibri" w:eastAsia="Microsoft YaHei"/>
                <w:color w:val="0B2545"/>
                <w:sz w:val="13"/>
              </w:rPr>
              <w:t>not-public</w:t>
            </w:r>
          </w:p>
        </w:tc>
        <w:tc>
          <w:tcPr>
            <w:tcW w:type="dxa" w:w="1050"/>
          </w:tcPr>
          <w:p>
            <w:pPr>
              <w:keepLines/>
              <w:spacing w:after="0" w:line="276" w:lineRule="auto"/>
            </w:pPr>
            <w:r>
              <w:rPr>
                <w:rFonts w:ascii="Calibri" w:hAnsi="Calibri" w:eastAsia="Microsoft YaHei"/>
                <w:color w:val="0B2545"/>
                <w:sz w:val="13"/>
              </w:rPr>
              <w:t>operational-analysis-pipeline</w:t>
            </w:r>
          </w:p>
        </w:tc>
        <w:tc>
          <w:tcPr>
            <w:tcW w:type="dxa" w:w="900"/>
          </w:tcPr>
          <w:p>
            <w:pPr>
              <w:keepLines/>
              <w:spacing w:after="0" w:line="276" w:lineRule="auto"/>
            </w:pPr>
            <w:r>
              <w:rPr>
                <w:rFonts w:ascii="Calibri" w:hAnsi="Calibri" w:eastAsia="Microsoft YaHei"/>
                <w:color w:val="0B2545"/>
                <w:sz w:val="13"/>
              </w:rPr>
              <w:t>not public</w:t>
            </w:r>
          </w:p>
        </w:tc>
        <w:tc>
          <w:tcPr>
            <w:tcW w:type="dxa" w:w="2600"/>
          </w:tcPr>
          <w:p>
            <w:pPr>
              <w:keepLines/>
              <w:spacing w:after="0" w:line="276" w:lineRule="auto"/>
            </w:pPr>
            <w:r>
              <w:rPr>
                <w:rFonts w:ascii="Calibri" w:hAnsi="Calibri" w:eastAsia="Microsoft YaHei"/>
                <w:color w:val="0B2545"/>
                <w:sz w:val="13"/>
              </w:rPr>
              <w:t>DTS低温谱拟合和实时脱靶前沿代码未公开。</w:t>
            </w:r>
          </w:p>
        </w:tc>
        <w:tc>
          <w:tcPr>
            <w:tcW w:type="dxa" w:w="2160"/>
          </w:tcPr>
          <w:p>
            <w:pPr>
              <w:keepLines/>
              <w:spacing w:after="0" w:line="276" w:lineRule="auto"/>
            </w:pPr>
            <w:r>
              <w:rPr>
                <w:rFonts w:ascii="Calibri" w:hAnsi="Calibri" w:eastAsia="Microsoft YaHei"/>
                <w:color w:val="0B2545"/>
                <w:sz w:val="13"/>
              </w:rPr>
              <w:t>未公开</w:t>
            </w:r>
          </w:p>
        </w:tc>
      </w:tr>
      <w:tr>
        <w:trPr>
          <w:cantSplit/>
        </w:trPr>
        <w:tc>
          <w:tcPr>
            <w:tcW w:type="dxa" w:w="1400"/>
          </w:tcPr>
          <w:p>
            <w:pPr>
              <w:keepLines/>
              <w:spacing w:after="0" w:line="276" w:lineRule="auto"/>
            </w:pPr>
            <w:r>
              <w:rPr>
                <w:rFonts w:ascii="Calibri" w:hAnsi="Calibri" w:eastAsia="Microsoft YaHei"/>
                <w:color w:val="0B2545"/>
                <w:sz w:val="13"/>
              </w:rPr>
              <w:t>OpenADAS</w:t>
            </w:r>
          </w:p>
        </w:tc>
        <w:tc>
          <w:tcPr>
            <w:tcW w:type="dxa" w:w="1250"/>
          </w:tcPr>
          <w:p>
            <w:pPr>
              <w:keepLines/>
              <w:spacing w:after="0" w:line="276" w:lineRule="auto"/>
            </w:pPr>
            <w:r>
              <w:rPr>
                <w:rFonts w:ascii="Calibri" w:hAnsi="Calibri" w:eastAsia="Microsoft YaHei"/>
                <w:color w:val="0B2545"/>
                <w:sz w:val="13"/>
              </w:rPr>
              <w:t>official-enabling</w:t>
            </w:r>
          </w:p>
        </w:tc>
        <w:tc>
          <w:tcPr>
            <w:tcW w:type="dxa" w:w="1050"/>
          </w:tcPr>
          <w:p>
            <w:pPr>
              <w:keepLines/>
              <w:spacing w:after="0" w:line="276" w:lineRule="auto"/>
            </w:pPr>
            <w:r>
              <w:rPr>
                <w:rFonts w:ascii="Calibri" w:hAnsi="Calibri" w:eastAsia="Microsoft YaHei"/>
                <w:color w:val="0B2545"/>
                <w:sz w:val="13"/>
              </w:rPr>
              <w:t>atomic-data-service</w:t>
            </w:r>
          </w:p>
        </w:tc>
        <w:tc>
          <w:tcPr>
            <w:tcW w:type="dxa" w:w="900"/>
          </w:tcPr>
          <w:p>
            <w:pPr>
              <w:keepLines/>
              <w:spacing w:after="0" w:line="276" w:lineRule="auto"/>
            </w:pPr>
            <w:r>
              <w:rPr>
                <w:rFonts w:ascii="Calibri" w:hAnsi="Calibri" w:eastAsia="Microsoft YaHei"/>
                <w:color w:val="0B2545"/>
                <w:sz w:val="13"/>
              </w:rPr>
              <w:t>public</w:t>
            </w:r>
          </w:p>
        </w:tc>
        <w:tc>
          <w:tcPr>
            <w:tcW w:type="dxa" w:w="2600"/>
          </w:tcPr>
          <w:p>
            <w:pPr>
              <w:keepLines/>
              <w:spacing w:after="0" w:line="276" w:lineRule="auto"/>
            </w:pPr>
            <w:r>
              <w:rPr>
                <w:rFonts w:ascii="Calibri" w:hAnsi="Calibri" w:eastAsia="Microsoft YaHei"/>
                <w:color w:val="0B2545"/>
                <w:sz w:val="13"/>
              </w:rPr>
              <w:t>Balmer PEC/SXB与再结合系数。</w:t>
            </w:r>
          </w:p>
        </w:tc>
        <w:tc>
          <w:tcPr>
            <w:tcW w:type="dxa" w:w="2160"/>
          </w:tcPr>
          <w:p>
            <w:pPr>
              <w:keepLines/>
              <w:spacing w:after="0" w:line="276" w:lineRule="auto"/>
            </w:pPr>
            <w:hyperlink r:id="rId60">
              <w:r>
                <w:rPr>
                  <w:rFonts w:ascii="Calibri" w:hAnsi="Calibri" w:eastAsia="Microsoft YaHei"/>
                  <w:color w:val="008C95"/>
                  <w:u w:val="single"/>
                </w:rPr>
                <w:t>打开原始来源 ↗</w:t>
              </w:r>
            </w:hyperlink>
          </w:p>
        </w:tc>
      </w:tr>
      <w:tr>
        <w:trPr>
          <w:cantSplit/>
        </w:trPr>
        <w:tc>
          <w:tcPr>
            <w:tcW w:type="dxa" w:w="1400"/>
          </w:tcPr>
          <w:p>
            <w:pPr>
              <w:keepLines/>
              <w:spacing w:after="0" w:line="276" w:lineRule="auto"/>
            </w:pPr>
            <w:r>
              <w:rPr>
                <w:rFonts w:ascii="Calibri" w:hAnsi="Calibri" w:eastAsia="Microsoft YaHei"/>
                <w:color w:val="0B2545"/>
                <w:sz w:val="13"/>
              </w:rPr>
              <w:t>Cherab</w:t>
            </w:r>
          </w:p>
        </w:tc>
        <w:tc>
          <w:tcPr>
            <w:tcW w:type="dxa" w:w="1250"/>
          </w:tcPr>
          <w:p>
            <w:pPr>
              <w:keepLines/>
              <w:spacing w:after="0" w:line="276" w:lineRule="auto"/>
            </w:pPr>
            <w:r>
              <w:rPr>
                <w:rFonts w:ascii="Calibri" w:hAnsi="Calibri" w:eastAsia="Microsoft YaHei"/>
                <w:color w:val="0B2545"/>
                <w:sz w:val="13"/>
              </w:rPr>
              <w:t>official-enabling</w:t>
            </w:r>
          </w:p>
        </w:tc>
        <w:tc>
          <w:tcPr>
            <w:tcW w:type="dxa" w:w="1050"/>
          </w:tcPr>
          <w:p>
            <w:pPr>
              <w:keepLines/>
              <w:spacing w:after="0" w:line="276" w:lineRule="auto"/>
            </w:pPr>
            <w:r>
              <w:rPr>
                <w:rFonts w:ascii="Calibri" w:hAnsi="Calibri" w:eastAsia="Microsoft YaHei"/>
                <w:color w:val="0B2545"/>
                <w:sz w:val="13"/>
              </w:rPr>
              <w:t>open-source-spectroscopy-forward-model</w:t>
            </w:r>
          </w:p>
        </w:tc>
        <w:tc>
          <w:tcPr>
            <w:tcW w:type="dxa" w:w="900"/>
          </w:tcPr>
          <w:p>
            <w:pPr>
              <w:keepLines/>
              <w:spacing w:after="0" w:line="276" w:lineRule="auto"/>
            </w:pPr>
            <w:r>
              <w:rPr>
                <w:rFonts w:ascii="Calibri" w:hAnsi="Calibri" w:eastAsia="Microsoft YaHei"/>
                <w:color w:val="0B2545"/>
                <w:sz w:val="13"/>
              </w:rPr>
              <w:t>public</w:t>
            </w:r>
          </w:p>
        </w:tc>
        <w:tc>
          <w:tcPr>
            <w:tcW w:type="dxa" w:w="2600"/>
          </w:tcPr>
          <w:p>
            <w:pPr>
              <w:keepLines/>
              <w:spacing w:after="0" w:line="276" w:lineRule="auto"/>
            </w:pPr>
            <w:r>
              <w:rPr>
                <w:rFonts w:ascii="Calibri" w:hAnsi="Calibri" w:eastAsia="Microsoft YaHei"/>
                <w:color w:val="0B2545"/>
                <w:sz w:val="13"/>
              </w:rPr>
              <w:t>视线和合成谱。</w:t>
            </w:r>
          </w:p>
        </w:tc>
        <w:tc>
          <w:tcPr>
            <w:tcW w:type="dxa" w:w="2160"/>
          </w:tcPr>
          <w:p>
            <w:pPr>
              <w:keepLines/>
              <w:spacing w:after="0" w:line="276" w:lineRule="auto"/>
            </w:pPr>
            <w:hyperlink r:id="rId75">
              <w:r>
                <w:rPr>
                  <w:rFonts w:ascii="Calibri" w:hAnsi="Calibri" w:eastAsia="Microsoft YaHei"/>
                  <w:color w:val="008C95"/>
                  <w:u w:val="single"/>
                </w:rPr>
                <w:t>打开原始来源 ↗</w:t>
              </w:r>
            </w:hyperlink>
          </w:p>
        </w:tc>
      </w:tr>
      <w:tr>
        <w:trPr>
          <w:cantSplit/>
        </w:trPr>
        <w:tc>
          <w:tcPr>
            <w:tcW w:type="dxa" w:w="1400"/>
          </w:tcPr>
          <w:p>
            <w:pPr>
              <w:keepLines/>
              <w:spacing w:after="0" w:line="276" w:lineRule="auto"/>
            </w:pPr>
            <w:r>
              <w:rPr>
                <w:rFonts w:ascii="Calibri" w:hAnsi="Calibri" w:eastAsia="Microsoft YaHei"/>
                <w:color w:val="0B2545"/>
                <w:sz w:val="13"/>
              </w:rPr>
              <w:t>装置专有分析/标定软件</w:t>
            </w:r>
          </w:p>
        </w:tc>
        <w:tc>
          <w:tcPr>
            <w:tcW w:type="dxa" w:w="1250"/>
          </w:tcPr>
          <w:p>
            <w:pPr>
              <w:keepLines/>
              <w:spacing w:after="0" w:line="276" w:lineRule="auto"/>
            </w:pPr>
            <w:r>
              <w:rPr>
                <w:rFonts w:ascii="Calibri" w:hAnsi="Calibri" w:eastAsia="Microsoft YaHei"/>
                <w:color w:val="0B2545"/>
                <w:sz w:val="13"/>
              </w:rPr>
              <w:t>not-public</w:t>
            </w:r>
          </w:p>
        </w:tc>
        <w:tc>
          <w:tcPr>
            <w:tcW w:type="dxa" w:w="1050"/>
          </w:tcPr>
          <w:p>
            <w:pPr>
              <w:keepLines/>
              <w:spacing w:after="0" w:line="276" w:lineRule="auto"/>
            </w:pPr>
            <w:r>
              <w:rPr>
                <w:rFonts w:ascii="Calibri" w:hAnsi="Calibri" w:eastAsia="Microsoft YaHei"/>
                <w:color w:val="0B2545"/>
                <w:sz w:val="13"/>
              </w:rPr>
              <w:t>operational-analysis-pipeline</w:t>
            </w:r>
          </w:p>
        </w:tc>
        <w:tc>
          <w:tcPr>
            <w:tcW w:type="dxa" w:w="900"/>
          </w:tcPr>
          <w:p>
            <w:pPr>
              <w:keepLines/>
              <w:spacing w:after="0" w:line="276" w:lineRule="auto"/>
            </w:pPr>
            <w:r>
              <w:rPr>
                <w:rFonts w:ascii="Calibri" w:hAnsi="Calibri" w:eastAsia="Microsoft YaHei"/>
                <w:color w:val="0B2545"/>
                <w:sz w:val="13"/>
              </w:rPr>
              <w:t>not public</w:t>
            </w:r>
          </w:p>
        </w:tc>
        <w:tc>
          <w:tcPr>
            <w:tcW w:type="dxa" w:w="2600"/>
          </w:tcPr>
          <w:p>
            <w:pPr>
              <w:keepLines/>
              <w:spacing w:after="0" w:line="276" w:lineRule="auto"/>
            </w:pPr>
            <w:r>
              <w:rPr>
                <w:rFonts w:ascii="Calibri" w:hAnsi="Calibri" w:eastAsia="Microsoft YaHei"/>
                <w:color w:val="0B2545"/>
                <w:sz w:val="13"/>
              </w:rPr>
              <w:t>生产反演/层析未公开。</w:t>
            </w:r>
          </w:p>
        </w:tc>
        <w:tc>
          <w:tcPr>
            <w:tcW w:type="dxa" w:w="2160"/>
          </w:tcPr>
          <w:p>
            <w:pPr>
              <w:keepLines/>
              <w:spacing w:after="0" w:line="276" w:lineRule="auto"/>
            </w:pPr>
            <w:r>
              <w:rPr>
                <w:rFonts w:ascii="Calibri" w:hAnsi="Calibri" w:eastAsia="Microsoft YaHei"/>
                <w:color w:val="0B2545"/>
                <w:sz w:val="13"/>
              </w:rPr>
              <w:t>未公开</w:t>
            </w:r>
          </w:p>
        </w:tc>
      </w:tr>
      <w:tr>
        <w:trPr>
          <w:cantSplit/>
        </w:trPr>
        <w:tc>
          <w:tcPr>
            <w:tcW w:type="dxa" w:w="1400"/>
          </w:tcPr>
          <w:p>
            <w:pPr>
              <w:keepLines/>
              <w:spacing w:after="0" w:line="276" w:lineRule="auto"/>
            </w:pPr>
            <w:r>
              <w:rPr>
                <w:rFonts w:ascii="Calibri" w:hAnsi="Calibri" w:eastAsia="Microsoft YaHei"/>
                <w:color w:val="0B2545"/>
                <w:sz w:val="13"/>
              </w:rPr>
              <w:t>装置专有分析/标定软件</w:t>
            </w:r>
          </w:p>
        </w:tc>
        <w:tc>
          <w:tcPr>
            <w:tcW w:type="dxa" w:w="1250"/>
          </w:tcPr>
          <w:p>
            <w:pPr>
              <w:keepLines/>
              <w:spacing w:after="0" w:line="276" w:lineRule="auto"/>
            </w:pPr>
            <w:r>
              <w:rPr>
                <w:rFonts w:ascii="Calibri" w:hAnsi="Calibri" w:eastAsia="Microsoft YaHei"/>
                <w:color w:val="0B2545"/>
                <w:sz w:val="13"/>
              </w:rPr>
              <w:t>not-public</w:t>
            </w:r>
          </w:p>
        </w:tc>
        <w:tc>
          <w:tcPr>
            <w:tcW w:type="dxa" w:w="1050"/>
          </w:tcPr>
          <w:p>
            <w:pPr>
              <w:keepLines/>
              <w:spacing w:after="0" w:line="276" w:lineRule="auto"/>
            </w:pPr>
            <w:r>
              <w:rPr>
                <w:rFonts w:ascii="Calibri" w:hAnsi="Calibri" w:eastAsia="Microsoft YaHei"/>
                <w:color w:val="0B2545"/>
                <w:sz w:val="13"/>
              </w:rPr>
              <w:t>operational-analysis-pipeline</w:t>
            </w:r>
          </w:p>
        </w:tc>
        <w:tc>
          <w:tcPr>
            <w:tcW w:type="dxa" w:w="900"/>
          </w:tcPr>
          <w:p>
            <w:pPr>
              <w:keepLines/>
              <w:spacing w:after="0" w:line="276" w:lineRule="auto"/>
            </w:pPr>
            <w:r>
              <w:rPr>
                <w:rFonts w:ascii="Calibri" w:hAnsi="Calibri" w:eastAsia="Microsoft YaHei"/>
                <w:color w:val="0B2545"/>
                <w:sz w:val="13"/>
              </w:rPr>
              <w:t>not public</w:t>
            </w:r>
          </w:p>
        </w:tc>
        <w:tc>
          <w:tcPr>
            <w:tcW w:type="dxa" w:w="2600"/>
          </w:tcPr>
          <w:p>
            <w:pPr>
              <w:keepLines/>
              <w:spacing w:after="0" w:line="276" w:lineRule="auto"/>
            </w:pPr>
            <w:r>
              <w:rPr>
                <w:rFonts w:ascii="Calibri" w:hAnsi="Calibri" w:eastAsia="Microsoft YaHei"/>
                <w:color w:val="0B2545"/>
                <w:sz w:val="13"/>
              </w:rPr>
              <w:t>QMB温度补偿、快门控制和库存融合代码未公开。</w:t>
            </w:r>
          </w:p>
        </w:tc>
        <w:tc>
          <w:tcPr>
            <w:tcW w:type="dxa" w:w="2160"/>
          </w:tcPr>
          <w:p>
            <w:pPr>
              <w:keepLines/>
              <w:spacing w:after="0" w:line="276" w:lineRule="auto"/>
            </w:pPr>
            <w:r>
              <w:rPr>
                <w:rFonts w:ascii="Calibri" w:hAnsi="Calibri" w:eastAsia="Microsoft YaHei"/>
                <w:color w:val="0B2545"/>
                <w:sz w:val="13"/>
              </w:rPr>
              <w:t>未公开</w:t>
            </w:r>
          </w:p>
        </w:tc>
      </w:tr>
      <w:tr>
        <w:trPr>
          <w:cantSplit/>
        </w:trPr>
        <w:tc>
          <w:tcPr>
            <w:tcW w:type="dxa" w:w="1400"/>
          </w:tcPr>
          <w:p>
            <w:pPr>
              <w:keepLines/>
              <w:spacing w:after="0" w:line="276" w:lineRule="auto"/>
            </w:pPr>
            <w:r>
              <w:rPr>
                <w:rFonts w:ascii="Calibri" w:hAnsi="Calibri" w:eastAsia="Microsoft YaHei"/>
                <w:color w:val="0B2545"/>
                <w:sz w:val="13"/>
              </w:rPr>
              <w:t>装置专有分析/标定软件</w:t>
            </w:r>
          </w:p>
        </w:tc>
        <w:tc>
          <w:tcPr>
            <w:tcW w:type="dxa" w:w="1250"/>
          </w:tcPr>
          <w:p>
            <w:pPr>
              <w:keepLines/>
              <w:spacing w:after="0" w:line="276" w:lineRule="auto"/>
            </w:pPr>
            <w:r>
              <w:rPr>
                <w:rFonts w:ascii="Calibri" w:hAnsi="Calibri" w:eastAsia="Microsoft YaHei"/>
                <w:color w:val="0B2545"/>
                <w:sz w:val="13"/>
              </w:rPr>
              <w:t>not-public</w:t>
            </w:r>
          </w:p>
        </w:tc>
        <w:tc>
          <w:tcPr>
            <w:tcW w:type="dxa" w:w="1050"/>
          </w:tcPr>
          <w:p>
            <w:pPr>
              <w:keepLines/>
              <w:spacing w:after="0" w:line="276" w:lineRule="auto"/>
            </w:pPr>
            <w:r>
              <w:rPr>
                <w:rFonts w:ascii="Calibri" w:hAnsi="Calibri" w:eastAsia="Microsoft YaHei"/>
                <w:color w:val="0B2545"/>
                <w:sz w:val="13"/>
              </w:rPr>
              <w:t>operational-analysis-pipeline</w:t>
            </w:r>
          </w:p>
        </w:tc>
        <w:tc>
          <w:tcPr>
            <w:tcW w:type="dxa" w:w="900"/>
          </w:tcPr>
          <w:p>
            <w:pPr>
              <w:keepLines/>
              <w:spacing w:after="0" w:line="276" w:lineRule="auto"/>
            </w:pPr>
            <w:r>
              <w:rPr>
                <w:rFonts w:ascii="Calibri" w:hAnsi="Calibri" w:eastAsia="Microsoft YaHei"/>
                <w:color w:val="0B2545"/>
                <w:sz w:val="13"/>
              </w:rPr>
              <w:t>not public</w:t>
            </w:r>
          </w:p>
        </w:tc>
        <w:tc>
          <w:tcPr>
            <w:tcW w:type="dxa" w:w="2600"/>
          </w:tcPr>
          <w:p>
            <w:pPr>
              <w:keepLines/>
              <w:spacing w:after="0" w:line="276" w:lineRule="auto"/>
            </w:pPr>
            <w:r>
              <w:rPr>
                <w:rFonts w:ascii="Calibri" w:hAnsi="Calibri" w:eastAsia="Microsoft YaHei"/>
                <w:color w:val="0B2545"/>
                <w:sz w:val="13"/>
              </w:rPr>
              <w:t>LIBS/LIDS定量标定与氚治理工作流未公开。</w:t>
            </w:r>
          </w:p>
        </w:tc>
        <w:tc>
          <w:tcPr>
            <w:tcW w:type="dxa" w:w="2160"/>
          </w:tcPr>
          <w:p>
            <w:pPr>
              <w:keepLines/>
              <w:spacing w:after="0" w:line="276" w:lineRule="auto"/>
            </w:pPr>
            <w:r>
              <w:rPr>
                <w:rFonts w:ascii="Calibri" w:hAnsi="Calibri" w:eastAsia="Microsoft YaHei"/>
                <w:color w:val="0B2545"/>
                <w:sz w:val="13"/>
              </w:rPr>
              <w:t>未公开</w:t>
            </w:r>
          </w:p>
        </w:tc>
      </w:tr>
      <w:tr>
        <w:trPr>
          <w:cantSplit/>
        </w:trPr>
        <w:tc>
          <w:tcPr>
            <w:tcW w:type="dxa" w:w="1400"/>
          </w:tcPr>
          <w:p>
            <w:pPr>
              <w:keepLines/>
              <w:spacing w:after="0" w:line="276" w:lineRule="auto"/>
            </w:pPr>
            <w:r>
              <w:rPr>
                <w:rFonts w:ascii="Calibri" w:hAnsi="Calibri" w:eastAsia="Microsoft YaHei"/>
                <w:color w:val="0B2545"/>
                <w:sz w:val="13"/>
              </w:rPr>
              <w:t>装置专有分析/标定软件</w:t>
            </w:r>
          </w:p>
        </w:tc>
        <w:tc>
          <w:tcPr>
            <w:tcW w:type="dxa" w:w="1250"/>
          </w:tcPr>
          <w:p>
            <w:pPr>
              <w:keepLines/>
              <w:spacing w:after="0" w:line="276" w:lineRule="auto"/>
            </w:pPr>
            <w:r>
              <w:rPr>
                <w:rFonts w:ascii="Calibri" w:hAnsi="Calibri" w:eastAsia="Microsoft YaHei"/>
                <w:color w:val="0B2545"/>
                <w:sz w:val="13"/>
              </w:rPr>
              <w:t>not-public</w:t>
            </w:r>
          </w:p>
        </w:tc>
        <w:tc>
          <w:tcPr>
            <w:tcW w:type="dxa" w:w="1050"/>
          </w:tcPr>
          <w:p>
            <w:pPr>
              <w:keepLines/>
              <w:spacing w:after="0" w:line="276" w:lineRule="auto"/>
            </w:pPr>
            <w:r>
              <w:rPr>
                <w:rFonts w:ascii="Calibri" w:hAnsi="Calibri" w:eastAsia="Microsoft YaHei"/>
                <w:color w:val="0B2545"/>
                <w:sz w:val="13"/>
              </w:rPr>
              <w:t>operational-analysis-pipeline</w:t>
            </w:r>
          </w:p>
        </w:tc>
        <w:tc>
          <w:tcPr>
            <w:tcW w:type="dxa" w:w="900"/>
          </w:tcPr>
          <w:p>
            <w:pPr>
              <w:keepLines/>
              <w:spacing w:after="0" w:line="276" w:lineRule="auto"/>
            </w:pPr>
            <w:r>
              <w:rPr>
                <w:rFonts w:ascii="Calibri" w:hAnsi="Calibri" w:eastAsia="Microsoft YaHei"/>
                <w:color w:val="0B2545"/>
                <w:sz w:val="13"/>
              </w:rPr>
              <w:t>not public</w:t>
            </w:r>
          </w:p>
        </w:tc>
        <w:tc>
          <w:tcPr>
            <w:tcW w:type="dxa" w:w="2600"/>
          </w:tcPr>
          <w:p>
            <w:pPr>
              <w:keepLines/>
              <w:spacing w:after="0" w:line="276" w:lineRule="auto"/>
            </w:pPr>
            <w:r>
              <w:rPr>
                <w:rFonts w:ascii="Calibri" w:hAnsi="Calibri" w:eastAsia="Microsoft YaHei"/>
                <w:color w:val="0B2545"/>
                <w:sz w:val="13"/>
              </w:rPr>
              <w:t>跨诊断光学吞吐健康融合与资产数据库未公开。</w:t>
            </w:r>
          </w:p>
        </w:tc>
        <w:tc>
          <w:tcPr>
            <w:tcW w:type="dxa" w:w="2160"/>
          </w:tcPr>
          <w:p>
            <w:pPr>
              <w:keepLines/>
              <w:spacing w:after="0" w:line="276" w:lineRule="auto"/>
            </w:pPr>
            <w:r>
              <w:rPr>
                <w:rFonts w:ascii="Calibri" w:hAnsi="Calibri" w:eastAsia="Microsoft YaHei"/>
                <w:color w:val="0B2545"/>
                <w:sz w:val="13"/>
              </w:rPr>
              <w:t>未公开</w:t>
            </w:r>
          </w:p>
        </w:tc>
      </w:tr>
      <w:tr>
        <w:trPr>
          <w:cantSplit/>
        </w:trPr>
        <w:tc>
          <w:tcPr>
            <w:tcW w:type="dxa" w:w="1400"/>
          </w:tcPr>
          <w:p>
            <w:pPr>
              <w:keepLines/>
              <w:spacing w:after="0" w:line="276" w:lineRule="auto"/>
            </w:pPr>
            <w:r>
              <w:rPr>
                <w:rFonts w:ascii="Calibri" w:hAnsi="Calibri" w:eastAsia="Microsoft YaHei"/>
                <w:color w:val="0B2545"/>
                <w:sz w:val="13"/>
              </w:rPr>
              <w:t>ITER TSM tsmadkit / tsmadalg implementation</w:t>
            </w:r>
          </w:p>
        </w:tc>
        <w:tc>
          <w:tcPr>
            <w:tcW w:type="dxa" w:w="1250"/>
          </w:tcPr>
          <w:p>
            <w:pPr>
              <w:keepLines/>
              <w:spacing w:after="0" w:line="276" w:lineRule="auto"/>
            </w:pPr>
            <w:r>
              <w:rPr>
                <w:rFonts w:ascii="Calibri" w:hAnsi="Calibri" w:eastAsia="Microsoft YaHei"/>
                <w:color w:val="0B2545"/>
                <w:sz w:val="13"/>
              </w:rPr>
              <w:t>not-public</w:t>
            </w:r>
          </w:p>
        </w:tc>
        <w:tc>
          <w:tcPr>
            <w:tcW w:type="dxa" w:w="1050"/>
          </w:tcPr>
          <w:p>
            <w:pPr>
              <w:keepLines/>
              <w:spacing w:after="0" w:line="276" w:lineRule="auto"/>
            </w:pPr>
            <w:r>
              <w:rPr>
                <w:rFonts w:ascii="Calibri" w:hAnsi="Calibri" w:eastAsia="Microsoft YaHei"/>
                <w:color w:val="0B2545"/>
                <w:sz w:val="13"/>
              </w:rPr>
              <w:t>source-code</w:t>
            </w:r>
          </w:p>
        </w:tc>
        <w:tc>
          <w:tcPr>
            <w:tcW w:type="dxa" w:w="900"/>
          </w:tcPr>
          <w:p>
            <w:pPr>
              <w:keepLines/>
              <w:spacing w:after="0" w:line="276" w:lineRule="auto"/>
            </w:pPr>
            <w:r>
              <w:rPr>
                <w:rFonts w:ascii="Calibri" w:hAnsi="Calibri" w:eastAsia="Microsoft YaHei"/>
                <w:color w:val="0B2545"/>
                <w:sz w:val="13"/>
              </w:rPr>
              <w:t>not-public</w:t>
            </w:r>
          </w:p>
        </w:tc>
        <w:tc>
          <w:tcPr>
            <w:tcW w:type="dxa" w:w="2600"/>
          </w:tcPr>
          <w:p>
            <w:pPr>
              <w:keepLines/>
              <w:spacing w:after="0" w:line="276" w:lineRule="auto"/>
            </w:pPr>
            <w:r>
              <w:rPr>
                <w:rFonts w:ascii="Calibri" w:hAnsi="Calibri" w:eastAsia="Microsoft YaHei"/>
                <w:color w:val="0B2545"/>
                <w:sz w:val="13"/>
              </w:rPr>
              <w:t>论文明确说明 TSM、tsmadkit 与 tsmadalg 为 ITER Organization 专有知识产权，提交时不能公开。</w:t>
            </w:r>
          </w:p>
        </w:tc>
        <w:tc>
          <w:tcPr>
            <w:tcW w:type="dxa" w:w="2160"/>
          </w:tcPr>
          <w:p>
            <w:pPr>
              <w:keepLines/>
              <w:spacing w:after="0" w:line="276" w:lineRule="auto"/>
            </w:pPr>
            <w:r>
              <w:rPr>
                <w:rFonts w:ascii="Calibri" w:hAnsi="Calibri" w:eastAsia="Microsoft YaHei"/>
                <w:color w:val="0B2545"/>
                <w:sz w:val="13"/>
              </w:rPr>
              <w:t>未公开</w:t>
            </w:r>
          </w:p>
        </w:tc>
      </w:tr>
      <w:tr>
        <w:trPr>
          <w:cantSplit/>
        </w:trPr>
        <w:tc>
          <w:tcPr>
            <w:tcW w:type="dxa" w:w="1400"/>
          </w:tcPr>
          <w:p>
            <w:pPr>
              <w:keepLines/>
              <w:spacing w:after="0" w:line="276" w:lineRule="auto"/>
            </w:pPr>
            <w:r>
              <w:rPr>
                <w:rFonts w:ascii="Calibri" w:hAnsi="Calibri" w:eastAsia="Microsoft YaHei"/>
                <w:color w:val="0B2545"/>
                <w:sz w:val="13"/>
              </w:rPr>
              <w:t>ITER QDS production logic/configuration</w:t>
            </w:r>
          </w:p>
        </w:tc>
        <w:tc>
          <w:tcPr>
            <w:tcW w:type="dxa" w:w="1250"/>
          </w:tcPr>
          <w:p>
            <w:pPr>
              <w:keepLines/>
              <w:spacing w:after="0" w:line="276" w:lineRule="auto"/>
            </w:pPr>
            <w:r>
              <w:rPr>
                <w:rFonts w:ascii="Calibri" w:hAnsi="Calibri" w:eastAsia="Microsoft YaHei"/>
                <w:color w:val="0B2545"/>
                <w:sz w:val="13"/>
              </w:rPr>
              <w:t>not-public</w:t>
            </w:r>
          </w:p>
        </w:tc>
        <w:tc>
          <w:tcPr>
            <w:tcW w:type="dxa" w:w="1050"/>
          </w:tcPr>
          <w:p>
            <w:pPr>
              <w:keepLines/>
              <w:spacing w:after="0" w:line="276" w:lineRule="auto"/>
            </w:pPr>
            <w:r>
              <w:rPr>
                <w:rFonts w:ascii="Calibri" w:hAnsi="Calibri" w:eastAsia="Microsoft YaHei"/>
                <w:color w:val="0B2545"/>
                <w:sz w:val="13"/>
              </w:rPr>
              <w:t>production-software-or-configuration</w:t>
            </w:r>
          </w:p>
        </w:tc>
        <w:tc>
          <w:tcPr>
            <w:tcW w:type="dxa" w:w="900"/>
          </w:tcPr>
          <w:p>
            <w:pPr>
              <w:keepLines/>
              <w:spacing w:after="0" w:line="276" w:lineRule="auto"/>
            </w:pPr>
            <w:r>
              <w:rPr>
                <w:rFonts w:ascii="Calibri" w:hAnsi="Calibri" w:eastAsia="Microsoft YaHei"/>
                <w:color w:val="0B2545"/>
                <w:sz w:val="13"/>
              </w:rPr>
              <w:t>closed</w:t>
            </w:r>
          </w:p>
        </w:tc>
        <w:tc>
          <w:tcPr>
            <w:tcW w:type="dxa" w:w="2600"/>
          </w:tcPr>
          <w:p>
            <w:pPr>
              <w:keepLines/>
              <w:spacing w:after="0" w:line="276" w:lineRule="auto"/>
            </w:pPr>
            <w:r>
              <w:rPr>
                <w:rFonts w:ascii="Calibri" w:hAnsi="Calibri" w:eastAsia="Microsoft YaHei"/>
                <w:color w:val="0B2545"/>
                <w:sz w:val="13"/>
              </w:rPr>
              <w:t>公开文献描述功能与资格方法，未发现生产仓库。</w:t>
            </w:r>
          </w:p>
        </w:tc>
        <w:tc>
          <w:tcPr>
            <w:tcW w:type="dxa" w:w="2160"/>
          </w:tcPr>
          <w:p>
            <w:pPr>
              <w:keepLines/>
              <w:spacing w:after="0" w:line="276" w:lineRule="auto"/>
            </w:pPr>
            <w:r>
              <w:rPr>
                <w:rFonts w:ascii="Calibri" w:hAnsi="Calibri" w:eastAsia="Microsoft YaHei"/>
                <w:color w:val="0B2545"/>
                <w:sz w:val="13"/>
              </w:rPr>
              <w:t>未公开</w:t>
            </w:r>
          </w:p>
        </w:tc>
      </w:tr>
      <w:tr>
        <w:trPr>
          <w:cantSplit/>
        </w:trPr>
        <w:tc>
          <w:tcPr>
            <w:tcW w:type="dxa" w:w="1400"/>
          </w:tcPr>
          <w:p>
            <w:pPr>
              <w:keepLines/>
              <w:spacing w:after="0" w:line="276" w:lineRule="auto"/>
            </w:pPr>
            <w:r>
              <w:rPr>
                <w:rFonts w:ascii="Calibri" w:hAnsi="Calibri" w:eastAsia="Microsoft YaHei"/>
                <w:color w:val="0B2545"/>
                <w:sz w:val="13"/>
              </w:rPr>
              <w:t>JT-60SA Magnet Controller/QPC logic</w:t>
            </w:r>
          </w:p>
        </w:tc>
        <w:tc>
          <w:tcPr>
            <w:tcW w:type="dxa" w:w="1250"/>
          </w:tcPr>
          <w:p>
            <w:pPr>
              <w:keepLines/>
              <w:spacing w:after="0" w:line="276" w:lineRule="auto"/>
            </w:pPr>
            <w:r>
              <w:rPr>
                <w:rFonts w:ascii="Calibri" w:hAnsi="Calibri" w:eastAsia="Microsoft YaHei"/>
                <w:color w:val="0B2545"/>
                <w:sz w:val="13"/>
              </w:rPr>
              <w:t>not-public</w:t>
            </w:r>
          </w:p>
        </w:tc>
        <w:tc>
          <w:tcPr>
            <w:tcW w:type="dxa" w:w="1050"/>
          </w:tcPr>
          <w:p>
            <w:pPr>
              <w:keepLines/>
              <w:spacing w:after="0" w:line="276" w:lineRule="auto"/>
            </w:pPr>
            <w:r>
              <w:rPr>
                <w:rFonts w:ascii="Calibri" w:hAnsi="Calibri" w:eastAsia="Microsoft YaHei"/>
                <w:color w:val="0B2545"/>
                <w:sz w:val="13"/>
              </w:rPr>
              <w:t>production-software-or-configuration</w:t>
            </w:r>
          </w:p>
        </w:tc>
        <w:tc>
          <w:tcPr>
            <w:tcW w:type="dxa" w:w="900"/>
          </w:tcPr>
          <w:p>
            <w:pPr>
              <w:keepLines/>
              <w:spacing w:after="0" w:line="276" w:lineRule="auto"/>
            </w:pPr>
            <w:r>
              <w:rPr>
                <w:rFonts w:ascii="Calibri" w:hAnsi="Calibri" w:eastAsia="Microsoft YaHei"/>
                <w:color w:val="0B2545"/>
                <w:sz w:val="13"/>
              </w:rPr>
              <w:t>closed</w:t>
            </w:r>
          </w:p>
        </w:tc>
        <w:tc>
          <w:tcPr>
            <w:tcW w:type="dxa" w:w="2600"/>
          </w:tcPr>
          <w:p>
            <w:pPr>
              <w:keepLines/>
              <w:spacing w:after="0" w:line="276" w:lineRule="auto"/>
            </w:pPr>
            <w:r>
              <w:rPr>
                <w:rFonts w:ascii="Calibri" w:hAnsi="Calibri" w:eastAsia="Microsoft YaHei"/>
                <w:color w:val="0B2545"/>
                <w:sz w:val="13"/>
              </w:rPr>
              <w:t>生产逻辑与阈值未公开。</w:t>
            </w:r>
          </w:p>
        </w:tc>
        <w:tc>
          <w:tcPr>
            <w:tcW w:type="dxa" w:w="2160"/>
          </w:tcPr>
          <w:p>
            <w:pPr>
              <w:keepLines/>
              <w:spacing w:after="0" w:line="276" w:lineRule="auto"/>
            </w:pPr>
            <w:r>
              <w:rPr>
                <w:rFonts w:ascii="Calibri" w:hAnsi="Calibri" w:eastAsia="Microsoft YaHei"/>
                <w:color w:val="0B2545"/>
                <w:sz w:val="13"/>
              </w:rPr>
              <w:t>未公开</w:t>
            </w:r>
          </w:p>
        </w:tc>
      </w:tr>
      <w:tr>
        <w:trPr>
          <w:cantSplit/>
        </w:trPr>
        <w:tc>
          <w:tcPr>
            <w:tcW w:type="dxa" w:w="1400"/>
          </w:tcPr>
          <w:p>
            <w:pPr>
              <w:keepLines/>
              <w:spacing w:after="0" w:line="276" w:lineRule="auto"/>
            </w:pPr>
            <w:r>
              <w:rPr>
                <w:rFonts w:ascii="Calibri" w:hAnsi="Calibri" w:eastAsia="Microsoft YaHei"/>
                <w:color w:val="0B2545"/>
                <w:sz w:val="13"/>
              </w:rPr>
              <w:t>EAST TDS DAQ/interlock application</w:t>
            </w:r>
          </w:p>
        </w:tc>
        <w:tc>
          <w:tcPr>
            <w:tcW w:type="dxa" w:w="1250"/>
          </w:tcPr>
          <w:p>
            <w:pPr>
              <w:keepLines/>
              <w:spacing w:after="0" w:line="276" w:lineRule="auto"/>
            </w:pPr>
            <w:r>
              <w:rPr>
                <w:rFonts w:ascii="Calibri" w:hAnsi="Calibri" w:eastAsia="Microsoft YaHei"/>
                <w:color w:val="0B2545"/>
                <w:sz w:val="13"/>
              </w:rPr>
              <w:t>not-public</w:t>
            </w:r>
          </w:p>
        </w:tc>
        <w:tc>
          <w:tcPr>
            <w:tcW w:type="dxa" w:w="1050"/>
          </w:tcPr>
          <w:p>
            <w:pPr>
              <w:keepLines/>
              <w:spacing w:after="0" w:line="276" w:lineRule="auto"/>
            </w:pPr>
            <w:r>
              <w:rPr>
                <w:rFonts w:ascii="Calibri" w:hAnsi="Calibri" w:eastAsia="Microsoft YaHei"/>
                <w:color w:val="0B2545"/>
                <w:sz w:val="13"/>
              </w:rPr>
              <w:t>production-software-or-configuration</w:t>
            </w:r>
          </w:p>
        </w:tc>
        <w:tc>
          <w:tcPr>
            <w:tcW w:type="dxa" w:w="900"/>
          </w:tcPr>
          <w:p>
            <w:pPr>
              <w:keepLines/>
              <w:spacing w:after="0" w:line="276" w:lineRule="auto"/>
            </w:pPr>
            <w:r>
              <w:rPr>
                <w:rFonts w:ascii="Calibri" w:hAnsi="Calibri" w:eastAsia="Microsoft YaHei"/>
                <w:color w:val="0B2545"/>
                <w:sz w:val="13"/>
              </w:rPr>
              <w:t>closed</w:t>
            </w:r>
          </w:p>
        </w:tc>
        <w:tc>
          <w:tcPr>
            <w:tcW w:type="dxa" w:w="2600"/>
          </w:tcPr>
          <w:p>
            <w:pPr>
              <w:keepLines/>
              <w:spacing w:after="0" w:line="276" w:lineRule="auto"/>
            </w:pPr>
            <w:r>
              <w:rPr>
                <w:rFonts w:ascii="Calibri" w:hAnsi="Calibri" w:eastAsia="Microsoft YaHei"/>
                <w:color w:val="0B2545"/>
                <w:sz w:val="13"/>
              </w:rPr>
              <w:t>论文描述架构，生产配置未公开。</w:t>
            </w:r>
          </w:p>
        </w:tc>
        <w:tc>
          <w:tcPr>
            <w:tcW w:type="dxa" w:w="2160"/>
          </w:tcPr>
          <w:p>
            <w:pPr>
              <w:keepLines/>
              <w:spacing w:after="0" w:line="276" w:lineRule="auto"/>
            </w:pPr>
            <w:r>
              <w:rPr>
                <w:rFonts w:ascii="Calibri" w:hAnsi="Calibri" w:eastAsia="Microsoft YaHei"/>
                <w:color w:val="0B2545"/>
                <w:sz w:val="13"/>
              </w:rPr>
              <w:t>未公开</w:t>
            </w:r>
          </w:p>
        </w:tc>
      </w:tr>
      <w:tr>
        <w:trPr>
          <w:cantSplit/>
        </w:trPr>
        <w:tc>
          <w:tcPr>
            <w:tcW w:type="dxa" w:w="1400"/>
          </w:tcPr>
          <w:p>
            <w:pPr>
              <w:keepLines/>
              <w:spacing w:after="0" w:line="276" w:lineRule="auto"/>
            </w:pPr>
            <w:r>
              <w:rPr>
                <w:rFonts w:ascii="Calibri" w:hAnsi="Calibri" w:eastAsia="Microsoft YaHei"/>
                <w:color w:val="0B2545"/>
                <w:sz w:val="13"/>
              </w:rPr>
              <w:t>WEST WMS</w:t>
            </w:r>
          </w:p>
        </w:tc>
        <w:tc>
          <w:tcPr>
            <w:tcW w:type="dxa" w:w="1250"/>
          </w:tcPr>
          <w:p>
            <w:pPr>
              <w:keepLines/>
              <w:spacing w:after="0" w:line="276" w:lineRule="auto"/>
            </w:pPr>
            <w:r>
              <w:rPr>
                <w:rFonts w:ascii="Calibri" w:hAnsi="Calibri" w:eastAsia="Microsoft YaHei"/>
                <w:color w:val="0B2545"/>
                <w:sz w:val="13"/>
              </w:rPr>
              <w:t>not-public</w:t>
            </w:r>
          </w:p>
        </w:tc>
        <w:tc>
          <w:tcPr>
            <w:tcW w:type="dxa" w:w="1050"/>
          </w:tcPr>
          <w:p>
            <w:pPr>
              <w:keepLines/>
              <w:spacing w:after="0" w:line="276" w:lineRule="auto"/>
            </w:pPr>
            <w:r>
              <w:rPr>
                <w:rFonts w:ascii="Calibri" w:hAnsi="Calibri" w:eastAsia="Microsoft YaHei"/>
                <w:color w:val="0B2545"/>
                <w:sz w:val="13"/>
              </w:rPr>
              <w:t>production-software-or-configuration</w:t>
            </w:r>
          </w:p>
        </w:tc>
        <w:tc>
          <w:tcPr>
            <w:tcW w:type="dxa" w:w="900"/>
          </w:tcPr>
          <w:p>
            <w:pPr>
              <w:keepLines/>
              <w:spacing w:after="0" w:line="276" w:lineRule="auto"/>
            </w:pPr>
            <w:r>
              <w:rPr>
                <w:rFonts w:ascii="Calibri" w:hAnsi="Calibri" w:eastAsia="Microsoft YaHei"/>
                <w:color w:val="0B2545"/>
                <w:sz w:val="13"/>
              </w:rPr>
              <w:t>closed</w:t>
            </w:r>
          </w:p>
        </w:tc>
        <w:tc>
          <w:tcPr>
            <w:tcW w:type="dxa" w:w="2600"/>
          </w:tcPr>
          <w:p>
            <w:pPr>
              <w:keepLines/>
              <w:spacing w:after="0" w:line="276" w:lineRule="auto"/>
            </w:pPr>
            <w:r>
              <w:rPr>
                <w:rFonts w:ascii="Calibri" w:hAnsi="Calibri" w:eastAsia="Microsoft YaHei"/>
                <w:color w:val="0B2545"/>
                <w:sz w:val="13"/>
              </w:rPr>
              <w:t>生产图像处理、ROI 和 PCS 配置未公开。</w:t>
            </w:r>
          </w:p>
        </w:tc>
        <w:tc>
          <w:tcPr>
            <w:tcW w:type="dxa" w:w="2160"/>
          </w:tcPr>
          <w:p>
            <w:pPr>
              <w:keepLines/>
              <w:spacing w:after="0" w:line="276" w:lineRule="auto"/>
            </w:pPr>
            <w:r>
              <w:rPr>
                <w:rFonts w:ascii="Calibri" w:hAnsi="Calibri" w:eastAsia="Microsoft YaHei"/>
                <w:color w:val="0B2545"/>
                <w:sz w:val="13"/>
              </w:rPr>
              <w:t>未公开</w:t>
            </w:r>
          </w:p>
        </w:tc>
      </w:tr>
      <w:tr>
        <w:trPr>
          <w:cantSplit/>
        </w:trPr>
        <w:tc>
          <w:tcPr>
            <w:tcW w:type="dxa" w:w="1400"/>
          </w:tcPr>
          <w:p>
            <w:pPr>
              <w:keepLines/>
              <w:spacing w:after="0" w:line="276" w:lineRule="auto"/>
            </w:pPr>
            <w:r>
              <w:rPr>
                <w:rFonts w:ascii="Calibri" w:hAnsi="Calibri" w:eastAsia="Microsoft YaHei"/>
                <w:color w:val="0B2545"/>
                <w:sz w:val="13"/>
              </w:rPr>
              <w:t>WEST FBG processing</w:t>
            </w:r>
          </w:p>
        </w:tc>
        <w:tc>
          <w:tcPr>
            <w:tcW w:type="dxa" w:w="1250"/>
          </w:tcPr>
          <w:p>
            <w:pPr>
              <w:keepLines/>
              <w:spacing w:after="0" w:line="276" w:lineRule="auto"/>
            </w:pPr>
            <w:r>
              <w:rPr>
                <w:rFonts w:ascii="Calibri" w:hAnsi="Calibri" w:eastAsia="Microsoft YaHei"/>
                <w:color w:val="0B2545"/>
                <w:sz w:val="13"/>
              </w:rPr>
              <w:t>not-public</w:t>
            </w:r>
          </w:p>
        </w:tc>
        <w:tc>
          <w:tcPr>
            <w:tcW w:type="dxa" w:w="1050"/>
          </w:tcPr>
          <w:p>
            <w:pPr>
              <w:keepLines/>
              <w:spacing w:after="0" w:line="276" w:lineRule="auto"/>
            </w:pPr>
            <w:r>
              <w:rPr>
                <w:rFonts w:ascii="Calibri" w:hAnsi="Calibri" w:eastAsia="Microsoft YaHei"/>
                <w:color w:val="0B2545"/>
                <w:sz w:val="13"/>
              </w:rPr>
              <w:t>production-software-or-configuration</w:t>
            </w:r>
          </w:p>
        </w:tc>
        <w:tc>
          <w:tcPr>
            <w:tcW w:type="dxa" w:w="900"/>
          </w:tcPr>
          <w:p>
            <w:pPr>
              <w:keepLines/>
              <w:spacing w:after="0" w:line="276" w:lineRule="auto"/>
            </w:pPr>
            <w:r>
              <w:rPr>
                <w:rFonts w:ascii="Calibri" w:hAnsi="Calibri" w:eastAsia="Microsoft YaHei"/>
                <w:color w:val="0B2545"/>
                <w:sz w:val="13"/>
              </w:rPr>
              <w:t>closed</w:t>
            </w:r>
          </w:p>
        </w:tc>
        <w:tc>
          <w:tcPr>
            <w:tcW w:type="dxa" w:w="2600"/>
          </w:tcPr>
          <w:p>
            <w:pPr>
              <w:keepLines/>
              <w:spacing w:after="0" w:line="276" w:lineRule="auto"/>
            </w:pPr>
            <w:r>
              <w:rPr>
                <w:rFonts w:ascii="Calibri" w:hAnsi="Calibri" w:eastAsia="Microsoft YaHei"/>
                <w:color w:val="0B2545"/>
                <w:sz w:val="13"/>
              </w:rPr>
              <w:t>光谱解调、补偿和数据库流水线未公开。</w:t>
            </w:r>
          </w:p>
        </w:tc>
        <w:tc>
          <w:tcPr>
            <w:tcW w:type="dxa" w:w="2160"/>
          </w:tcPr>
          <w:p>
            <w:pPr>
              <w:keepLines/>
              <w:spacing w:after="0" w:line="276" w:lineRule="auto"/>
            </w:pPr>
            <w:r>
              <w:rPr>
                <w:rFonts w:ascii="Calibri" w:hAnsi="Calibri" w:eastAsia="Microsoft YaHei"/>
                <w:color w:val="0B2545"/>
                <w:sz w:val="13"/>
              </w:rPr>
              <w:t>未公开</w:t>
            </w:r>
          </w:p>
        </w:tc>
      </w:tr>
      <w:tr>
        <w:trPr>
          <w:cantSplit/>
        </w:trPr>
        <w:tc>
          <w:tcPr>
            <w:tcW w:type="dxa" w:w="1400"/>
          </w:tcPr>
          <w:p>
            <w:pPr>
              <w:keepLines/>
              <w:spacing w:after="0" w:line="276" w:lineRule="auto"/>
            </w:pPr>
            <w:r>
              <w:rPr>
                <w:rFonts w:ascii="Calibri" w:hAnsi="Calibri" w:eastAsia="Microsoft YaHei"/>
                <w:color w:val="0B2545"/>
                <w:sz w:val="13"/>
              </w:rPr>
              <w:t>W7-X thermal event detector</w:t>
            </w:r>
          </w:p>
        </w:tc>
        <w:tc>
          <w:tcPr>
            <w:tcW w:type="dxa" w:w="1250"/>
          </w:tcPr>
          <w:p>
            <w:pPr>
              <w:keepLines/>
              <w:spacing w:after="0" w:line="276" w:lineRule="auto"/>
            </w:pPr>
            <w:r>
              <w:rPr>
                <w:rFonts w:ascii="Calibri" w:hAnsi="Calibri" w:eastAsia="Microsoft YaHei"/>
                <w:color w:val="0B2545"/>
                <w:sz w:val="13"/>
              </w:rPr>
              <w:t>not-public</w:t>
            </w:r>
          </w:p>
        </w:tc>
        <w:tc>
          <w:tcPr>
            <w:tcW w:type="dxa" w:w="1050"/>
          </w:tcPr>
          <w:p>
            <w:pPr>
              <w:keepLines/>
              <w:spacing w:after="0" w:line="276" w:lineRule="auto"/>
            </w:pPr>
            <w:r>
              <w:rPr>
                <w:rFonts w:ascii="Calibri" w:hAnsi="Calibri" w:eastAsia="Microsoft YaHei"/>
                <w:color w:val="0B2545"/>
                <w:sz w:val="13"/>
              </w:rPr>
              <w:t>production-software-or-configuration</w:t>
            </w:r>
          </w:p>
        </w:tc>
        <w:tc>
          <w:tcPr>
            <w:tcW w:type="dxa" w:w="900"/>
          </w:tcPr>
          <w:p>
            <w:pPr>
              <w:keepLines/>
              <w:spacing w:after="0" w:line="276" w:lineRule="auto"/>
            </w:pPr>
            <w:r>
              <w:rPr>
                <w:rFonts w:ascii="Calibri" w:hAnsi="Calibri" w:eastAsia="Microsoft YaHei"/>
                <w:color w:val="0B2545"/>
                <w:sz w:val="13"/>
              </w:rPr>
              <w:t>closed</w:t>
            </w:r>
          </w:p>
        </w:tc>
        <w:tc>
          <w:tcPr>
            <w:tcW w:type="dxa" w:w="2600"/>
          </w:tcPr>
          <w:p>
            <w:pPr>
              <w:keepLines/>
              <w:spacing w:after="0" w:line="276" w:lineRule="auto"/>
            </w:pPr>
            <w:r>
              <w:rPr>
                <w:rFonts w:ascii="Calibri" w:hAnsi="Calibri" w:eastAsia="Microsoft YaHei"/>
                <w:color w:val="0B2545"/>
                <w:sz w:val="13"/>
              </w:rPr>
              <w:t>事件库和生产算法未作为完整公共仓库发布。</w:t>
            </w:r>
          </w:p>
        </w:tc>
        <w:tc>
          <w:tcPr>
            <w:tcW w:type="dxa" w:w="2160"/>
          </w:tcPr>
          <w:p>
            <w:pPr>
              <w:keepLines/>
              <w:spacing w:after="0" w:line="276" w:lineRule="auto"/>
            </w:pPr>
            <w:r>
              <w:rPr>
                <w:rFonts w:ascii="Calibri" w:hAnsi="Calibri" w:eastAsia="Microsoft YaHei"/>
                <w:color w:val="0B2545"/>
                <w:sz w:val="13"/>
              </w:rPr>
              <w:t>未公开</w:t>
            </w:r>
          </w:p>
        </w:tc>
      </w:tr>
      <w:tr>
        <w:trPr>
          <w:cantSplit/>
        </w:trPr>
        <w:tc>
          <w:tcPr>
            <w:tcW w:type="dxa" w:w="1400"/>
          </w:tcPr>
          <w:p>
            <w:pPr>
              <w:keepLines/>
              <w:spacing w:after="0" w:line="276" w:lineRule="auto"/>
            </w:pPr>
            <w:r>
              <w:rPr>
                <w:rFonts w:ascii="Calibri" w:hAnsi="Calibri" w:eastAsia="Microsoft YaHei"/>
                <w:color w:val="0B2545"/>
                <w:sz w:val="13"/>
              </w:rPr>
              <w:t>FBG demodulation/FE comparison workflow</w:t>
            </w:r>
          </w:p>
        </w:tc>
        <w:tc>
          <w:tcPr>
            <w:tcW w:type="dxa" w:w="1250"/>
          </w:tcPr>
          <w:p>
            <w:pPr>
              <w:keepLines/>
              <w:spacing w:after="0" w:line="276" w:lineRule="auto"/>
            </w:pPr>
            <w:r>
              <w:rPr>
                <w:rFonts w:ascii="Calibri" w:hAnsi="Calibri" w:eastAsia="Microsoft YaHei"/>
                <w:color w:val="0B2545"/>
                <w:sz w:val="13"/>
              </w:rPr>
              <w:t>not-public</w:t>
            </w:r>
          </w:p>
        </w:tc>
        <w:tc>
          <w:tcPr>
            <w:tcW w:type="dxa" w:w="1050"/>
          </w:tcPr>
          <w:p>
            <w:pPr>
              <w:keepLines/>
              <w:spacing w:after="0" w:line="276" w:lineRule="auto"/>
            </w:pPr>
            <w:r>
              <w:rPr>
                <w:rFonts w:ascii="Calibri" w:hAnsi="Calibri" w:eastAsia="Microsoft YaHei"/>
                <w:color w:val="0B2545"/>
                <w:sz w:val="13"/>
              </w:rPr>
              <w:t>production-software-or-configuration</w:t>
            </w:r>
          </w:p>
        </w:tc>
        <w:tc>
          <w:tcPr>
            <w:tcW w:type="dxa" w:w="900"/>
          </w:tcPr>
          <w:p>
            <w:pPr>
              <w:keepLines/>
              <w:spacing w:after="0" w:line="276" w:lineRule="auto"/>
            </w:pPr>
            <w:r>
              <w:rPr>
                <w:rFonts w:ascii="Calibri" w:hAnsi="Calibri" w:eastAsia="Microsoft YaHei"/>
                <w:color w:val="0B2545"/>
                <w:sz w:val="13"/>
              </w:rPr>
              <w:t>closed</w:t>
            </w:r>
          </w:p>
        </w:tc>
        <w:tc>
          <w:tcPr>
            <w:tcW w:type="dxa" w:w="2600"/>
          </w:tcPr>
          <w:p>
            <w:pPr>
              <w:keepLines/>
              <w:spacing w:after="0" w:line="276" w:lineRule="auto"/>
            </w:pPr>
            <w:r>
              <w:rPr>
                <w:rFonts w:ascii="Calibri" w:hAnsi="Calibri" w:eastAsia="Microsoft YaHei"/>
                <w:color w:val="0B2545"/>
                <w:sz w:val="13"/>
              </w:rPr>
              <w:t>试验与仿真代码未公开。</w:t>
            </w:r>
          </w:p>
        </w:tc>
        <w:tc>
          <w:tcPr>
            <w:tcW w:type="dxa" w:w="2160"/>
          </w:tcPr>
          <w:p>
            <w:pPr>
              <w:keepLines/>
              <w:spacing w:after="0" w:line="276" w:lineRule="auto"/>
            </w:pPr>
            <w:r>
              <w:rPr>
                <w:rFonts w:ascii="Calibri" w:hAnsi="Calibri" w:eastAsia="Microsoft YaHei"/>
                <w:color w:val="0B2545"/>
                <w:sz w:val="13"/>
              </w:rPr>
              <w:t>未公开</w:t>
            </w:r>
          </w:p>
        </w:tc>
      </w:tr>
      <w:tr>
        <w:trPr>
          <w:cantSplit/>
        </w:trPr>
        <w:tc>
          <w:tcPr>
            <w:tcW w:type="dxa" w:w="1400"/>
          </w:tcPr>
          <w:p>
            <w:pPr>
              <w:keepLines/>
              <w:spacing w:after="0" w:line="276" w:lineRule="auto"/>
            </w:pPr>
            <w:r>
              <w:rPr>
                <w:rFonts w:ascii="Calibri" w:hAnsi="Calibri" w:eastAsia="Microsoft YaHei"/>
                <w:color w:val="0B2545"/>
                <w:sz w:val="13"/>
              </w:rPr>
              <w:t>IEM/FEM ROM implementation</w:t>
            </w:r>
          </w:p>
        </w:tc>
        <w:tc>
          <w:tcPr>
            <w:tcW w:type="dxa" w:w="1250"/>
          </w:tcPr>
          <w:p>
            <w:pPr>
              <w:keepLines/>
              <w:spacing w:after="0" w:line="276" w:lineRule="auto"/>
            </w:pPr>
            <w:r>
              <w:rPr>
                <w:rFonts w:ascii="Calibri" w:hAnsi="Calibri" w:eastAsia="Microsoft YaHei"/>
                <w:color w:val="0B2545"/>
                <w:sz w:val="13"/>
              </w:rPr>
              <w:t>not-public</w:t>
            </w:r>
          </w:p>
        </w:tc>
        <w:tc>
          <w:tcPr>
            <w:tcW w:type="dxa" w:w="1050"/>
          </w:tcPr>
          <w:p>
            <w:pPr>
              <w:keepLines/>
              <w:spacing w:after="0" w:line="276" w:lineRule="auto"/>
            </w:pPr>
            <w:r>
              <w:rPr>
                <w:rFonts w:ascii="Calibri" w:hAnsi="Calibri" w:eastAsia="Microsoft YaHei"/>
                <w:color w:val="0B2545"/>
                <w:sz w:val="13"/>
              </w:rPr>
              <w:t>production-software-or-configuration</w:t>
            </w:r>
          </w:p>
        </w:tc>
        <w:tc>
          <w:tcPr>
            <w:tcW w:type="dxa" w:w="900"/>
          </w:tcPr>
          <w:p>
            <w:pPr>
              <w:keepLines/>
              <w:spacing w:after="0" w:line="276" w:lineRule="auto"/>
            </w:pPr>
            <w:r>
              <w:rPr>
                <w:rFonts w:ascii="Calibri" w:hAnsi="Calibri" w:eastAsia="Microsoft YaHei"/>
                <w:color w:val="0B2545"/>
                <w:sz w:val="13"/>
              </w:rPr>
              <w:t>closed</w:t>
            </w:r>
          </w:p>
        </w:tc>
        <w:tc>
          <w:tcPr>
            <w:tcW w:type="dxa" w:w="2600"/>
          </w:tcPr>
          <w:p>
            <w:pPr>
              <w:keepLines/>
              <w:spacing w:after="0" w:line="276" w:lineRule="auto"/>
            </w:pPr>
            <w:r>
              <w:rPr>
                <w:rFonts w:ascii="Calibri" w:hAnsi="Calibri" w:eastAsia="Microsoft YaHei"/>
                <w:color w:val="0B2545"/>
                <w:sz w:val="13"/>
              </w:rPr>
              <w:t>未发现论文对应公开仓库。</w:t>
            </w:r>
          </w:p>
        </w:tc>
        <w:tc>
          <w:tcPr>
            <w:tcW w:type="dxa" w:w="2160"/>
          </w:tcPr>
          <w:p>
            <w:pPr>
              <w:keepLines/>
              <w:spacing w:after="0" w:line="276" w:lineRule="auto"/>
            </w:pPr>
            <w:r>
              <w:rPr>
                <w:rFonts w:ascii="Calibri" w:hAnsi="Calibri" w:eastAsia="Microsoft YaHei"/>
                <w:color w:val="0B2545"/>
                <w:sz w:val="13"/>
              </w:rPr>
              <w:t>未公开</w:t>
            </w:r>
          </w:p>
        </w:tc>
      </w:tr>
      <w:tr>
        <w:trPr>
          <w:cantSplit/>
        </w:trPr>
        <w:tc>
          <w:tcPr>
            <w:tcW w:type="dxa" w:w="1400"/>
          </w:tcPr>
          <w:p>
            <w:pPr>
              <w:keepLines/>
              <w:spacing w:after="0" w:line="276" w:lineRule="auto"/>
            </w:pPr>
            <w:r>
              <w:rPr>
                <w:rFonts w:ascii="Calibri" w:hAnsi="Calibri" w:eastAsia="Microsoft YaHei"/>
                <w:color w:val="0B2545"/>
                <w:sz w:val="13"/>
              </w:rPr>
              <w:t>TEXTOR/T-10 vibration DAQ</w:t>
            </w:r>
          </w:p>
        </w:tc>
        <w:tc>
          <w:tcPr>
            <w:tcW w:type="dxa" w:w="1250"/>
          </w:tcPr>
          <w:p>
            <w:pPr>
              <w:keepLines/>
              <w:spacing w:after="0" w:line="276" w:lineRule="auto"/>
            </w:pPr>
            <w:r>
              <w:rPr>
                <w:rFonts w:ascii="Calibri" w:hAnsi="Calibri" w:eastAsia="Microsoft YaHei"/>
                <w:color w:val="0B2545"/>
                <w:sz w:val="13"/>
              </w:rPr>
              <w:t>not-public</w:t>
            </w:r>
          </w:p>
        </w:tc>
        <w:tc>
          <w:tcPr>
            <w:tcW w:type="dxa" w:w="1050"/>
          </w:tcPr>
          <w:p>
            <w:pPr>
              <w:keepLines/>
              <w:spacing w:after="0" w:line="276" w:lineRule="auto"/>
            </w:pPr>
            <w:r>
              <w:rPr>
                <w:rFonts w:ascii="Calibri" w:hAnsi="Calibri" w:eastAsia="Microsoft YaHei"/>
                <w:color w:val="0B2545"/>
                <w:sz w:val="13"/>
              </w:rPr>
              <w:t>production-software-or-configuration</w:t>
            </w:r>
          </w:p>
        </w:tc>
        <w:tc>
          <w:tcPr>
            <w:tcW w:type="dxa" w:w="900"/>
          </w:tcPr>
          <w:p>
            <w:pPr>
              <w:keepLines/>
              <w:spacing w:after="0" w:line="276" w:lineRule="auto"/>
            </w:pPr>
            <w:r>
              <w:rPr>
                <w:rFonts w:ascii="Calibri" w:hAnsi="Calibri" w:eastAsia="Microsoft YaHei"/>
                <w:color w:val="0B2545"/>
                <w:sz w:val="13"/>
              </w:rPr>
              <w:t>closed</w:t>
            </w:r>
          </w:p>
        </w:tc>
        <w:tc>
          <w:tcPr>
            <w:tcW w:type="dxa" w:w="2600"/>
          </w:tcPr>
          <w:p>
            <w:pPr>
              <w:keepLines/>
              <w:spacing w:after="0" w:line="276" w:lineRule="auto"/>
            </w:pPr>
            <w:r>
              <w:rPr>
                <w:rFonts w:ascii="Calibri" w:hAnsi="Calibri" w:eastAsia="Microsoft YaHei"/>
                <w:color w:val="0B2545"/>
                <w:sz w:val="13"/>
              </w:rPr>
              <w:t>历史硬件/软件未公开。</w:t>
            </w:r>
          </w:p>
        </w:tc>
        <w:tc>
          <w:tcPr>
            <w:tcW w:type="dxa" w:w="2160"/>
          </w:tcPr>
          <w:p>
            <w:pPr>
              <w:keepLines/>
              <w:spacing w:after="0" w:line="276" w:lineRule="auto"/>
            </w:pPr>
            <w:r>
              <w:rPr>
                <w:rFonts w:ascii="Calibri" w:hAnsi="Calibri" w:eastAsia="Microsoft YaHei"/>
                <w:color w:val="0B2545"/>
                <w:sz w:val="13"/>
              </w:rPr>
              <w:t>未公开</w:t>
            </w:r>
          </w:p>
        </w:tc>
      </w:tr>
      <w:tr>
        <w:trPr>
          <w:cantSplit/>
        </w:trPr>
        <w:tc>
          <w:tcPr>
            <w:tcW w:type="dxa" w:w="1400"/>
          </w:tcPr>
          <w:p>
            <w:pPr>
              <w:keepLines/>
              <w:spacing w:after="0" w:line="276" w:lineRule="auto"/>
            </w:pPr>
            <w:r>
              <w:rPr>
                <w:rFonts w:ascii="Calibri" w:hAnsi="Calibri" w:eastAsia="Microsoft YaHei"/>
                <w:color w:val="0B2545"/>
                <w:sz w:val="13"/>
              </w:rPr>
              <w:t>ITER DRGA control/spectral analysis</w:t>
            </w:r>
          </w:p>
        </w:tc>
        <w:tc>
          <w:tcPr>
            <w:tcW w:type="dxa" w:w="1250"/>
          </w:tcPr>
          <w:p>
            <w:pPr>
              <w:keepLines/>
              <w:spacing w:after="0" w:line="276" w:lineRule="auto"/>
            </w:pPr>
            <w:r>
              <w:rPr>
                <w:rFonts w:ascii="Calibri" w:hAnsi="Calibri" w:eastAsia="Microsoft YaHei"/>
                <w:color w:val="0B2545"/>
                <w:sz w:val="13"/>
              </w:rPr>
              <w:t>not-public</w:t>
            </w:r>
          </w:p>
        </w:tc>
        <w:tc>
          <w:tcPr>
            <w:tcW w:type="dxa" w:w="1050"/>
          </w:tcPr>
          <w:p>
            <w:pPr>
              <w:keepLines/>
              <w:spacing w:after="0" w:line="276" w:lineRule="auto"/>
            </w:pPr>
            <w:r>
              <w:rPr>
                <w:rFonts w:ascii="Calibri" w:hAnsi="Calibri" w:eastAsia="Microsoft YaHei"/>
                <w:color w:val="0B2545"/>
                <w:sz w:val="13"/>
              </w:rPr>
              <w:t>production-software-or-configuration</w:t>
            </w:r>
          </w:p>
        </w:tc>
        <w:tc>
          <w:tcPr>
            <w:tcW w:type="dxa" w:w="900"/>
          </w:tcPr>
          <w:p>
            <w:pPr>
              <w:keepLines/>
              <w:spacing w:after="0" w:line="276" w:lineRule="auto"/>
            </w:pPr>
            <w:r>
              <w:rPr>
                <w:rFonts w:ascii="Calibri" w:hAnsi="Calibri" w:eastAsia="Microsoft YaHei"/>
                <w:color w:val="0B2545"/>
                <w:sz w:val="13"/>
              </w:rPr>
              <w:t>closed</w:t>
            </w:r>
          </w:p>
        </w:tc>
        <w:tc>
          <w:tcPr>
            <w:tcW w:type="dxa" w:w="2600"/>
          </w:tcPr>
          <w:p>
            <w:pPr>
              <w:keepLines/>
              <w:spacing w:after="0" w:line="276" w:lineRule="auto"/>
            </w:pPr>
            <w:r>
              <w:rPr>
                <w:rFonts w:ascii="Calibri" w:hAnsi="Calibri" w:eastAsia="Microsoft YaHei"/>
                <w:color w:val="0B2545"/>
                <w:sz w:val="13"/>
              </w:rPr>
              <w:t>原型硬件公开，生产分析代码未公开。</w:t>
            </w:r>
          </w:p>
        </w:tc>
        <w:tc>
          <w:tcPr>
            <w:tcW w:type="dxa" w:w="2160"/>
          </w:tcPr>
          <w:p>
            <w:pPr>
              <w:keepLines/>
              <w:spacing w:after="0" w:line="276" w:lineRule="auto"/>
            </w:pPr>
            <w:r>
              <w:rPr>
                <w:rFonts w:ascii="Calibri" w:hAnsi="Calibri" w:eastAsia="Microsoft YaHei"/>
                <w:color w:val="0B2545"/>
                <w:sz w:val="13"/>
              </w:rPr>
              <w:t>未公开</w:t>
            </w:r>
          </w:p>
        </w:tc>
      </w:tr>
      <w:tr>
        <w:trPr>
          <w:cantSplit/>
        </w:trPr>
        <w:tc>
          <w:tcPr>
            <w:tcW w:type="dxa" w:w="1400"/>
          </w:tcPr>
          <w:p>
            <w:pPr>
              <w:keepLines/>
              <w:spacing w:after="0" w:line="276" w:lineRule="auto"/>
            </w:pPr>
            <w:r>
              <w:rPr>
                <w:rFonts w:ascii="Calibri" w:hAnsi="Calibri" w:eastAsia="Microsoft YaHei"/>
                <w:color w:val="0B2545"/>
                <w:sz w:val="13"/>
              </w:rPr>
              <w:t>leak transport/localization model</w:t>
            </w:r>
          </w:p>
        </w:tc>
        <w:tc>
          <w:tcPr>
            <w:tcW w:type="dxa" w:w="1250"/>
          </w:tcPr>
          <w:p>
            <w:pPr>
              <w:keepLines/>
              <w:spacing w:after="0" w:line="276" w:lineRule="auto"/>
            </w:pPr>
            <w:r>
              <w:rPr>
                <w:rFonts w:ascii="Calibri" w:hAnsi="Calibri" w:eastAsia="Microsoft YaHei"/>
                <w:color w:val="0B2545"/>
                <w:sz w:val="13"/>
              </w:rPr>
              <w:t>not-public</w:t>
            </w:r>
          </w:p>
        </w:tc>
        <w:tc>
          <w:tcPr>
            <w:tcW w:type="dxa" w:w="1050"/>
          </w:tcPr>
          <w:p>
            <w:pPr>
              <w:keepLines/>
              <w:spacing w:after="0" w:line="276" w:lineRule="auto"/>
            </w:pPr>
            <w:r>
              <w:rPr>
                <w:rFonts w:ascii="Calibri" w:hAnsi="Calibri" w:eastAsia="Microsoft YaHei"/>
                <w:color w:val="0B2545"/>
                <w:sz w:val="13"/>
              </w:rPr>
              <w:t>production-software-or-configuration</w:t>
            </w:r>
          </w:p>
        </w:tc>
        <w:tc>
          <w:tcPr>
            <w:tcW w:type="dxa" w:w="900"/>
          </w:tcPr>
          <w:p>
            <w:pPr>
              <w:keepLines/>
              <w:spacing w:after="0" w:line="276" w:lineRule="auto"/>
            </w:pPr>
            <w:r>
              <w:rPr>
                <w:rFonts w:ascii="Calibri" w:hAnsi="Calibri" w:eastAsia="Microsoft YaHei"/>
                <w:color w:val="0B2545"/>
                <w:sz w:val="13"/>
              </w:rPr>
              <w:t>closed</w:t>
            </w:r>
          </w:p>
        </w:tc>
        <w:tc>
          <w:tcPr>
            <w:tcW w:type="dxa" w:w="2600"/>
          </w:tcPr>
          <w:p>
            <w:pPr>
              <w:keepLines/>
              <w:spacing w:after="0" w:line="276" w:lineRule="auto"/>
            </w:pPr>
            <w:r>
              <w:rPr>
                <w:rFonts w:ascii="Calibri" w:hAnsi="Calibri" w:eastAsia="Microsoft YaHei"/>
                <w:color w:val="0B2545"/>
                <w:sz w:val="13"/>
              </w:rPr>
              <w:t>未发现公开实现。</w:t>
            </w:r>
          </w:p>
        </w:tc>
        <w:tc>
          <w:tcPr>
            <w:tcW w:type="dxa" w:w="2160"/>
          </w:tcPr>
          <w:p>
            <w:pPr>
              <w:keepLines/>
              <w:spacing w:after="0" w:line="276" w:lineRule="auto"/>
            </w:pPr>
            <w:r>
              <w:rPr>
                <w:rFonts w:ascii="Calibri" w:hAnsi="Calibri" w:eastAsia="Microsoft YaHei"/>
                <w:color w:val="0B2545"/>
                <w:sz w:val="13"/>
              </w:rPr>
              <w:t>未公开</w:t>
            </w:r>
          </w:p>
        </w:tc>
      </w:tr>
      <w:tr>
        <w:trPr>
          <w:cantSplit/>
        </w:trPr>
        <w:tc>
          <w:tcPr>
            <w:tcW w:type="dxa" w:w="1400"/>
          </w:tcPr>
          <w:p>
            <w:pPr>
              <w:keepLines/>
              <w:spacing w:after="0" w:line="276" w:lineRule="auto"/>
            </w:pPr>
            <w:r>
              <w:rPr>
                <w:rFonts w:ascii="Calibri" w:hAnsi="Calibri" w:eastAsia="Microsoft YaHei"/>
                <w:color w:val="0B2545"/>
                <w:sz w:val="13"/>
              </w:rPr>
              <w:t>JET AGHS process control/accountancy</w:t>
            </w:r>
          </w:p>
        </w:tc>
        <w:tc>
          <w:tcPr>
            <w:tcW w:type="dxa" w:w="1250"/>
          </w:tcPr>
          <w:p>
            <w:pPr>
              <w:keepLines/>
              <w:spacing w:after="0" w:line="276" w:lineRule="auto"/>
            </w:pPr>
            <w:r>
              <w:rPr>
                <w:rFonts w:ascii="Calibri" w:hAnsi="Calibri" w:eastAsia="Microsoft YaHei"/>
                <w:color w:val="0B2545"/>
                <w:sz w:val="13"/>
              </w:rPr>
              <w:t>not-public</w:t>
            </w:r>
          </w:p>
        </w:tc>
        <w:tc>
          <w:tcPr>
            <w:tcW w:type="dxa" w:w="1050"/>
          </w:tcPr>
          <w:p>
            <w:pPr>
              <w:keepLines/>
              <w:spacing w:after="0" w:line="276" w:lineRule="auto"/>
            </w:pPr>
            <w:r>
              <w:rPr>
                <w:rFonts w:ascii="Calibri" w:hAnsi="Calibri" w:eastAsia="Microsoft YaHei"/>
                <w:color w:val="0B2545"/>
                <w:sz w:val="13"/>
              </w:rPr>
              <w:t>production-software-or-configuration</w:t>
            </w:r>
          </w:p>
        </w:tc>
        <w:tc>
          <w:tcPr>
            <w:tcW w:type="dxa" w:w="900"/>
          </w:tcPr>
          <w:p>
            <w:pPr>
              <w:keepLines/>
              <w:spacing w:after="0" w:line="276" w:lineRule="auto"/>
            </w:pPr>
            <w:r>
              <w:rPr>
                <w:rFonts w:ascii="Calibri" w:hAnsi="Calibri" w:eastAsia="Microsoft YaHei"/>
                <w:color w:val="0B2545"/>
                <w:sz w:val="13"/>
              </w:rPr>
              <w:t>closed</w:t>
            </w:r>
          </w:p>
        </w:tc>
        <w:tc>
          <w:tcPr>
            <w:tcW w:type="dxa" w:w="2600"/>
          </w:tcPr>
          <w:p>
            <w:pPr>
              <w:keepLines/>
              <w:spacing w:after="0" w:line="276" w:lineRule="auto"/>
            </w:pPr>
            <w:r>
              <w:rPr>
                <w:rFonts w:ascii="Calibri" w:hAnsi="Calibri" w:eastAsia="Microsoft YaHei"/>
                <w:color w:val="0B2545"/>
                <w:sz w:val="13"/>
              </w:rPr>
              <w:t>生产 DCS、配方和账户数据库未公开。</w:t>
            </w:r>
          </w:p>
        </w:tc>
        <w:tc>
          <w:tcPr>
            <w:tcW w:type="dxa" w:w="2160"/>
          </w:tcPr>
          <w:p>
            <w:pPr>
              <w:keepLines/>
              <w:spacing w:after="0" w:line="276" w:lineRule="auto"/>
            </w:pPr>
            <w:r>
              <w:rPr>
                <w:rFonts w:ascii="Calibri" w:hAnsi="Calibri" w:eastAsia="Microsoft YaHei"/>
                <w:color w:val="0B2545"/>
                <w:sz w:val="13"/>
              </w:rPr>
              <w:t>未公开</w:t>
            </w:r>
          </w:p>
        </w:tc>
      </w:tr>
      <w:tr>
        <w:trPr>
          <w:cantSplit/>
        </w:trPr>
        <w:tc>
          <w:tcPr>
            <w:tcW w:type="dxa" w:w="1400"/>
          </w:tcPr>
          <w:p>
            <w:pPr>
              <w:keepLines/>
              <w:spacing w:after="0" w:line="276" w:lineRule="auto"/>
            </w:pPr>
            <w:r>
              <w:rPr>
                <w:rFonts w:ascii="Calibri" w:hAnsi="Calibri" w:eastAsia="Microsoft YaHei"/>
                <w:color w:val="0B2545"/>
                <w:sz w:val="13"/>
              </w:rPr>
              <w:t>Raman concentration/accountancy software</w:t>
            </w:r>
          </w:p>
        </w:tc>
        <w:tc>
          <w:tcPr>
            <w:tcW w:type="dxa" w:w="1250"/>
          </w:tcPr>
          <w:p>
            <w:pPr>
              <w:keepLines/>
              <w:spacing w:after="0" w:line="276" w:lineRule="auto"/>
            </w:pPr>
            <w:r>
              <w:rPr>
                <w:rFonts w:ascii="Calibri" w:hAnsi="Calibri" w:eastAsia="Microsoft YaHei"/>
                <w:color w:val="0B2545"/>
                <w:sz w:val="13"/>
              </w:rPr>
              <w:t>not-public</w:t>
            </w:r>
          </w:p>
        </w:tc>
        <w:tc>
          <w:tcPr>
            <w:tcW w:type="dxa" w:w="1050"/>
          </w:tcPr>
          <w:p>
            <w:pPr>
              <w:keepLines/>
              <w:spacing w:after="0" w:line="276" w:lineRule="auto"/>
            </w:pPr>
            <w:r>
              <w:rPr>
                <w:rFonts w:ascii="Calibri" w:hAnsi="Calibri" w:eastAsia="Microsoft YaHei"/>
                <w:color w:val="0B2545"/>
                <w:sz w:val="13"/>
              </w:rPr>
              <w:t>production-software-or-configuration</w:t>
            </w:r>
          </w:p>
        </w:tc>
        <w:tc>
          <w:tcPr>
            <w:tcW w:type="dxa" w:w="900"/>
          </w:tcPr>
          <w:p>
            <w:pPr>
              <w:keepLines/>
              <w:spacing w:after="0" w:line="276" w:lineRule="auto"/>
            </w:pPr>
            <w:r>
              <w:rPr>
                <w:rFonts w:ascii="Calibri" w:hAnsi="Calibri" w:eastAsia="Microsoft YaHei"/>
                <w:color w:val="0B2545"/>
                <w:sz w:val="13"/>
              </w:rPr>
              <w:t>closed</w:t>
            </w:r>
          </w:p>
        </w:tc>
        <w:tc>
          <w:tcPr>
            <w:tcW w:type="dxa" w:w="2600"/>
          </w:tcPr>
          <w:p>
            <w:pPr>
              <w:keepLines/>
              <w:spacing w:after="0" w:line="276" w:lineRule="auto"/>
            </w:pPr>
            <w:r>
              <w:rPr>
                <w:rFonts w:ascii="Calibri" w:hAnsi="Calibri" w:eastAsia="Microsoft YaHei"/>
                <w:color w:val="0B2545"/>
                <w:sz w:val="13"/>
              </w:rPr>
              <w:t>校准和反演软件未公开。</w:t>
            </w:r>
          </w:p>
        </w:tc>
        <w:tc>
          <w:tcPr>
            <w:tcW w:type="dxa" w:w="2160"/>
          </w:tcPr>
          <w:p>
            <w:pPr>
              <w:keepLines/>
              <w:spacing w:after="0" w:line="276" w:lineRule="auto"/>
            </w:pPr>
            <w:r>
              <w:rPr>
                <w:rFonts w:ascii="Calibri" w:hAnsi="Calibri" w:eastAsia="Microsoft YaHei"/>
                <w:color w:val="0B2545"/>
                <w:sz w:val="13"/>
              </w:rPr>
              <w:t>未公开</w:t>
            </w:r>
          </w:p>
        </w:tc>
      </w:tr>
      <w:tr>
        <w:trPr>
          <w:cantSplit/>
        </w:trPr>
        <w:tc>
          <w:tcPr>
            <w:tcW w:type="dxa" w:w="1400"/>
          </w:tcPr>
          <w:p>
            <w:pPr>
              <w:keepLines/>
              <w:spacing w:after="0" w:line="276" w:lineRule="auto"/>
            </w:pPr>
            <w:r>
              <w:rPr>
                <w:rFonts w:ascii="Calibri" w:hAnsi="Calibri" w:eastAsia="Microsoft YaHei"/>
                <w:color w:val="0B2545"/>
                <w:sz w:val="13"/>
              </w:rPr>
              <w:t>JET EDS control and monitoring</w:t>
            </w:r>
          </w:p>
        </w:tc>
        <w:tc>
          <w:tcPr>
            <w:tcW w:type="dxa" w:w="1250"/>
          </w:tcPr>
          <w:p>
            <w:pPr>
              <w:keepLines/>
              <w:spacing w:after="0" w:line="276" w:lineRule="auto"/>
            </w:pPr>
            <w:r>
              <w:rPr>
                <w:rFonts w:ascii="Calibri" w:hAnsi="Calibri" w:eastAsia="Microsoft YaHei"/>
                <w:color w:val="0B2545"/>
                <w:sz w:val="13"/>
              </w:rPr>
              <w:t>not-public</w:t>
            </w:r>
          </w:p>
        </w:tc>
        <w:tc>
          <w:tcPr>
            <w:tcW w:type="dxa" w:w="1050"/>
          </w:tcPr>
          <w:p>
            <w:pPr>
              <w:keepLines/>
              <w:spacing w:after="0" w:line="276" w:lineRule="auto"/>
            </w:pPr>
            <w:r>
              <w:rPr>
                <w:rFonts w:ascii="Calibri" w:hAnsi="Calibri" w:eastAsia="Microsoft YaHei"/>
                <w:color w:val="0B2545"/>
                <w:sz w:val="13"/>
              </w:rPr>
              <w:t>production-software-or-configuration</w:t>
            </w:r>
          </w:p>
        </w:tc>
        <w:tc>
          <w:tcPr>
            <w:tcW w:type="dxa" w:w="900"/>
          </w:tcPr>
          <w:p>
            <w:pPr>
              <w:keepLines/>
              <w:spacing w:after="0" w:line="276" w:lineRule="auto"/>
            </w:pPr>
            <w:r>
              <w:rPr>
                <w:rFonts w:ascii="Calibri" w:hAnsi="Calibri" w:eastAsia="Microsoft YaHei"/>
                <w:color w:val="0B2545"/>
                <w:sz w:val="13"/>
              </w:rPr>
              <w:t>closed</w:t>
            </w:r>
          </w:p>
        </w:tc>
        <w:tc>
          <w:tcPr>
            <w:tcW w:type="dxa" w:w="2600"/>
          </w:tcPr>
          <w:p>
            <w:pPr>
              <w:keepLines/>
              <w:spacing w:after="0" w:line="276" w:lineRule="auto"/>
            </w:pPr>
            <w:r>
              <w:rPr>
                <w:rFonts w:ascii="Calibri" w:hAnsi="Calibri" w:eastAsia="Microsoft YaHei"/>
                <w:color w:val="0B2545"/>
                <w:sz w:val="13"/>
              </w:rPr>
              <w:t>生产流程和 historian 未公开。</w:t>
            </w:r>
          </w:p>
        </w:tc>
        <w:tc>
          <w:tcPr>
            <w:tcW w:type="dxa" w:w="2160"/>
          </w:tcPr>
          <w:p>
            <w:pPr>
              <w:keepLines/>
              <w:spacing w:after="0" w:line="276" w:lineRule="auto"/>
            </w:pPr>
            <w:r>
              <w:rPr>
                <w:rFonts w:ascii="Calibri" w:hAnsi="Calibri" w:eastAsia="Microsoft YaHei"/>
                <w:color w:val="0B2545"/>
                <w:sz w:val="13"/>
              </w:rPr>
              <w:t>未公开</w:t>
            </w:r>
          </w:p>
        </w:tc>
      </w:tr>
      <w:tr>
        <w:trPr>
          <w:cantSplit/>
        </w:trPr>
        <w:tc>
          <w:tcPr>
            <w:tcW w:type="dxa" w:w="1400"/>
          </w:tcPr>
          <w:p>
            <w:pPr>
              <w:keepLines/>
              <w:spacing w:after="0" w:line="276" w:lineRule="auto"/>
            </w:pPr>
            <w:r>
              <w:rPr>
                <w:rFonts w:ascii="Calibri" w:hAnsi="Calibri" w:eastAsia="Microsoft YaHei"/>
                <w:color w:val="0B2545"/>
                <w:sz w:val="13"/>
              </w:rPr>
              <w:t>ITER RH/IVVS control and digital work instructions</w:t>
            </w:r>
          </w:p>
        </w:tc>
        <w:tc>
          <w:tcPr>
            <w:tcW w:type="dxa" w:w="1250"/>
          </w:tcPr>
          <w:p>
            <w:pPr>
              <w:keepLines/>
              <w:spacing w:after="0" w:line="276" w:lineRule="auto"/>
            </w:pPr>
            <w:r>
              <w:rPr>
                <w:rFonts w:ascii="Calibri" w:hAnsi="Calibri" w:eastAsia="Microsoft YaHei"/>
                <w:color w:val="0B2545"/>
                <w:sz w:val="13"/>
              </w:rPr>
              <w:t>not-public</w:t>
            </w:r>
          </w:p>
        </w:tc>
        <w:tc>
          <w:tcPr>
            <w:tcW w:type="dxa" w:w="1050"/>
          </w:tcPr>
          <w:p>
            <w:pPr>
              <w:keepLines/>
              <w:spacing w:after="0" w:line="276" w:lineRule="auto"/>
            </w:pPr>
            <w:r>
              <w:rPr>
                <w:rFonts w:ascii="Calibri" w:hAnsi="Calibri" w:eastAsia="Microsoft YaHei"/>
                <w:color w:val="0B2545"/>
                <w:sz w:val="13"/>
              </w:rPr>
              <w:t>production-software-or-configuration</w:t>
            </w:r>
          </w:p>
        </w:tc>
        <w:tc>
          <w:tcPr>
            <w:tcW w:type="dxa" w:w="900"/>
          </w:tcPr>
          <w:p>
            <w:pPr>
              <w:keepLines/>
              <w:spacing w:after="0" w:line="276" w:lineRule="auto"/>
            </w:pPr>
            <w:r>
              <w:rPr>
                <w:rFonts w:ascii="Calibri" w:hAnsi="Calibri" w:eastAsia="Microsoft YaHei"/>
                <w:color w:val="0B2545"/>
                <w:sz w:val="13"/>
              </w:rPr>
              <w:t>closed</w:t>
            </w:r>
          </w:p>
        </w:tc>
        <w:tc>
          <w:tcPr>
            <w:tcW w:type="dxa" w:w="2600"/>
          </w:tcPr>
          <w:p>
            <w:pPr>
              <w:keepLines/>
              <w:spacing w:after="0" w:line="276" w:lineRule="auto"/>
            </w:pPr>
            <w:r>
              <w:rPr>
                <w:rFonts w:ascii="Calibri" w:hAnsi="Calibri" w:eastAsia="Microsoft YaHei"/>
                <w:color w:val="0B2545"/>
                <w:sz w:val="13"/>
              </w:rPr>
              <w:t>生产机器人、视觉和流程软件受控。</w:t>
            </w:r>
          </w:p>
        </w:tc>
        <w:tc>
          <w:tcPr>
            <w:tcW w:type="dxa" w:w="2160"/>
          </w:tcPr>
          <w:p>
            <w:pPr>
              <w:keepLines/>
              <w:spacing w:after="0" w:line="276" w:lineRule="auto"/>
            </w:pPr>
            <w:r>
              <w:rPr>
                <w:rFonts w:ascii="Calibri" w:hAnsi="Calibri" w:eastAsia="Microsoft YaHei"/>
                <w:color w:val="0B2545"/>
                <w:sz w:val="13"/>
              </w:rPr>
              <w:t>未公开</w:t>
            </w:r>
          </w:p>
        </w:tc>
      </w:tr>
      <w:tr>
        <w:trPr>
          <w:cantSplit/>
        </w:trPr>
        <w:tc>
          <w:tcPr>
            <w:tcW w:type="dxa" w:w="1400"/>
          </w:tcPr>
          <w:p>
            <w:pPr>
              <w:keepLines/>
              <w:spacing w:after="0" w:line="276" w:lineRule="auto"/>
            </w:pPr>
            <w:r>
              <w:rPr>
                <w:rFonts w:ascii="Calibri" w:hAnsi="Calibri" w:eastAsia="Microsoft YaHei"/>
                <w:color w:val="0B2545"/>
                <w:sz w:val="13"/>
              </w:rPr>
              <w:t>ITER TCWS/CCWS/HRS I&amp;C</w:t>
            </w:r>
          </w:p>
        </w:tc>
        <w:tc>
          <w:tcPr>
            <w:tcW w:type="dxa" w:w="1250"/>
          </w:tcPr>
          <w:p>
            <w:pPr>
              <w:keepLines/>
              <w:spacing w:after="0" w:line="276" w:lineRule="auto"/>
            </w:pPr>
            <w:r>
              <w:rPr>
                <w:rFonts w:ascii="Calibri" w:hAnsi="Calibri" w:eastAsia="Microsoft YaHei"/>
                <w:color w:val="0B2545"/>
                <w:sz w:val="13"/>
              </w:rPr>
              <w:t>not-public</w:t>
            </w:r>
          </w:p>
        </w:tc>
        <w:tc>
          <w:tcPr>
            <w:tcW w:type="dxa" w:w="1050"/>
          </w:tcPr>
          <w:p>
            <w:pPr>
              <w:keepLines/>
              <w:spacing w:after="0" w:line="276" w:lineRule="auto"/>
            </w:pPr>
            <w:r>
              <w:rPr>
                <w:rFonts w:ascii="Calibri" w:hAnsi="Calibri" w:eastAsia="Microsoft YaHei"/>
                <w:color w:val="0B2545"/>
                <w:sz w:val="13"/>
              </w:rPr>
              <w:t>production-software-or-configuration</w:t>
            </w:r>
          </w:p>
        </w:tc>
        <w:tc>
          <w:tcPr>
            <w:tcW w:type="dxa" w:w="900"/>
          </w:tcPr>
          <w:p>
            <w:pPr>
              <w:keepLines/>
              <w:spacing w:after="0" w:line="276" w:lineRule="auto"/>
            </w:pPr>
            <w:r>
              <w:rPr>
                <w:rFonts w:ascii="Calibri" w:hAnsi="Calibri" w:eastAsia="Microsoft YaHei"/>
                <w:color w:val="0B2545"/>
                <w:sz w:val="13"/>
              </w:rPr>
              <w:t>closed</w:t>
            </w:r>
          </w:p>
        </w:tc>
        <w:tc>
          <w:tcPr>
            <w:tcW w:type="dxa" w:w="2600"/>
          </w:tcPr>
          <w:p>
            <w:pPr>
              <w:keepLines/>
              <w:spacing w:after="0" w:line="276" w:lineRule="auto"/>
            </w:pPr>
            <w:r>
              <w:rPr>
                <w:rFonts w:ascii="Calibri" w:hAnsi="Calibri" w:eastAsia="Microsoft YaHei"/>
                <w:color w:val="0B2545"/>
                <w:sz w:val="13"/>
              </w:rPr>
              <w:t>生产 I&amp;C 和 historian 未公开。</w:t>
            </w:r>
          </w:p>
        </w:tc>
        <w:tc>
          <w:tcPr>
            <w:tcW w:type="dxa" w:w="2160"/>
          </w:tcPr>
          <w:p>
            <w:pPr>
              <w:keepLines/>
              <w:spacing w:after="0" w:line="276" w:lineRule="auto"/>
            </w:pPr>
            <w:r>
              <w:rPr>
                <w:rFonts w:ascii="Calibri" w:hAnsi="Calibri" w:eastAsia="Microsoft YaHei"/>
                <w:color w:val="0B2545"/>
                <w:sz w:val="13"/>
              </w:rPr>
              <w:t>未公开</w:t>
            </w:r>
          </w:p>
        </w:tc>
      </w:tr>
      <w:tr>
        <w:trPr>
          <w:cantSplit/>
        </w:trPr>
        <w:tc>
          <w:tcPr>
            <w:tcW w:type="dxa" w:w="1400"/>
          </w:tcPr>
          <w:p>
            <w:pPr>
              <w:keepLines/>
              <w:spacing w:after="0" w:line="276" w:lineRule="auto"/>
            </w:pPr>
            <w:r>
              <w:rPr>
                <w:rFonts w:ascii="Calibri" w:hAnsi="Calibri" w:eastAsia="Microsoft YaHei"/>
                <w:color w:val="0B2545"/>
                <w:sz w:val="13"/>
              </w:rPr>
              <w:t>EU-DEMO BOP condition-monitoring implementation</w:t>
            </w:r>
          </w:p>
        </w:tc>
        <w:tc>
          <w:tcPr>
            <w:tcW w:type="dxa" w:w="1250"/>
          </w:tcPr>
          <w:p>
            <w:pPr>
              <w:keepLines/>
              <w:spacing w:after="0" w:line="276" w:lineRule="auto"/>
            </w:pPr>
            <w:r>
              <w:rPr>
                <w:rFonts w:ascii="Calibri" w:hAnsi="Calibri" w:eastAsia="Microsoft YaHei"/>
                <w:color w:val="0B2545"/>
                <w:sz w:val="13"/>
              </w:rPr>
              <w:t>not-public</w:t>
            </w:r>
          </w:p>
        </w:tc>
        <w:tc>
          <w:tcPr>
            <w:tcW w:type="dxa" w:w="1050"/>
          </w:tcPr>
          <w:p>
            <w:pPr>
              <w:keepLines/>
              <w:spacing w:after="0" w:line="276" w:lineRule="auto"/>
            </w:pPr>
            <w:r>
              <w:rPr>
                <w:rFonts w:ascii="Calibri" w:hAnsi="Calibri" w:eastAsia="Microsoft YaHei"/>
                <w:color w:val="0B2545"/>
                <w:sz w:val="13"/>
              </w:rPr>
              <w:t>production-software-or-configuration</w:t>
            </w:r>
          </w:p>
        </w:tc>
        <w:tc>
          <w:tcPr>
            <w:tcW w:type="dxa" w:w="900"/>
          </w:tcPr>
          <w:p>
            <w:pPr>
              <w:keepLines/>
              <w:spacing w:after="0" w:line="276" w:lineRule="auto"/>
            </w:pPr>
            <w:r>
              <w:rPr>
                <w:rFonts w:ascii="Calibri" w:hAnsi="Calibri" w:eastAsia="Microsoft YaHei"/>
                <w:color w:val="0B2545"/>
                <w:sz w:val="13"/>
              </w:rPr>
              <w:t>closed</w:t>
            </w:r>
          </w:p>
        </w:tc>
        <w:tc>
          <w:tcPr>
            <w:tcW w:type="dxa" w:w="2600"/>
          </w:tcPr>
          <w:p>
            <w:pPr>
              <w:keepLines/>
              <w:spacing w:after="0" w:line="276" w:lineRule="auto"/>
            </w:pPr>
            <w:r>
              <w:rPr>
                <w:rFonts w:ascii="Calibri" w:hAnsi="Calibri" w:eastAsia="Microsoft YaHei"/>
                <w:color w:val="0B2545"/>
                <w:sz w:val="13"/>
              </w:rPr>
              <w:t>未发现装置级公开实现或数据集。</w:t>
            </w:r>
          </w:p>
        </w:tc>
        <w:tc>
          <w:tcPr>
            <w:tcW w:type="dxa" w:w="2160"/>
          </w:tcPr>
          <w:p>
            <w:pPr>
              <w:keepLines/>
              <w:spacing w:after="0" w:line="276" w:lineRule="auto"/>
            </w:pPr>
            <w:r>
              <w:rPr>
                <w:rFonts w:ascii="Calibri" w:hAnsi="Calibri" w:eastAsia="Microsoft YaHei"/>
                <w:color w:val="0B2545"/>
                <w:sz w:val="13"/>
              </w:rPr>
              <w:t>未公开</w:t>
            </w:r>
          </w:p>
        </w:tc>
      </w:tr>
      <w:tr>
        <w:trPr>
          <w:cantSplit/>
        </w:trPr>
        <w:tc>
          <w:tcPr>
            <w:tcW w:type="dxa" w:w="1400"/>
          </w:tcPr>
          <w:p>
            <w:pPr>
              <w:keepLines/>
              <w:spacing w:after="0" w:line="276" w:lineRule="auto"/>
            </w:pPr>
            <w:r>
              <w:rPr>
                <w:rFonts w:ascii="Calibri" w:hAnsi="Calibri" w:eastAsia="Microsoft YaHei"/>
                <w:color w:val="0B2545"/>
                <w:sz w:val="13"/>
              </w:rPr>
              <w:t>W7-X coil protection logic</w:t>
            </w:r>
          </w:p>
        </w:tc>
        <w:tc>
          <w:tcPr>
            <w:tcW w:type="dxa" w:w="1250"/>
          </w:tcPr>
          <w:p>
            <w:pPr>
              <w:keepLines/>
              <w:spacing w:after="0" w:line="276" w:lineRule="auto"/>
            </w:pPr>
            <w:r>
              <w:rPr>
                <w:rFonts w:ascii="Calibri" w:hAnsi="Calibri" w:eastAsia="Microsoft YaHei"/>
                <w:color w:val="0B2545"/>
                <w:sz w:val="13"/>
              </w:rPr>
              <w:t>not-public</w:t>
            </w:r>
          </w:p>
        </w:tc>
        <w:tc>
          <w:tcPr>
            <w:tcW w:type="dxa" w:w="1050"/>
          </w:tcPr>
          <w:p>
            <w:pPr>
              <w:keepLines/>
              <w:spacing w:after="0" w:line="276" w:lineRule="auto"/>
            </w:pPr>
            <w:r>
              <w:rPr>
                <w:rFonts w:ascii="Calibri" w:hAnsi="Calibri" w:eastAsia="Microsoft YaHei"/>
                <w:color w:val="0B2545"/>
                <w:sz w:val="13"/>
              </w:rPr>
              <w:t>production-software-or-configuration</w:t>
            </w:r>
          </w:p>
        </w:tc>
        <w:tc>
          <w:tcPr>
            <w:tcW w:type="dxa" w:w="900"/>
          </w:tcPr>
          <w:p>
            <w:pPr>
              <w:keepLines/>
              <w:spacing w:after="0" w:line="276" w:lineRule="auto"/>
            </w:pPr>
            <w:r>
              <w:rPr>
                <w:rFonts w:ascii="Calibri" w:hAnsi="Calibri" w:eastAsia="Microsoft YaHei"/>
                <w:color w:val="0B2545"/>
                <w:sz w:val="13"/>
              </w:rPr>
              <w:t>closed</w:t>
            </w:r>
          </w:p>
        </w:tc>
        <w:tc>
          <w:tcPr>
            <w:tcW w:type="dxa" w:w="2600"/>
          </w:tcPr>
          <w:p>
            <w:pPr>
              <w:keepLines/>
              <w:spacing w:after="0" w:line="276" w:lineRule="auto"/>
            </w:pPr>
            <w:r>
              <w:rPr>
                <w:rFonts w:ascii="Calibri" w:hAnsi="Calibri" w:eastAsia="Microsoft YaHei"/>
                <w:color w:val="0B2545"/>
                <w:sz w:val="13"/>
              </w:rPr>
              <w:t>生产安全逻辑受控。</w:t>
            </w:r>
          </w:p>
        </w:tc>
        <w:tc>
          <w:tcPr>
            <w:tcW w:type="dxa" w:w="2160"/>
          </w:tcPr>
          <w:p>
            <w:pPr>
              <w:keepLines/>
              <w:spacing w:after="0" w:line="276" w:lineRule="auto"/>
            </w:pPr>
            <w:r>
              <w:rPr>
                <w:rFonts w:ascii="Calibri" w:hAnsi="Calibri" w:eastAsia="Microsoft YaHei"/>
                <w:color w:val="0B2545"/>
                <w:sz w:val="13"/>
              </w:rPr>
              <w:t>未公开</w:t>
            </w:r>
          </w:p>
        </w:tc>
      </w:tr>
      <w:tr>
        <w:trPr>
          <w:cantSplit/>
        </w:trPr>
        <w:tc>
          <w:tcPr>
            <w:tcW w:type="dxa" w:w="1400"/>
          </w:tcPr>
          <w:p>
            <w:pPr>
              <w:keepLines/>
              <w:spacing w:after="0" w:line="276" w:lineRule="auto"/>
            </w:pPr>
            <w:r>
              <w:rPr>
                <w:rFonts w:ascii="Calibri" w:hAnsi="Calibri" w:eastAsia="Microsoft YaHei"/>
                <w:color w:val="0B2545"/>
                <w:sz w:val="13"/>
              </w:rPr>
              <w:t>MDSplus</w:t>
            </w:r>
          </w:p>
        </w:tc>
        <w:tc>
          <w:tcPr>
            <w:tcW w:type="dxa" w:w="1250"/>
          </w:tcPr>
          <w:p>
            <w:pPr>
              <w:keepLines/>
              <w:spacing w:after="0" w:line="276" w:lineRule="auto"/>
            </w:pPr>
            <w:r>
              <w:rPr>
                <w:rFonts w:ascii="Calibri" w:hAnsi="Calibri" w:eastAsia="Microsoft YaHei"/>
                <w:color w:val="0B2545"/>
                <w:sz w:val="13"/>
              </w:rPr>
              <w:t>official-enabling</w:t>
            </w:r>
          </w:p>
        </w:tc>
        <w:tc>
          <w:tcPr>
            <w:tcW w:type="dxa" w:w="1050"/>
          </w:tcPr>
          <w:p>
            <w:pPr>
              <w:keepLines/>
              <w:spacing w:after="0" w:line="276" w:lineRule="auto"/>
            </w:pPr>
            <w:r>
              <w:rPr>
                <w:rFonts w:ascii="Calibri" w:hAnsi="Calibri" w:eastAsia="Microsoft YaHei"/>
                <w:color w:val="0B2545"/>
                <w:sz w:val="13"/>
              </w:rPr>
              <w:t>data-framework</w:t>
            </w:r>
          </w:p>
        </w:tc>
        <w:tc>
          <w:tcPr>
            <w:tcW w:type="dxa" w:w="900"/>
          </w:tcPr>
          <w:p>
            <w:pPr>
              <w:keepLines/>
              <w:spacing w:after="0" w:line="276" w:lineRule="auto"/>
            </w:pPr>
            <w:r>
              <w:rPr>
                <w:rFonts w:ascii="Calibri" w:hAnsi="Calibri" w:eastAsia="Microsoft YaHei"/>
                <w:color w:val="0B2545"/>
                <w:sz w:val="13"/>
              </w:rPr>
              <w:t>open-or-public-interface</w:t>
            </w:r>
          </w:p>
        </w:tc>
        <w:tc>
          <w:tcPr>
            <w:tcW w:type="dxa" w:w="2600"/>
          </w:tcPr>
          <w:p>
            <w:pPr>
              <w:keepLines/>
              <w:spacing w:after="0" w:line="276" w:lineRule="auto"/>
            </w:pPr>
            <w:r>
              <w:rPr>
                <w:rFonts w:ascii="Calibri" w:hAnsi="Calibri" w:eastAsia="Microsoft YaHei"/>
                <w:color w:val="0B2545"/>
                <w:sz w:val="13"/>
              </w:rPr>
              <w:t>官方使用的公共数据平台；NSTX-U trees/data separate.</w:t>
            </w:r>
          </w:p>
        </w:tc>
        <w:tc>
          <w:tcPr>
            <w:tcW w:type="dxa" w:w="2160"/>
          </w:tcPr>
          <w:p>
            <w:pPr>
              <w:keepLines/>
              <w:spacing w:after="0" w:line="276" w:lineRule="auto"/>
            </w:pPr>
            <w:hyperlink r:id="rId21">
              <w:r>
                <w:rPr>
                  <w:rFonts w:ascii="Calibri" w:hAnsi="Calibri" w:eastAsia="Microsoft YaHei"/>
                  <w:color w:val="008C95"/>
                  <w:u w:val="single"/>
                </w:rPr>
                <w:t>打开原始来源 ↗</w:t>
              </w:r>
            </w:hyperlink>
          </w:p>
        </w:tc>
      </w:tr>
      <w:tr>
        <w:trPr>
          <w:cantSplit/>
        </w:trPr>
        <w:tc>
          <w:tcPr>
            <w:tcW w:type="dxa" w:w="1400"/>
          </w:tcPr>
          <w:p>
            <w:pPr>
              <w:keepLines/>
              <w:spacing w:after="0" w:line="276" w:lineRule="auto"/>
            </w:pPr>
            <w:r>
              <w:rPr>
                <w:rFonts w:ascii="Calibri" w:hAnsi="Calibri" w:eastAsia="Microsoft YaHei"/>
                <w:color w:val="0B2545"/>
                <w:sz w:val="13"/>
              </w:rPr>
              <w:t>NSTX-U Web Tools</w:t>
            </w:r>
          </w:p>
        </w:tc>
        <w:tc>
          <w:tcPr>
            <w:tcW w:type="dxa" w:w="1250"/>
          </w:tcPr>
          <w:p>
            <w:pPr>
              <w:keepLines/>
              <w:spacing w:after="0" w:line="276" w:lineRule="auto"/>
            </w:pPr>
            <w:r>
              <w:rPr>
                <w:rFonts w:ascii="Calibri" w:hAnsi="Calibri" w:eastAsia="Microsoft YaHei"/>
                <w:color w:val="0B2545"/>
                <w:sz w:val="13"/>
              </w:rPr>
              <w:t>official-enabling</w:t>
            </w:r>
          </w:p>
        </w:tc>
        <w:tc>
          <w:tcPr>
            <w:tcW w:type="dxa" w:w="1050"/>
          </w:tcPr>
          <w:p>
            <w:pPr>
              <w:keepLines/>
              <w:spacing w:after="0" w:line="276" w:lineRule="auto"/>
            </w:pPr>
            <w:r>
              <w:rPr>
                <w:rFonts w:ascii="Calibri" w:hAnsi="Calibri" w:eastAsia="Microsoft YaHei"/>
                <w:color w:val="0B2545"/>
                <w:sz w:val="13"/>
              </w:rPr>
              <w:t>data-interface</w:t>
            </w:r>
          </w:p>
        </w:tc>
        <w:tc>
          <w:tcPr>
            <w:tcW w:type="dxa" w:w="900"/>
          </w:tcPr>
          <w:p>
            <w:pPr>
              <w:keepLines/>
              <w:spacing w:after="0" w:line="276" w:lineRule="auto"/>
            </w:pPr>
            <w:r>
              <w:rPr>
                <w:rFonts w:ascii="Calibri" w:hAnsi="Calibri" w:eastAsia="Microsoft YaHei"/>
                <w:color w:val="0B2545"/>
                <w:sz w:val="13"/>
              </w:rPr>
              <w:t>open-or-public-interface</w:t>
            </w:r>
          </w:p>
        </w:tc>
        <w:tc>
          <w:tcPr>
            <w:tcW w:type="dxa" w:w="2600"/>
          </w:tcPr>
          <w:p>
            <w:pPr>
              <w:keepLines/>
              <w:spacing w:after="0" w:line="276" w:lineRule="auto"/>
            </w:pPr>
            <w:r>
              <w:rPr>
                <w:rFonts w:ascii="Calibri" w:hAnsi="Calibri" w:eastAsia="Microsoft YaHei"/>
                <w:color w:val="0B2545"/>
                <w:sz w:val="13"/>
              </w:rPr>
              <w:t>装置官方可视化/访问入口。</w:t>
            </w:r>
          </w:p>
        </w:tc>
        <w:tc>
          <w:tcPr>
            <w:tcW w:type="dxa" w:w="2160"/>
          </w:tcPr>
          <w:p>
            <w:pPr>
              <w:keepLines/>
              <w:spacing w:after="0" w:line="276" w:lineRule="auto"/>
            </w:pPr>
            <w:hyperlink r:id="rId156">
              <w:r>
                <w:rPr>
                  <w:rFonts w:ascii="Calibri" w:hAnsi="Calibri" w:eastAsia="Microsoft YaHei"/>
                  <w:color w:val="008C95"/>
                  <w:u w:val="single"/>
                </w:rPr>
                <w:t>打开原始来源 ↗</w:t>
              </w:r>
            </w:hyperlink>
          </w:p>
        </w:tc>
      </w:tr>
      <w:tr>
        <w:trPr>
          <w:cantSplit/>
        </w:trPr>
        <w:tc>
          <w:tcPr>
            <w:tcW w:type="dxa" w:w="1400"/>
          </w:tcPr>
          <w:p>
            <w:pPr>
              <w:keepLines/>
              <w:spacing w:after="0" w:line="276" w:lineRule="auto"/>
            </w:pPr>
            <w:r>
              <w:rPr>
                <w:rFonts w:ascii="Calibri" w:hAnsi="Calibri" w:eastAsia="Microsoft YaHei"/>
                <w:color w:val="0B2545"/>
                <w:sz w:val="13"/>
              </w:rPr>
              <w:t>SPARC qualification database and diagnostic configuration</w:t>
            </w:r>
          </w:p>
        </w:tc>
        <w:tc>
          <w:tcPr>
            <w:tcW w:type="dxa" w:w="1250"/>
          </w:tcPr>
          <w:p>
            <w:pPr>
              <w:keepLines/>
              <w:spacing w:after="0" w:line="276" w:lineRule="auto"/>
            </w:pPr>
            <w:r>
              <w:rPr>
                <w:rFonts w:ascii="Calibri" w:hAnsi="Calibri" w:eastAsia="Microsoft YaHei"/>
                <w:color w:val="0B2545"/>
                <w:sz w:val="13"/>
              </w:rPr>
              <w:t>not-public</w:t>
            </w:r>
          </w:p>
        </w:tc>
        <w:tc>
          <w:tcPr>
            <w:tcW w:type="dxa" w:w="1050"/>
          </w:tcPr>
          <w:p>
            <w:pPr>
              <w:keepLines/>
              <w:spacing w:after="0" w:line="276" w:lineRule="auto"/>
            </w:pPr>
            <w:r>
              <w:rPr>
                <w:rFonts w:ascii="Calibri" w:hAnsi="Calibri" w:eastAsia="Microsoft YaHei"/>
                <w:color w:val="0B2545"/>
                <w:sz w:val="13"/>
              </w:rPr>
              <w:t>production-software-or-configuration</w:t>
            </w:r>
          </w:p>
        </w:tc>
        <w:tc>
          <w:tcPr>
            <w:tcW w:type="dxa" w:w="900"/>
          </w:tcPr>
          <w:p>
            <w:pPr>
              <w:keepLines/>
              <w:spacing w:after="0" w:line="276" w:lineRule="auto"/>
            </w:pPr>
            <w:r>
              <w:rPr>
                <w:rFonts w:ascii="Calibri" w:hAnsi="Calibri" w:eastAsia="Microsoft YaHei"/>
                <w:color w:val="0B2545"/>
                <w:sz w:val="13"/>
              </w:rPr>
              <w:t>closed</w:t>
            </w:r>
          </w:p>
        </w:tc>
        <w:tc>
          <w:tcPr>
            <w:tcW w:type="dxa" w:w="2600"/>
          </w:tcPr>
          <w:p>
            <w:pPr>
              <w:keepLines/>
              <w:spacing w:after="0" w:line="276" w:lineRule="auto"/>
            </w:pPr>
            <w:r>
              <w:rPr>
                <w:rFonts w:ascii="Calibri" w:hAnsi="Calibri" w:eastAsia="Microsoft YaHei"/>
                <w:color w:val="0B2545"/>
                <w:sz w:val="13"/>
              </w:rPr>
              <w:t>生产 V&amp;V 证据库未公开。</w:t>
            </w:r>
          </w:p>
        </w:tc>
        <w:tc>
          <w:tcPr>
            <w:tcW w:type="dxa" w:w="2160"/>
          </w:tcPr>
          <w:p>
            <w:pPr>
              <w:keepLines/>
              <w:spacing w:after="0" w:line="276" w:lineRule="auto"/>
            </w:pPr>
            <w:r>
              <w:rPr>
                <w:rFonts w:ascii="Calibri" w:hAnsi="Calibri" w:eastAsia="Microsoft YaHei"/>
                <w:color w:val="0B2545"/>
                <w:sz w:val="13"/>
              </w:rPr>
              <w:t>未公开</w:t>
            </w:r>
          </w:p>
        </w:tc>
      </w:tr>
      <w:tr>
        <w:trPr>
          <w:cantSplit/>
        </w:trPr>
        <w:tc>
          <w:tcPr>
            <w:tcW w:type="dxa" w:w="1400"/>
          </w:tcPr>
          <w:p>
            <w:pPr>
              <w:keepLines/>
              <w:spacing w:after="0" w:line="276" w:lineRule="auto"/>
            </w:pPr>
            <w:r>
              <w:rPr>
                <w:rFonts w:ascii="Calibri" w:hAnsi="Calibri" w:eastAsia="Microsoft YaHei"/>
                <w:color w:val="0B2545"/>
                <w:sz w:val="13"/>
              </w:rPr>
              <w:t>装置专有分析/标定软件</w:t>
            </w:r>
          </w:p>
        </w:tc>
        <w:tc>
          <w:tcPr>
            <w:tcW w:type="dxa" w:w="1250"/>
          </w:tcPr>
          <w:p>
            <w:pPr>
              <w:keepLines/>
              <w:spacing w:after="0" w:line="276" w:lineRule="auto"/>
            </w:pPr>
            <w:r>
              <w:rPr>
                <w:rFonts w:ascii="Calibri" w:hAnsi="Calibri" w:eastAsia="Microsoft YaHei"/>
                <w:color w:val="0B2545"/>
                <w:sz w:val="13"/>
              </w:rPr>
              <w:t>not-public</w:t>
            </w:r>
          </w:p>
        </w:tc>
        <w:tc>
          <w:tcPr>
            <w:tcW w:type="dxa" w:w="1050"/>
          </w:tcPr>
          <w:p>
            <w:pPr>
              <w:keepLines/>
              <w:spacing w:after="0" w:line="276" w:lineRule="auto"/>
            </w:pPr>
            <w:r>
              <w:rPr>
                <w:rFonts w:ascii="Calibri" w:hAnsi="Calibri" w:eastAsia="Microsoft YaHei"/>
                <w:color w:val="0B2545"/>
                <w:sz w:val="13"/>
              </w:rPr>
              <w:t>operational-analysis-pipeline</w:t>
            </w:r>
          </w:p>
        </w:tc>
        <w:tc>
          <w:tcPr>
            <w:tcW w:type="dxa" w:w="900"/>
          </w:tcPr>
          <w:p>
            <w:pPr>
              <w:keepLines/>
              <w:spacing w:after="0" w:line="276" w:lineRule="auto"/>
            </w:pPr>
            <w:r>
              <w:rPr>
                <w:rFonts w:ascii="Calibri" w:hAnsi="Calibri" w:eastAsia="Microsoft YaHei"/>
                <w:color w:val="0B2545"/>
                <w:sz w:val="13"/>
              </w:rPr>
              <w:t>not public</w:t>
            </w:r>
          </w:p>
        </w:tc>
        <w:tc>
          <w:tcPr>
            <w:tcW w:type="dxa" w:w="2600"/>
          </w:tcPr>
          <w:p>
            <w:pPr>
              <w:keepLines/>
              <w:spacing w:after="0" w:line="276" w:lineRule="auto"/>
            </w:pPr>
            <w:r>
              <w:rPr>
                <w:rFonts w:ascii="Calibri" w:hAnsi="Calibri" w:eastAsia="Microsoft YaHei"/>
                <w:color w:val="0B2545"/>
                <w:sz w:val="13"/>
              </w:rPr>
              <w:t>各装置PCI标定与谱分析流水线未公开。</w:t>
            </w:r>
          </w:p>
        </w:tc>
        <w:tc>
          <w:tcPr>
            <w:tcW w:type="dxa" w:w="2160"/>
          </w:tcPr>
          <w:p>
            <w:pPr>
              <w:keepLines/>
              <w:spacing w:after="0" w:line="276" w:lineRule="auto"/>
            </w:pPr>
            <w:r>
              <w:rPr>
                <w:rFonts w:ascii="Calibri" w:hAnsi="Calibri" w:eastAsia="Microsoft YaHei"/>
                <w:color w:val="0B2545"/>
                <w:sz w:val="13"/>
              </w:rPr>
              <w:t>未公开</w:t>
            </w:r>
          </w:p>
        </w:tc>
      </w:tr>
      <w:tr>
        <w:trPr>
          <w:cantSplit/>
        </w:trPr>
        <w:tc>
          <w:tcPr>
            <w:tcW w:type="dxa" w:w="1400"/>
          </w:tcPr>
          <w:p>
            <w:pPr>
              <w:keepLines/>
              <w:spacing w:after="0" w:line="276" w:lineRule="auto"/>
            </w:pPr>
            <w:r>
              <w:rPr>
                <w:rFonts w:ascii="Calibri" w:hAnsi="Calibri" w:eastAsia="Microsoft YaHei"/>
                <w:color w:val="0B2545"/>
                <w:sz w:val="13"/>
              </w:rPr>
              <w:t>CHERAB Core</w:t>
            </w:r>
          </w:p>
        </w:tc>
        <w:tc>
          <w:tcPr>
            <w:tcW w:type="dxa" w:w="1250"/>
          </w:tcPr>
          <w:p>
            <w:pPr>
              <w:keepLines/>
              <w:spacing w:after="0" w:line="276" w:lineRule="auto"/>
            </w:pPr>
            <w:r>
              <w:rPr>
                <w:rFonts w:ascii="Calibri" w:hAnsi="Calibri" w:eastAsia="Microsoft YaHei"/>
                <w:color w:val="0B2545"/>
                <w:sz w:val="13"/>
              </w:rPr>
              <w:t>official-direct</w:t>
            </w:r>
          </w:p>
        </w:tc>
        <w:tc>
          <w:tcPr>
            <w:tcW w:type="dxa" w:w="1050"/>
          </w:tcPr>
          <w:p>
            <w:pPr>
              <w:keepLines/>
              <w:spacing w:after="0" w:line="276" w:lineRule="auto"/>
            </w:pPr>
            <w:r>
              <w:rPr>
                <w:rFonts w:ascii="Calibri" w:hAnsi="Calibri" w:eastAsia="Microsoft YaHei"/>
                <w:color w:val="0B2545"/>
                <w:sz w:val="13"/>
              </w:rPr>
              <w:t>source-code</w:t>
            </w:r>
          </w:p>
        </w:tc>
        <w:tc>
          <w:tcPr>
            <w:tcW w:type="dxa" w:w="900"/>
          </w:tcPr>
          <w:p>
            <w:pPr>
              <w:keepLines/>
              <w:spacing w:after="0" w:line="276" w:lineRule="auto"/>
            </w:pPr>
            <w:r>
              <w:rPr>
                <w:rFonts w:ascii="Calibri" w:hAnsi="Calibri" w:eastAsia="Microsoft YaHei"/>
                <w:color w:val="0B2545"/>
                <w:sz w:val="13"/>
              </w:rPr>
              <w:t>public</w:t>
            </w:r>
          </w:p>
        </w:tc>
        <w:tc>
          <w:tcPr>
            <w:tcW w:type="dxa" w:w="2600"/>
          </w:tcPr>
          <w:p>
            <w:pPr>
              <w:keepLines/>
              <w:spacing w:after="0" w:line="276" w:lineRule="auto"/>
            </w:pPr>
            <w:r>
              <w:rPr>
                <w:rFonts w:ascii="Calibri" w:hAnsi="Calibri" w:eastAsia="Microsoft YaHei"/>
                <w:color w:val="0B2545"/>
                <w:sz w:val="13"/>
              </w:rPr>
              <w:t>CHERAB 团队维护的等离子体发射与观测建模核心。</w:t>
            </w:r>
          </w:p>
        </w:tc>
        <w:tc>
          <w:tcPr>
            <w:tcW w:type="dxa" w:w="2160"/>
          </w:tcPr>
          <w:p>
            <w:pPr>
              <w:keepLines/>
              <w:spacing w:after="0" w:line="276" w:lineRule="auto"/>
            </w:pPr>
            <w:hyperlink r:id="rId163">
              <w:r>
                <w:rPr>
                  <w:rFonts w:ascii="Calibri" w:hAnsi="Calibri" w:eastAsia="Microsoft YaHei"/>
                  <w:color w:val="008C95"/>
                  <w:u w:val="single"/>
                </w:rPr>
                <w:t>打开原始来源 ↗</w:t>
              </w:r>
            </w:hyperlink>
          </w:p>
        </w:tc>
      </w:tr>
      <w:tr>
        <w:trPr>
          <w:cantSplit/>
        </w:trPr>
        <w:tc>
          <w:tcPr>
            <w:tcW w:type="dxa" w:w="1400"/>
          </w:tcPr>
          <w:p>
            <w:pPr>
              <w:keepLines/>
              <w:spacing w:after="0" w:line="276" w:lineRule="auto"/>
            </w:pPr>
            <w:r>
              <w:rPr>
                <w:rFonts w:ascii="Calibri" w:hAnsi="Calibri" w:eastAsia="Microsoft YaHei"/>
                <w:color w:val="0B2545"/>
                <w:sz w:val="13"/>
              </w:rPr>
              <w:t>Raysect</w:t>
            </w:r>
          </w:p>
        </w:tc>
        <w:tc>
          <w:tcPr>
            <w:tcW w:type="dxa" w:w="1250"/>
          </w:tcPr>
          <w:p>
            <w:pPr>
              <w:keepLines/>
              <w:spacing w:after="0" w:line="276" w:lineRule="auto"/>
            </w:pPr>
            <w:r>
              <w:rPr>
                <w:rFonts w:ascii="Calibri" w:hAnsi="Calibri" w:eastAsia="Microsoft YaHei"/>
                <w:color w:val="0B2545"/>
                <w:sz w:val="13"/>
              </w:rPr>
              <w:t>official-enabling</w:t>
            </w:r>
          </w:p>
        </w:tc>
        <w:tc>
          <w:tcPr>
            <w:tcW w:type="dxa" w:w="1050"/>
          </w:tcPr>
          <w:p>
            <w:pPr>
              <w:keepLines/>
              <w:spacing w:after="0" w:line="276" w:lineRule="auto"/>
            </w:pPr>
            <w:r>
              <w:rPr>
                <w:rFonts w:ascii="Calibri" w:hAnsi="Calibri" w:eastAsia="Microsoft YaHei"/>
                <w:color w:val="0B2545"/>
                <w:sz w:val="13"/>
              </w:rPr>
              <w:t>source-code</w:t>
            </w:r>
          </w:p>
        </w:tc>
        <w:tc>
          <w:tcPr>
            <w:tcW w:type="dxa" w:w="900"/>
          </w:tcPr>
          <w:p>
            <w:pPr>
              <w:keepLines/>
              <w:spacing w:after="0" w:line="276" w:lineRule="auto"/>
            </w:pPr>
            <w:r>
              <w:rPr>
                <w:rFonts w:ascii="Calibri" w:hAnsi="Calibri" w:eastAsia="Microsoft YaHei"/>
                <w:color w:val="0B2545"/>
                <w:sz w:val="13"/>
              </w:rPr>
              <w:t>public</w:t>
            </w:r>
          </w:p>
        </w:tc>
        <w:tc>
          <w:tcPr>
            <w:tcW w:type="dxa" w:w="2600"/>
          </w:tcPr>
          <w:p>
            <w:pPr>
              <w:keepLines/>
              <w:spacing w:after="0" w:line="276" w:lineRule="auto"/>
            </w:pPr>
            <w:r>
              <w:rPr>
                <w:rFonts w:ascii="Calibri" w:hAnsi="Calibri" w:eastAsia="Microsoft YaHei"/>
                <w:color w:val="0B2545"/>
                <w:sz w:val="13"/>
              </w:rPr>
              <w:t>CHERAB 使用的官方科学射线追踪底座。</w:t>
            </w:r>
          </w:p>
        </w:tc>
        <w:tc>
          <w:tcPr>
            <w:tcW w:type="dxa" w:w="2160"/>
          </w:tcPr>
          <w:p>
            <w:pPr>
              <w:keepLines/>
              <w:spacing w:after="0" w:line="276" w:lineRule="auto"/>
            </w:pPr>
            <w:hyperlink r:id="rId164">
              <w:r>
                <w:rPr>
                  <w:rFonts w:ascii="Calibri" w:hAnsi="Calibri" w:eastAsia="Microsoft YaHei"/>
                  <w:color w:val="008C95"/>
                  <w:u w:val="single"/>
                </w:rPr>
                <w:t>打开原始来源 ↗</w:t>
              </w:r>
            </w:hyperlink>
          </w:p>
        </w:tc>
      </w:tr>
      <w:tr>
        <w:trPr>
          <w:cantSplit/>
        </w:trPr>
        <w:tc>
          <w:tcPr>
            <w:tcW w:type="dxa" w:w="1400"/>
          </w:tcPr>
          <w:p>
            <w:pPr>
              <w:keepLines/>
              <w:spacing w:after="0" w:line="276" w:lineRule="auto"/>
            </w:pPr>
            <w:r>
              <w:rPr>
                <w:rFonts w:ascii="Calibri" w:hAnsi="Calibri" w:eastAsia="Microsoft YaHei"/>
                <w:color w:val="0B2545"/>
                <w:sz w:val="13"/>
              </w:rPr>
              <w:t>CHERAB-IMAS</w:t>
            </w:r>
          </w:p>
        </w:tc>
        <w:tc>
          <w:tcPr>
            <w:tcW w:type="dxa" w:w="1250"/>
          </w:tcPr>
          <w:p>
            <w:pPr>
              <w:keepLines/>
              <w:spacing w:after="0" w:line="276" w:lineRule="auto"/>
            </w:pPr>
            <w:r>
              <w:rPr>
                <w:rFonts w:ascii="Calibri" w:hAnsi="Calibri" w:eastAsia="Microsoft YaHei"/>
                <w:color w:val="0B2545"/>
                <w:sz w:val="13"/>
              </w:rPr>
              <w:t>official-direct</w:t>
            </w:r>
          </w:p>
        </w:tc>
        <w:tc>
          <w:tcPr>
            <w:tcW w:type="dxa" w:w="1050"/>
          </w:tcPr>
          <w:p>
            <w:pPr>
              <w:keepLines/>
              <w:spacing w:after="0" w:line="276" w:lineRule="auto"/>
            </w:pPr>
            <w:r>
              <w:rPr>
                <w:rFonts w:ascii="Calibri" w:hAnsi="Calibri" w:eastAsia="Microsoft YaHei"/>
                <w:color w:val="0B2545"/>
                <w:sz w:val="13"/>
              </w:rPr>
              <w:t>source-code</w:t>
            </w:r>
          </w:p>
        </w:tc>
        <w:tc>
          <w:tcPr>
            <w:tcW w:type="dxa" w:w="900"/>
          </w:tcPr>
          <w:p>
            <w:pPr>
              <w:keepLines/>
              <w:spacing w:after="0" w:line="276" w:lineRule="auto"/>
            </w:pPr>
            <w:r>
              <w:rPr>
                <w:rFonts w:ascii="Calibri" w:hAnsi="Calibri" w:eastAsia="Microsoft YaHei"/>
                <w:color w:val="0B2545"/>
                <w:sz w:val="13"/>
              </w:rPr>
              <w:t>public</w:t>
            </w:r>
          </w:p>
        </w:tc>
        <w:tc>
          <w:tcPr>
            <w:tcW w:type="dxa" w:w="2600"/>
          </w:tcPr>
          <w:p>
            <w:pPr>
              <w:keepLines/>
              <w:spacing w:after="0" w:line="276" w:lineRule="auto"/>
            </w:pPr>
            <w:r>
              <w:rPr>
                <w:rFonts w:ascii="Calibri" w:hAnsi="Calibri" w:eastAsia="Microsoft YaHei"/>
                <w:color w:val="0B2545"/>
                <w:sz w:val="13"/>
              </w:rPr>
              <w:t>将 IMAS 数据映射到 CHERAB 场景的项目官方适配层。</w:t>
            </w:r>
          </w:p>
        </w:tc>
        <w:tc>
          <w:tcPr>
            <w:tcW w:type="dxa" w:w="2160"/>
          </w:tcPr>
          <w:p>
            <w:pPr>
              <w:keepLines/>
              <w:spacing w:after="0" w:line="276" w:lineRule="auto"/>
            </w:pPr>
            <w:hyperlink r:id="rId165">
              <w:r>
                <w:rPr>
                  <w:rFonts w:ascii="Calibri" w:hAnsi="Calibri" w:eastAsia="Microsoft YaHei"/>
                  <w:color w:val="008C95"/>
                  <w:u w:val="single"/>
                </w:rPr>
                <w:t>打开原始来源 ↗</w:t>
              </w:r>
            </w:hyperlink>
          </w:p>
        </w:tc>
      </w:tr>
      <w:tr>
        <w:trPr>
          <w:cantSplit/>
        </w:trPr>
        <w:tc>
          <w:tcPr>
            <w:tcW w:type="dxa" w:w="1400"/>
          </w:tcPr>
          <w:p>
            <w:pPr>
              <w:keepLines/>
              <w:spacing w:after="0" w:line="276" w:lineRule="auto"/>
            </w:pPr>
            <w:r>
              <w:rPr>
                <w:rFonts w:ascii="Calibri" w:hAnsi="Calibri" w:eastAsia="Microsoft YaHei"/>
                <w:color w:val="0B2545"/>
                <w:sz w:val="13"/>
              </w:rPr>
              <w:t>CHERAB Thomson scattering module</w:t>
            </w:r>
          </w:p>
        </w:tc>
        <w:tc>
          <w:tcPr>
            <w:tcW w:type="dxa" w:w="1250"/>
          </w:tcPr>
          <w:p>
            <w:pPr>
              <w:keepLines/>
              <w:spacing w:after="0" w:line="276" w:lineRule="auto"/>
            </w:pPr>
            <w:r>
              <w:rPr>
                <w:rFonts w:ascii="Calibri" w:hAnsi="Calibri" w:eastAsia="Microsoft YaHei"/>
                <w:color w:val="0B2545"/>
                <w:sz w:val="13"/>
              </w:rPr>
              <w:t>official-direct</w:t>
            </w:r>
          </w:p>
        </w:tc>
        <w:tc>
          <w:tcPr>
            <w:tcW w:type="dxa" w:w="1050"/>
          </w:tcPr>
          <w:p>
            <w:pPr>
              <w:keepLines/>
              <w:spacing w:after="0" w:line="276" w:lineRule="auto"/>
            </w:pPr>
            <w:r>
              <w:rPr>
                <w:rFonts w:ascii="Calibri" w:hAnsi="Calibri" w:eastAsia="Microsoft YaHei"/>
                <w:color w:val="0B2545"/>
                <w:sz w:val="13"/>
              </w:rPr>
              <w:t>source-code</w:t>
            </w:r>
          </w:p>
        </w:tc>
        <w:tc>
          <w:tcPr>
            <w:tcW w:type="dxa" w:w="900"/>
          </w:tcPr>
          <w:p>
            <w:pPr>
              <w:keepLines/>
              <w:spacing w:after="0" w:line="276" w:lineRule="auto"/>
            </w:pPr>
            <w:r>
              <w:rPr>
                <w:rFonts w:ascii="Calibri" w:hAnsi="Calibri" w:eastAsia="Microsoft YaHei"/>
                <w:color w:val="0B2545"/>
                <w:sz w:val="13"/>
              </w:rPr>
              <w:t>public</w:t>
            </w:r>
          </w:p>
        </w:tc>
        <w:tc>
          <w:tcPr>
            <w:tcW w:type="dxa" w:w="2600"/>
          </w:tcPr>
          <w:p>
            <w:pPr>
              <w:keepLines/>
              <w:spacing w:after="0" w:line="276" w:lineRule="auto"/>
            </w:pPr>
            <w:r>
              <w:rPr>
                <w:rFonts w:ascii="Calibri" w:hAnsi="Calibri" w:eastAsia="Microsoft YaHei"/>
                <w:color w:val="0B2545"/>
                <w:sz w:val="13"/>
              </w:rPr>
              <w:t>TS 物理与光学实现属于 CHERAB 官方代码体系。</w:t>
            </w:r>
          </w:p>
        </w:tc>
        <w:tc>
          <w:tcPr>
            <w:tcW w:type="dxa" w:w="2160"/>
          </w:tcPr>
          <w:p>
            <w:pPr>
              <w:keepLines/>
              <w:spacing w:after="0" w:line="276" w:lineRule="auto"/>
            </w:pPr>
            <w:hyperlink r:id="rId163">
              <w:r>
                <w:rPr>
                  <w:rFonts w:ascii="Calibri" w:hAnsi="Calibri" w:eastAsia="Microsoft YaHei"/>
                  <w:color w:val="008C95"/>
                  <w:u w:val="single"/>
                </w:rPr>
                <w:t>打开原始来源 ↗</w:t>
              </w:r>
            </w:hyperlink>
          </w:p>
        </w:tc>
      </w:tr>
      <w:tr>
        <w:trPr>
          <w:cantSplit/>
        </w:trPr>
        <w:tc>
          <w:tcPr>
            <w:tcW w:type="dxa" w:w="1400"/>
          </w:tcPr>
          <w:p>
            <w:pPr>
              <w:keepLines/>
              <w:spacing w:after="0" w:line="276" w:lineRule="auto"/>
            </w:pPr>
            <w:r>
              <w:rPr>
                <w:rFonts w:ascii="Calibri" w:hAnsi="Calibri" w:eastAsia="Microsoft YaHei"/>
                <w:color w:val="0B2545"/>
                <w:sz w:val="13"/>
              </w:rPr>
              <w:t>FIDASIM</w:t>
            </w:r>
          </w:p>
        </w:tc>
        <w:tc>
          <w:tcPr>
            <w:tcW w:type="dxa" w:w="1250"/>
          </w:tcPr>
          <w:p>
            <w:pPr>
              <w:keepLines/>
              <w:spacing w:after="0" w:line="276" w:lineRule="auto"/>
            </w:pPr>
            <w:r>
              <w:rPr>
                <w:rFonts w:ascii="Calibri" w:hAnsi="Calibri" w:eastAsia="Microsoft YaHei"/>
                <w:color w:val="0B2545"/>
                <w:sz w:val="13"/>
              </w:rPr>
              <w:t>official-direct</w:t>
            </w:r>
          </w:p>
        </w:tc>
        <w:tc>
          <w:tcPr>
            <w:tcW w:type="dxa" w:w="1050"/>
          </w:tcPr>
          <w:p>
            <w:pPr>
              <w:keepLines/>
              <w:spacing w:after="0" w:line="276" w:lineRule="auto"/>
            </w:pPr>
            <w:r>
              <w:rPr>
                <w:rFonts w:ascii="Calibri" w:hAnsi="Calibri" w:eastAsia="Microsoft YaHei"/>
                <w:color w:val="0B2545"/>
                <w:sz w:val="13"/>
              </w:rPr>
              <w:t>source-code</w:t>
            </w:r>
          </w:p>
        </w:tc>
        <w:tc>
          <w:tcPr>
            <w:tcW w:type="dxa" w:w="900"/>
          </w:tcPr>
          <w:p>
            <w:pPr>
              <w:keepLines/>
              <w:spacing w:after="0" w:line="276" w:lineRule="auto"/>
            </w:pPr>
            <w:r>
              <w:rPr>
                <w:rFonts w:ascii="Calibri" w:hAnsi="Calibri" w:eastAsia="Microsoft YaHei"/>
                <w:color w:val="0B2545"/>
                <w:sz w:val="13"/>
              </w:rPr>
              <w:t>public</w:t>
            </w:r>
          </w:p>
        </w:tc>
        <w:tc>
          <w:tcPr>
            <w:tcW w:type="dxa" w:w="2600"/>
          </w:tcPr>
          <w:p>
            <w:pPr>
              <w:keepLines/>
              <w:spacing w:after="0" w:line="276" w:lineRule="auto"/>
            </w:pPr>
            <w:r>
              <w:rPr>
                <w:rFonts w:ascii="Calibri" w:hAnsi="Calibri" w:eastAsia="Microsoft YaHei"/>
                <w:color w:val="0B2545"/>
                <w:sz w:val="13"/>
              </w:rPr>
              <w:t>DIII-D Energetic Particle Physics 团队维护的官方仓库。</w:t>
            </w:r>
          </w:p>
        </w:tc>
        <w:tc>
          <w:tcPr>
            <w:tcW w:type="dxa" w:w="2160"/>
          </w:tcPr>
          <w:p>
            <w:pPr>
              <w:keepLines/>
              <w:spacing w:after="0" w:line="276" w:lineRule="auto"/>
            </w:pPr>
            <w:hyperlink r:id="rId66">
              <w:r>
                <w:rPr>
                  <w:rFonts w:ascii="Calibri" w:hAnsi="Calibri" w:eastAsia="Microsoft YaHei"/>
                  <w:color w:val="008C95"/>
                  <w:u w:val="single"/>
                </w:rPr>
                <w:t>打开原始来源 ↗</w:t>
              </w:r>
            </w:hyperlink>
          </w:p>
        </w:tc>
      </w:tr>
      <w:tr>
        <w:trPr>
          <w:cantSplit/>
        </w:trPr>
        <w:tc>
          <w:tcPr>
            <w:tcW w:type="dxa" w:w="1400"/>
          </w:tcPr>
          <w:p>
            <w:pPr>
              <w:keepLines/>
              <w:spacing w:after="0" w:line="276" w:lineRule="auto"/>
            </w:pPr>
            <w:r>
              <w:rPr>
                <w:rFonts w:ascii="Calibri" w:hAnsi="Calibri" w:eastAsia="Microsoft YaHei"/>
                <w:color w:val="0B2545"/>
                <w:sz w:val="13"/>
              </w:rPr>
              <w:t>SOFT</w:t>
            </w:r>
          </w:p>
        </w:tc>
        <w:tc>
          <w:tcPr>
            <w:tcW w:type="dxa" w:w="1250"/>
          </w:tcPr>
          <w:p>
            <w:pPr>
              <w:keepLines/>
              <w:spacing w:after="0" w:line="276" w:lineRule="auto"/>
            </w:pPr>
            <w:r>
              <w:rPr>
                <w:rFonts w:ascii="Calibri" w:hAnsi="Calibri" w:eastAsia="Microsoft YaHei"/>
                <w:color w:val="0B2545"/>
                <w:sz w:val="13"/>
              </w:rPr>
              <w:t>official-direct</w:t>
            </w:r>
          </w:p>
        </w:tc>
        <w:tc>
          <w:tcPr>
            <w:tcW w:type="dxa" w:w="1050"/>
          </w:tcPr>
          <w:p>
            <w:pPr>
              <w:keepLines/>
              <w:spacing w:after="0" w:line="276" w:lineRule="auto"/>
            </w:pPr>
            <w:r>
              <w:rPr>
                <w:rFonts w:ascii="Calibri" w:hAnsi="Calibri" w:eastAsia="Microsoft YaHei"/>
                <w:color w:val="0B2545"/>
                <w:sz w:val="13"/>
              </w:rPr>
              <w:t>source-code</w:t>
            </w:r>
          </w:p>
        </w:tc>
        <w:tc>
          <w:tcPr>
            <w:tcW w:type="dxa" w:w="900"/>
          </w:tcPr>
          <w:p>
            <w:pPr>
              <w:keepLines/>
              <w:spacing w:after="0" w:line="276" w:lineRule="auto"/>
            </w:pPr>
            <w:r>
              <w:rPr>
                <w:rFonts w:ascii="Calibri" w:hAnsi="Calibri" w:eastAsia="Microsoft YaHei"/>
                <w:color w:val="0B2545"/>
                <w:sz w:val="13"/>
              </w:rPr>
              <w:t>public</w:t>
            </w:r>
          </w:p>
        </w:tc>
        <w:tc>
          <w:tcPr>
            <w:tcW w:type="dxa" w:w="2600"/>
          </w:tcPr>
          <w:p>
            <w:pPr>
              <w:keepLines/>
              <w:spacing w:after="0" w:line="276" w:lineRule="auto"/>
            </w:pPr>
            <w:r>
              <w:rPr>
                <w:rFonts w:ascii="Calibri" w:hAnsi="Calibri" w:eastAsia="Microsoft YaHei"/>
                <w:color w:val="0B2545"/>
                <w:sz w:val="13"/>
              </w:rPr>
              <w:t>主要作者维护的官方公开仓库。</w:t>
            </w:r>
          </w:p>
        </w:tc>
        <w:tc>
          <w:tcPr>
            <w:tcW w:type="dxa" w:w="2160"/>
          </w:tcPr>
          <w:p>
            <w:pPr>
              <w:keepLines/>
              <w:spacing w:after="0" w:line="276" w:lineRule="auto"/>
            </w:pPr>
            <w:hyperlink r:id="rId169">
              <w:r>
                <w:rPr>
                  <w:rFonts w:ascii="Calibri" w:hAnsi="Calibri" w:eastAsia="Microsoft YaHei"/>
                  <w:color w:val="008C95"/>
                  <w:u w:val="single"/>
                </w:rPr>
                <w:t>打开原始来源 ↗</w:t>
              </w:r>
            </w:hyperlink>
          </w:p>
        </w:tc>
      </w:tr>
      <w:tr>
        <w:trPr>
          <w:cantSplit/>
        </w:trPr>
        <w:tc>
          <w:tcPr>
            <w:tcW w:type="dxa" w:w="1400"/>
          </w:tcPr>
          <w:p>
            <w:pPr>
              <w:keepLines/>
              <w:spacing w:after="0" w:line="276" w:lineRule="auto"/>
            </w:pPr>
            <w:r>
              <w:rPr>
                <w:rFonts w:ascii="Calibri" w:hAnsi="Calibri" w:eastAsia="Microsoft YaHei"/>
                <w:color w:val="0B2545"/>
                <w:sz w:val="13"/>
              </w:rPr>
              <w:t>ToFu</w:t>
            </w:r>
          </w:p>
        </w:tc>
        <w:tc>
          <w:tcPr>
            <w:tcW w:type="dxa" w:w="1250"/>
          </w:tcPr>
          <w:p>
            <w:pPr>
              <w:keepLines/>
              <w:spacing w:after="0" w:line="276" w:lineRule="auto"/>
            </w:pPr>
            <w:r>
              <w:rPr>
                <w:rFonts w:ascii="Calibri" w:hAnsi="Calibri" w:eastAsia="Microsoft YaHei"/>
                <w:color w:val="0B2545"/>
                <w:sz w:val="13"/>
              </w:rPr>
              <w:t>official-direct</w:t>
            </w:r>
          </w:p>
        </w:tc>
        <w:tc>
          <w:tcPr>
            <w:tcW w:type="dxa" w:w="1050"/>
          </w:tcPr>
          <w:p>
            <w:pPr>
              <w:keepLines/>
              <w:spacing w:after="0" w:line="276" w:lineRule="auto"/>
            </w:pPr>
            <w:r>
              <w:rPr>
                <w:rFonts w:ascii="Calibri" w:hAnsi="Calibri" w:eastAsia="Microsoft YaHei"/>
                <w:color w:val="0B2545"/>
                <w:sz w:val="13"/>
              </w:rPr>
              <w:t>source-code</w:t>
            </w:r>
          </w:p>
        </w:tc>
        <w:tc>
          <w:tcPr>
            <w:tcW w:type="dxa" w:w="900"/>
          </w:tcPr>
          <w:p>
            <w:pPr>
              <w:keepLines/>
              <w:spacing w:after="0" w:line="276" w:lineRule="auto"/>
            </w:pPr>
            <w:r>
              <w:rPr>
                <w:rFonts w:ascii="Calibri" w:hAnsi="Calibri" w:eastAsia="Microsoft YaHei"/>
                <w:color w:val="0B2545"/>
                <w:sz w:val="13"/>
              </w:rPr>
              <w:t>public</w:t>
            </w:r>
          </w:p>
        </w:tc>
        <w:tc>
          <w:tcPr>
            <w:tcW w:type="dxa" w:w="2600"/>
          </w:tcPr>
          <w:p>
            <w:pPr>
              <w:keepLines/>
              <w:spacing w:after="0" w:line="276" w:lineRule="auto"/>
            </w:pPr>
            <w:r>
              <w:rPr>
                <w:rFonts w:ascii="Calibri" w:hAnsi="Calibri" w:eastAsia="Microsoft YaHei"/>
                <w:color w:val="0B2545"/>
                <w:sz w:val="13"/>
              </w:rPr>
              <w:t>ToFuProject 官方公开仓库，含几何、前向与反演实现。</w:t>
            </w:r>
          </w:p>
        </w:tc>
        <w:tc>
          <w:tcPr>
            <w:tcW w:type="dxa" w:w="2160"/>
          </w:tcPr>
          <w:p>
            <w:pPr>
              <w:keepLines/>
              <w:spacing w:after="0" w:line="276" w:lineRule="auto"/>
            </w:pPr>
            <w:hyperlink r:id="rId171">
              <w:r>
                <w:rPr>
                  <w:rFonts w:ascii="Calibri" w:hAnsi="Calibri" w:eastAsia="Microsoft YaHei"/>
                  <w:color w:val="008C95"/>
                  <w:u w:val="single"/>
                </w:rPr>
                <w:t>打开原始来源 ↗</w:t>
              </w:r>
            </w:hyperlink>
          </w:p>
        </w:tc>
      </w:tr>
      <w:tr>
        <w:trPr>
          <w:cantSplit/>
        </w:trPr>
        <w:tc>
          <w:tcPr>
            <w:tcW w:type="dxa" w:w="1400"/>
          </w:tcPr>
          <w:p>
            <w:pPr>
              <w:keepLines/>
              <w:spacing w:after="0" w:line="276" w:lineRule="auto"/>
            </w:pPr>
            <w:r>
              <w:rPr>
                <w:rFonts w:ascii="Calibri" w:hAnsi="Calibri" w:eastAsia="Microsoft YaHei"/>
                <w:color w:val="0B2545"/>
                <w:sz w:val="13"/>
              </w:rPr>
              <w:t>XICSRT</w:t>
            </w:r>
          </w:p>
        </w:tc>
        <w:tc>
          <w:tcPr>
            <w:tcW w:type="dxa" w:w="1250"/>
          </w:tcPr>
          <w:p>
            <w:pPr>
              <w:keepLines/>
              <w:spacing w:after="0" w:line="276" w:lineRule="auto"/>
            </w:pPr>
            <w:r>
              <w:rPr>
                <w:rFonts w:ascii="Calibri" w:hAnsi="Calibri" w:eastAsia="Microsoft YaHei"/>
                <w:color w:val="0B2545"/>
                <w:sz w:val="13"/>
              </w:rPr>
              <w:t>official-direct</w:t>
            </w:r>
          </w:p>
        </w:tc>
        <w:tc>
          <w:tcPr>
            <w:tcW w:type="dxa" w:w="1050"/>
          </w:tcPr>
          <w:p>
            <w:pPr>
              <w:keepLines/>
              <w:spacing w:after="0" w:line="276" w:lineRule="auto"/>
            </w:pPr>
            <w:r>
              <w:rPr>
                <w:rFonts w:ascii="Calibri" w:hAnsi="Calibri" w:eastAsia="Microsoft YaHei"/>
                <w:color w:val="0B2545"/>
                <w:sz w:val="13"/>
              </w:rPr>
              <w:t>source-code</w:t>
            </w:r>
          </w:p>
        </w:tc>
        <w:tc>
          <w:tcPr>
            <w:tcW w:type="dxa" w:w="900"/>
          </w:tcPr>
          <w:p>
            <w:pPr>
              <w:keepLines/>
              <w:spacing w:after="0" w:line="276" w:lineRule="auto"/>
            </w:pPr>
            <w:r>
              <w:rPr>
                <w:rFonts w:ascii="Calibri" w:hAnsi="Calibri" w:eastAsia="Microsoft YaHei"/>
                <w:color w:val="0B2545"/>
                <w:sz w:val="13"/>
              </w:rPr>
              <w:t>public</w:t>
            </w:r>
          </w:p>
        </w:tc>
        <w:tc>
          <w:tcPr>
            <w:tcW w:type="dxa" w:w="2600"/>
          </w:tcPr>
          <w:p>
            <w:pPr>
              <w:keepLines/>
              <w:spacing w:after="0" w:line="276" w:lineRule="auto"/>
            </w:pPr>
            <w:r>
              <w:rPr>
                <w:rFonts w:ascii="Calibri" w:hAnsi="Calibri" w:eastAsia="Microsoft YaHei"/>
                <w:color w:val="0B2545"/>
                <w:sz w:val="13"/>
              </w:rPr>
              <w:t>Princeton University 官方组织下的开源仓库。</w:t>
            </w:r>
          </w:p>
        </w:tc>
        <w:tc>
          <w:tcPr>
            <w:tcW w:type="dxa" w:w="2160"/>
          </w:tcPr>
          <w:p>
            <w:pPr>
              <w:keepLines/>
              <w:spacing w:after="0" w:line="276" w:lineRule="auto"/>
            </w:pPr>
            <w:hyperlink r:id="rId174">
              <w:r>
                <w:rPr>
                  <w:rFonts w:ascii="Calibri" w:hAnsi="Calibri" w:eastAsia="Microsoft YaHei"/>
                  <w:color w:val="008C95"/>
                  <w:u w:val="single"/>
                </w:rPr>
                <w:t>打开原始来源 ↗</w:t>
              </w:r>
            </w:hyperlink>
          </w:p>
        </w:tc>
      </w:tr>
      <w:tr>
        <w:trPr>
          <w:cantSplit/>
        </w:trPr>
        <w:tc>
          <w:tcPr>
            <w:tcW w:type="dxa" w:w="1400"/>
          </w:tcPr>
          <w:p>
            <w:pPr>
              <w:keepLines/>
              <w:spacing w:after="0" w:line="276" w:lineRule="auto"/>
            </w:pPr>
            <w:r>
              <w:rPr>
                <w:rFonts w:ascii="Calibri" w:hAnsi="Calibri" w:eastAsia="Microsoft YaHei"/>
                <w:color w:val="0B2545"/>
                <w:sz w:val="13"/>
              </w:rPr>
              <w:t>ECRad</w:t>
            </w:r>
          </w:p>
        </w:tc>
        <w:tc>
          <w:tcPr>
            <w:tcW w:type="dxa" w:w="1250"/>
          </w:tcPr>
          <w:p>
            <w:pPr>
              <w:keepLines/>
              <w:spacing w:after="0" w:line="276" w:lineRule="auto"/>
            </w:pPr>
            <w:r>
              <w:rPr>
                <w:rFonts w:ascii="Calibri" w:hAnsi="Calibri" w:eastAsia="Microsoft YaHei"/>
                <w:color w:val="0B2545"/>
                <w:sz w:val="13"/>
              </w:rPr>
              <w:t>official-direct</w:t>
            </w:r>
          </w:p>
        </w:tc>
        <w:tc>
          <w:tcPr>
            <w:tcW w:type="dxa" w:w="1050"/>
          </w:tcPr>
          <w:p>
            <w:pPr>
              <w:keepLines/>
              <w:spacing w:after="0" w:line="276" w:lineRule="auto"/>
            </w:pPr>
            <w:r>
              <w:rPr>
                <w:rFonts w:ascii="Calibri" w:hAnsi="Calibri" w:eastAsia="Microsoft YaHei"/>
                <w:color w:val="0B2545"/>
                <w:sz w:val="13"/>
              </w:rPr>
              <w:t>source-code</w:t>
            </w:r>
          </w:p>
        </w:tc>
        <w:tc>
          <w:tcPr>
            <w:tcW w:type="dxa" w:w="900"/>
          </w:tcPr>
          <w:p>
            <w:pPr>
              <w:keepLines/>
              <w:spacing w:after="0" w:line="276" w:lineRule="auto"/>
            </w:pPr>
            <w:r>
              <w:rPr>
                <w:rFonts w:ascii="Calibri" w:hAnsi="Calibri" w:eastAsia="Microsoft YaHei"/>
                <w:color w:val="0B2545"/>
                <w:sz w:val="13"/>
              </w:rPr>
              <w:t>public</w:t>
            </w:r>
          </w:p>
        </w:tc>
        <w:tc>
          <w:tcPr>
            <w:tcW w:type="dxa" w:w="2600"/>
          </w:tcPr>
          <w:p>
            <w:pPr>
              <w:keepLines/>
              <w:spacing w:after="0" w:line="276" w:lineRule="auto"/>
            </w:pPr>
            <w:r>
              <w:rPr>
                <w:rFonts w:ascii="Calibri" w:hAnsi="Calibri" w:eastAsia="Microsoft YaHei"/>
                <w:color w:val="0B2545"/>
                <w:sz w:val="13"/>
              </w:rPr>
              <w:t>主要开发团队维护的公开代码。</w:t>
            </w:r>
          </w:p>
        </w:tc>
        <w:tc>
          <w:tcPr>
            <w:tcW w:type="dxa" w:w="2160"/>
          </w:tcPr>
          <w:p>
            <w:pPr>
              <w:keepLines/>
              <w:spacing w:after="0" w:line="276" w:lineRule="auto"/>
            </w:pPr>
            <w:hyperlink r:id="rId176">
              <w:r>
                <w:rPr>
                  <w:rFonts w:ascii="Calibri" w:hAnsi="Calibri" w:eastAsia="Microsoft YaHei"/>
                  <w:color w:val="008C95"/>
                  <w:u w:val="single"/>
                </w:rPr>
                <w:t>打开原始来源 ↗</w:t>
              </w:r>
            </w:hyperlink>
          </w:p>
        </w:tc>
      </w:tr>
      <w:tr>
        <w:trPr>
          <w:cantSplit/>
        </w:trPr>
        <w:tc>
          <w:tcPr>
            <w:tcW w:type="dxa" w:w="1400"/>
          </w:tcPr>
          <w:p>
            <w:pPr>
              <w:keepLines/>
              <w:spacing w:after="0" w:line="276" w:lineRule="auto"/>
            </w:pPr>
            <w:r>
              <w:rPr>
                <w:rFonts w:ascii="Calibri" w:hAnsi="Calibri" w:eastAsia="Microsoft YaHei"/>
                <w:color w:val="0B2545"/>
                <w:sz w:val="13"/>
              </w:rPr>
              <w:t>REFMUL/REFMULF/REFMUL3</w:t>
            </w:r>
          </w:p>
        </w:tc>
        <w:tc>
          <w:tcPr>
            <w:tcW w:type="dxa" w:w="1250"/>
          </w:tcPr>
          <w:p>
            <w:pPr>
              <w:keepLines/>
              <w:spacing w:after="0" w:line="276" w:lineRule="auto"/>
            </w:pPr>
            <w:r>
              <w:rPr>
                <w:rFonts w:ascii="Calibri" w:hAnsi="Calibri" w:eastAsia="Microsoft YaHei"/>
                <w:color w:val="0B2545"/>
                <w:sz w:val="13"/>
              </w:rPr>
              <w:t>not-public</w:t>
            </w:r>
          </w:p>
        </w:tc>
        <w:tc>
          <w:tcPr>
            <w:tcW w:type="dxa" w:w="1050"/>
          </w:tcPr>
          <w:p>
            <w:pPr>
              <w:keepLines/>
              <w:spacing w:after="0" w:line="276" w:lineRule="auto"/>
            </w:pPr>
            <w:r>
              <w:rPr>
                <w:rFonts w:ascii="Calibri" w:hAnsi="Calibri" w:eastAsia="Microsoft YaHei"/>
                <w:color w:val="0B2545"/>
                <w:sz w:val="13"/>
              </w:rPr>
              <w:t>source-code</w:t>
            </w:r>
          </w:p>
        </w:tc>
        <w:tc>
          <w:tcPr>
            <w:tcW w:type="dxa" w:w="900"/>
          </w:tcPr>
          <w:p>
            <w:pPr>
              <w:keepLines/>
              <w:spacing w:after="0" w:line="276" w:lineRule="auto"/>
            </w:pPr>
            <w:r>
              <w:rPr>
                <w:rFonts w:ascii="Calibri" w:hAnsi="Calibri" w:eastAsia="Microsoft YaHei"/>
                <w:color w:val="0B2545"/>
                <w:sz w:val="13"/>
              </w:rPr>
              <w:t>not-public</w:t>
            </w:r>
          </w:p>
        </w:tc>
        <w:tc>
          <w:tcPr>
            <w:tcW w:type="dxa" w:w="2600"/>
          </w:tcPr>
          <w:p>
            <w:pPr>
              <w:keepLines/>
              <w:spacing w:after="0" w:line="276" w:lineRule="auto"/>
            </w:pPr>
            <w:r>
              <w:rPr>
                <w:rFonts w:ascii="Calibri" w:hAnsi="Calibri" w:eastAsia="Microsoft YaHei"/>
                <w:color w:val="0B2545"/>
                <w:sz w:val="13"/>
              </w:rPr>
              <w:t>未核验到开发团队公开的可下载生产仓库；论文仅描述代码。</w:t>
            </w:r>
          </w:p>
        </w:tc>
        <w:tc>
          <w:tcPr>
            <w:tcW w:type="dxa" w:w="2160"/>
          </w:tcPr>
          <w:p>
            <w:pPr>
              <w:keepLines/>
              <w:spacing w:after="0" w:line="276" w:lineRule="auto"/>
            </w:pPr>
            <w:r>
              <w:rPr>
                <w:rFonts w:ascii="Calibri" w:hAnsi="Calibri" w:eastAsia="Microsoft YaHei"/>
                <w:color w:val="0B2545"/>
                <w:sz w:val="13"/>
              </w:rPr>
              <w:t>未公开</w:t>
            </w:r>
          </w:p>
        </w:tc>
      </w:tr>
      <w:tr>
        <w:trPr>
          <w:cantSplit/>
        </w:trPr>
        <w:tc>
          <w:tcPr>
            <w:tcW w:type="dxa" w:w="1400"/>
          </w:tcPr>
          <w:p>
            <w:pPr>
              <w:keepLines/>
              <w:spacing w:after="0" w:line="276" w:lineRule="auto"/>
            </w:pPr>
            <w:r>
              <w:rPr>
                <w:rFonts w:ascii="Calibri" w:hAnsi="Calibri" w:eastAsia="Microsoft YaHei"/>
                <w:color w:val="0B2545"/>
                <w:sz w:val="13"/>
              </w:rPr>
              <w:t>XGC1-BES synthetic diagnostic workflow</w:t>
            </w:r>
          </w:p>
        </w:tc>
        <w:tc>
          <w:tcPr>
            <w:tcW w:type="dxa" w:w="1250"/>
          </w:tcPr>
          <w:p>
            <w:pPr>
              <w:keepLines/>
              <w:spacing w:after="0" w:line="276" w:lineRule="auto"/>
            </w:pPr>
            <w:r>
              <w:rPr>
                <w:rFonts w:ascii="Calibri" w:hAnsi="Calibri" w:eastAsia="Microsoft YaHei"/>
                <w:color w:val="0B2545"/>
                <w:sz w:val="13"/>
              </w:rPr>
              <w:t>not-public</w:t>
            </w:r>
          </w:p>
        </w:tc>
        <w:tc>
          <w:tcPr>
            <w:tcW w:type="dxa" w:w="1050"/>
          </w:tcPr>
          <w:p>
            <w:pPr>
              <w:keepLines/>
              <w:spacing w:after="0" w:line="276" w:lineRule="auto"/>
            </w:pPr>
            <w:r>
              <w:rPr>
                <w:rFonts w:ascii="Calibri" w:hAnsi="Calibri" w:eastAsia="Microsoft YaHei"/>
                <w:color w:val="0B2545"/>
                <w:sz w:val="13"/>
              </w:rPr>
              <w:t>source-code</w:t>
            </w:r>
          </w:p>
        </w:tc>
        <w:tc>
          <w:tcPr>
            <w:tcW w:type="dxa" w:w="900"/>
          </w:tcPr>
          <w:p>
            <w:pPr>
              <w:keepLines/>
              <w:spacing w:after="0" w:line="276" w:lineRule="auto"/>
            </w:pPr>
            <w:r>
              <w:rPr>
                <w:rFonts w:ascii="Calibri" w:hAnsi="Calibri" w:eastAsia="Microsoft YaHei"/>
                <w:color w:val="0B2545"/>
                <w:sz w:val="13"/>
              </w:rPr>
              <w:t>not-public</w:t>
            </w:r>
          </w:p>
        </w:tc>
        <w:tc>
          <w:tcPr>
            <w:tcW w:type="dxa" w:w="2600"/>
          </w:tcPr>
          <w:p>
            <w:pPr>
              <w:keepLines/>
              <w:spacing w:after="0" w:line="276" w:lineRule="auto"/>
            </w:pPr>
            <w:r>
              <w:rPr>
                <w:rFonts w:ascii="Calibri" w:hAnsi="Calibri" w:eastAsia="Microsoft YaHei"/>
                <w:color w:val="0B2545"/>
                <w:sz w:val="13"/>
              </w:rPr>
              <w:t>论文专用端到端实现未发现公开仓库。</w:t>
            </w:r>
          </w:p>
        </w:tc>
        <w:tc>
          <w:tcPr>
            <w:tcW w:type="dxa" w:w="2160"/>
          </w:tcPr>
          <w:p>
            <w:pPr>
              <w:keepLines/>
              <w:spacing w:after="0" w:line="276" w:lineRule="auto"/>
            </w:pPr>
            <w:r>
              <w:rPr>
                <w:rFonts w:ascii="Calibri" w:hAnsi="Calibri" w:eastAsia="Microsoft YaHei"/>
                <w:color w:val="0B2545"/>
                <w:sz w:val="13"/>
              </w:rPr>
              <w:t>未公开</w:t>
            </w:r>
          </w:p>
        </w:tc>
      </w:tr>
      <w:tr>
        <w:trPr>
          <w:cantSplit/>
        </w:trPr>
        <w:tc>
          <w:tcPr>
            <w:tcW w:type="dxa" w:w="1400"/>
          </w:tcPr>
          <w:p>
            <w:pPr>
              <w:keepLines/>
              <w:spacing w:after="0" w:line="276" w:lineRule="auto"/>
            </w:pPr>
            <w:r>
              <w:rPr>
                <w:rFonts w:ascii="Calibri" w:hAnsi="Calibri" w:eastAsia="Microsoft YaHei"/>
                <w:color w:val="0B2545"/>
                <w:sz w:val="13"/>
              </w:rPr>
              <w:t>XGC</w:t>
            </w:r>
          </w:p>
        </w:tc>
        <w:tc>
          <w:tcPr>
            <w:tcW w:type="dxa" w:w="1250"/>
          </w:tcPr>
          <w:p>
            <w:pPr>
              <w:keepLines/>
              <w:spacing w:after="0" w:line="276" w:lineRule="auto"/>
            </w:pPr>
            <w:r>
              <w:rPr>
                <w:rFonts w:ascii="Calibri" w:hAnsi="Calibri" w:eastAsia="Microsoft YaHei"/>
                <w:color w:val="0B2545"/>
                <w:sz w:val="13"/>
              </w:rPr>
              <w:t>not-public</w:t>
            </w:r>
          </w:p>
        </w:tc>
        <w:tc>
          <w:tcPr>
            <w:tcW w:type="dxa" w:w="1050"/>
          </w:tcPr>
          <w:p>
            <w:pPr>
              <w:keepLines/>
              <w:spacing w:after="0" w:line="276" w:lineRule="auto"/>
            </w:pPr>
            <w:r>
              <w:rPr>
                <w:rFonts w:ascii="Calibri" w:hAnsi="Calibri" w:eastAsia="Microsoft YaHei"/>
                <w:color w:val="0B2545"/>
                <w:sz w:val="13"/>
              </w:rPr>
              <w:t>source-code</w:t>
            </w:r>
          </w:p>
        </w:tc>
        <w:tc>
          <w:tcPr>
            <w:tcW w:type="dxa" w:w="900"/>
          </w:tcPr>
          <w:p>
            <w:pPr>
              <w:keepLines/>
              <w:spacing w:after="0" w:line="276" w:lineRule="auto"/>
            </w:pPr>
            <w:r>
              <w:rPr>
                <w:rFonts w:ascii="Calibri" w:hAnsi="Calibri" w:eastAsia="Microsoft YaHei"/>
                <w:color w:val="0B2545"/>
                <w:sz w:val="13"/>
              </w:rPr>
              <w:t>not-public</w:t>
            </w:r>
          </w:p>
        </w:tc>
        <w:tc>
          <w:tcPr>
            <w:tcW w:type="dxa" w:w="2600"/>
          </w:tcPr>
          <w:p>
            <w:pPr>
              <w:keepLines/>
              <w:spacing w:after="0" w:line="276" w:lineRule="auto"/>
            </w:pPr>
            <w:r>
              <w:rPr>
                <w:rFonts w:ascii="Calibri" w:hAnsi="Calibri" w:eastAsia="Microsoft YaHei"/>
                <w:color w:val="0B2545"/>
                <w:sz w:val="13"/>
              </w:rPr>
              <w:t>XGC1 是物理输入代码；访问受协作与许可约束，且不是 BES 观测算子本体。</w:t>
            </w:r>
          </w:p>
        </w:tc>
        <w:tc>
          <w:tcPr>
            <w:tcW w:type="dxa" w:w="2160"/>
          </w:tcPr>
          <w:p>
            <w:pPr>
              <w:keepLines/>
              <w:spacing w:after="0" w:line="276" w:lineRule="auto"/>
            </w:pPr>
            <w:r>
              <w:rPr>
                <w:rFonts w:ascii="Calibri" w:hAnsi="Calibri" w:eastAsia="Microsoft YaHei"/>
                <w:color w:val="0B2545"/>
                <w:sz w:val="13"/>
              </w:rPr>
              <w:t>未公开</w:t>
            </w:r>
          </w:p>
        </w:tc>
      </w:tr>
      <w:tr>
        <w:trPr>
          <w:cantSplit/>
        </w:trPr>
        <w:tc>
          <w:tcPr>
            <w:tcW w:type="dxa" w:w="1400"/>
          </w:tcPr>
          <w:p>
            <w:pPr>
              <w:keepLines/>
              <w:spacing w:after="0" w:line="276" w:lineRule="auto"/>
            </w:pPr>
            <w:r>
              <w:rPr>
                <w:rFonts w:ascii="Calibri" w:hAnsi="Calibri" w:eastAsia="Microsoft YaHei"/>
                <w:color w:val="0B2545"/>
                <w:sz w:val="13"/>
              </w:rPr>
              <w:t>ASCOT5</w:t>
            </w:r>
          </w:p>
        </w:tc>
        <w:tc>
          <w:tcPr>
            <w:tcW w:type="dxa" w:w="1250"/>
          </w:tcPr>
          <w:p>
            <w:pPr>
              <w:keepLines/>
              <w:spacing w:after="0" w:line="276" w:lineRule="auto"/>
            </w:pPr>
            <w:r>
              <w:rPr>
                <w:rFonts w:ascii="Calibri" w:hAnsi="Calibri" w:eastAsia="Microsoft YaHei"/>
                <w:color w:val="0B2545"/>
                <w:sz w:val="13"/>
              </w:rPr>
              <w:t>official-direct</w:t>
            </w:r>
          </w:p>
        </w:tc>
        <w:tc>
          <w:tcPr>
            <w:tcW w:type="dxa" w:w="1050"/>
          </w:tcPr>
          <w:p>
            <w:pPr>
              <w:keepLines/>
              <w:spacing w:after="0" w:line="276" w:lineRule="auto"/>
            </w:pPr>
            <w:r>
              <w:rPr>
                <w:rFonts w:ascii="Calibri" w:hAnsi="Calibri" w:eastAsia="Microsoft YaHei"/>
                <w:color w:val="0B2545"/>
                <w:sz w:val="13"/>
              </w:rPr>
              <w:t>source-code</w:t>
            </w:r>
          </w:p>
        </w:tc>
        <w:tc>
          <w:tcPr>
            <w:tcW w:type="dxa" w:w="900"/>
          </w:tcPr>
          <w:p>
            <w:pPr>
              <w:keepLines/>
              <w:spacing w:after="0" w:line="276" w:lineRule="auto"/>
            </w:pPr>
            <w:r>
              <w:rPr>
                <w:rFonts w:ascii="Calibri" w:hAnsi="Calibri" w:eastAsia="Microsoft YaHei"/>
                <w:color w:val="0B2545"/>
                <w:sz w:val="13"/>
              </w:rPr>
              <w:t>public</w:t>
            </w:r>
          </w:p>
        </w:tc>
        <w:tc>
          <w:tcPr>
            <w:tcW w:type="dxa" w:w="2600"/>
          </w:tcPr>
          <w:p>
            <w:pPr>
              <w:keepLines/>
              <w:spacing w:after="0" w:line="276" w:lineRule="auto"/>
            </w:pPr>
            <w:r>
              <w:rPr>
                <w:rFonts w:ascii="Calibri" w:hAnsi="Calibri" w:eastAsia="Microsoft YaHei"/>
                <w:color w:val="0B2545"/>
                <w:sz w:val="13"/>
              </w:rPr>
              <w:t>ASCOT 开发团队官方公开仓库。</w:t>
            </w:r>
          </w:p>
        </w:tc>
        <w:tc>
          <w:tcPr>
            <w:tcW w:type="dxa" w:w="2160"/>
          </w:tcPr>
          <w:p>
            <w:pPr>
              <w:keepLines/>
              <w:spacing w:after="0" w:line="276" w:lineRule="auto"/>
            </w:pPr>
            <w:hyperlink r:id="rId182">
              <w:r>
                <w:rPr>
                  <w:rFonts w:ascii="Calibri" w:hAnsi="Calibri" w:eastAsia="Microsoft YaHei"/>
                  <w:color w:val="008C95"/>
                  <w:u w:val="single"/>
                </w:rPr>
                <w:t>打开原始来源 ↗</w:t>
              </w:r>
            </w:hyperlink>
          </w:p>
        </w:tc>
      </w:tr>
      <w:tr>
        <w:trPr>
          <w:cantSplit/>
        </w:trPr>
        <w:tc>
          <w:tcPr>
            <w:tcW w:type="dxa" w:w="1400"/>
          </w:tcPr>
          <w:p>
            <w:pPr>
              <w:keepLines/>
              <w:spacing w:after="0" w:line="276" w:lineRule="auto"/>
            </w:pPr>
            <w:r>
              <w:rPr>
                <w:rFonts w:ascii="Calibri" w:hAnsi="Calibri" w:eastAsia="Microsoft YaHei"/>
                <w:color w:val="0B2545"/>
                <w:sz w:val="13"/>
              </w:rPr>
              <w:t>pydress</w:t>
            </w:r>
          </w:p>
        </w:tc>
        <w:tc>
          <w:tcPr>
            <w:tcW w:type="dxa" w:w="1250"/>
          </w:tcPr>
          <w:p>
            <w:pPr>
              <w:keepLines/>
              <w:spacing w:after="0" w:line="276" w:lineRule="auto"/>
            </w:pPr>
            <w:r>
              <w:rPr>
                <w:rFonts w:ascii="Calibri" w:hAnsi="Calibri" w:eastAsia="Microsoft YaHei"/>
                <w:color w:val="0B2545"/>
                <w:sz w:val="13"/>
              </w:rPr>
              <w:t>official-direct</w:t>
            </w:r>
          </w:p>
        </w:tc>
        <w:tc>
          <w:tcPr>
            <w:tcW w:type="dxa" w:w="1050"/>
          </w:tcPr>
          <w:p>
            <w:pPr>
              <w:keepLines/>
              <w:spacing w:after="0" w:line="276" w:lineRule="auto"/>
            </w:pPr>
            <w:r>
              <w:rPr>
                <w:rFonts w:ascii="Calibri" w:hAnsi="Calibri" w:eastAsia="Microsoft YaHei"/>
                <w:color w:val="0B2545"/>
                <w:sz w:val="13"/>
              </w:rPr>
              <w:t>source-code</w:t>
            </w:r>
          </w:p>
        </w:tc>
        <w:tc>
          <w:tcPr>
            <w:tcW w:type="dxa" w:w="900"/>
          </w:tcPr>
          <w:p>
            <w:pPr>
              <w:keepLines/>
              <w:spacing w:after="0" w:line="276" w:lineRule="auto"/>
            </w:pPr>
            <w:r>
              <w:rPr>
                <w:rFonts w:ascii="Calibri" w:hAnsi="Calibri" w:eastAsia="Microsoft YaHei"/>
                <w:color w:val="0B2545"/>
                <w:sz w:val="13"/>
              </w:rPr>
              <w:t>public</w:t>
            </w:r>
          </w:p>
        </w:tc>
        <w:tc>
          <w:tcPr>
            <w:tcW w:type="dxa" w:w="2600"/>
          </w:tcPr>
          <w:p>
            <w:pPr>
              <w:keepLines/>
              <w:spacing w:after="0" w:line="276" w:lineRule="auto"/>
            </w:pPr>
            <w:r>
              <w:rPr>
                <w:rFonts w:ascii="Calibri" w:hAnsi="Calibri" w:eastAsia="Microsoft YaHei"/>
                <w:color w:val="0B2545"/>
                <w:sz w:val="13"/>
              </w:rPr>
              <w:t>DRESS 作者发布的 Python 实现。</w:t>
            </w:r>
          </w:p>
        </w:tc>
        <w:tc>
          <w:tcPr>
            <w:tcW w:type="dxa" w:w="2160"/>
          </w:tcPr>
          <w:p>
            <w:pPr>
              <w:keepLines/>
              <w:spacing w:after="0" w:line="276" w:lineRule="auto"/>
            </w:pPr>
            <w:hyperlink r:id="rId185">
              <w:r>
                <w:rPr>
                  <w:rFonts w:ascii="Calibri" w:hAnsi="Calibri" w:eastAsia="Microsoft YaHei"/>
                  <w:color w:val="008C95"/>
                  <w:u w:val="single"/>
                </w:rPr>
                <w:t>打开原始来源 ↗</w:t>
              </w:r>
            </w:hyperlink>
          </w:p>
        </w:tc>
      </w:tr>
      <w:tr>
        <w:trPr>
          <w:cantSplit/>
        </w:trPr>
        <w:tc>
          <w:tcPr>
            <w:tcW w:type="dxa" w:w="1400"/>
          </w:tcPr>
          <w:p>
            <w:pPr>
              <w:keepLines/>
              <w:spacing w:after="0" w:line="276" w:lineRule="auto"/>
            </w:pPr>
            <w:r>
              <w:rPr>
                <w:rFonts w:ascii="Calibri" w:hAnsi="Calibri" w:eastAsia="Microsoft YaHei"/>
                <w:color w:val="0B2545"/>
                <w:sz w:val="13"/>
              </w:rPr>
              <w:t>ScintSuite</w:t>
            </w:r>
          </w:p>
        </w:tc>
        <w:tc>
          <w:tcPr>
            <w:tcW w:type="dxa" w:w="1250"/>
          </w:tcPr>
          <w:p>
            <w:pPr>
              <w:keepLines/>
              <w:spacing w:after="0" w:line="276" w:lineRule="auto"/>
            </w:pPr>
            <w:r>
              <w:rPr>
                <w:rFonts w:ascii="Calibri" w:hAnsi="Calibri" w:eastAsia="Microsoft YaHei"/>
                <w:color w:val="0B2545"/>
                <w:sz w:val="13"/>
              </w:rPr>
              <w:t>official-direct</w:t>
            </w:r>
          </w:p>
        </w:tc>
        <w:tc>
          <w:tcPr>
            <w:tcW w:type="dxa" w:w="1050"/>
          </w:tcPr>
          <w:p>
            <w:pPr>
              <w:keepLines/>
              <w:spacing w:after="0" w:line="276" w:lineRule="auto"/>
            </w:pPr>
            <w:r>
              <w:rPr>
                <w:rFonts w:ascii="Calibri" w:hAnsi="Calibri" w:eastAsia="Microsoft YaHei"/>
                <w:color w:val="0B2545"/>
                <w:sz w:val="13"/>
              </w:rPr>
              <w:t>source-code</w:t>
            </w:r>
          </w:p>
        </w:tc>
        <w:tc>
          <w:tcPr>
            <w:tcW w:type="dxa" w:w="900"/>
          </w:tcPr>
          <w:p>
            <w:pPr>
              <w:keepLines/>
              <w:spacing w:after="0" w:line="276" w:lineRule="auto"/>
            </w:pPr>
            <w:r>
              <w:rPr>
                <w:rFonts w:ascii="Calibri" w:hAnsi="Calibri" w:eastAsia="Microsoft YaHei"/>
                <w:color w:val="0B2545"/>
                <w:sz w:val="13"/>
              </w:rPr>
              <w:t>public</w:t>
            </w:r>
          </w:p>
        </w:tc>
        <w:tc>
          <w:tcPr>
            <w:tcW w:type="dxa" w:w="2600"/>
          </w:tcPr>
          <w:p>
            <w:pPr>
              <w:keepLines/>
              <w:spacing w:after="0" w:line="276" w:lineRule="auto"/>
            </w:pPr>
            <w:r>
              <w:rPr>
                <w:rFonts w:ascii="Calibri" w:hAnsi="Calibri" w:eastAsia="Microsoft YaHei"/>
                <w:color w:val="0B2545"/>
                <w:sz w:val="13"/>
              </w:rPr>
              <w:t>主要开发者公开的 FILD/INPA 分析与合成诊断套件。</w:t>
            </w:r>
          </w:p>
        </w:tc>
        <w:tc>
          <w:tcPr>
            <w:tcW w:type="dxa" w:w="2160"/>
          </w:tcPr>
          <w:p>
            <w:pPr>
              <w:keepLines/>
              <w:spacing w:after="0" w:line="276" w:lineRule="auto"/>
            </w:pPr>
            <w:hyperlink r:id="rId189">
              <w:r>
                <w:rPr>
                  <w:rFonts w:ascii="Calibri" w:hAnsi="Calibri" w:eastAsia="Microsoft YaHei"/>
                  <w:color w:val="008C95"/>
                  <w:u w:val="single"/>
                </w:rPr>
                <w:t>打开原始来源 ↗</w:t>
              </w:r>
            </w:hyperlink>
          </w:p>
        </w:tc>
      </w:tr>
      <w:tr>
        <w:trPr>
          <w:cantSplit/>
        </w:trPr>
        <w:tc>
          <w:tcPr>
            <w:tcW w:type="dxa" w:w="1400"/>
          </w:tcPr>
          <w:p>
            <w:pPr>
              <w:keepLines/>
              <w:spacing w:after="0" w:line="276" w:lineRule="auto"/>
            </w:pPr>
            <w:r>
              <w:rPr>
                <w:rFonts w:ascii="Calibri" w:hAnsi="Calibri" w:eastAsia="Microsoft YaHei"/>
                <w:color w:val="0B2545"/>
                <w:sz w:val="13"/>
              </w:rPr>
              <w:t>ASCOT5</w:t>
            </w:r>
          </w:p>
        </w:tc>
        <w:tc>
          <w:tcPr>
            <w:tcW w:type="dxa" w:w="1250"/>
          </w:tcPr>
          <w:p>
            <w:pPr>
              <w:keepLines/>
              <w:spacing w:after="0" w:line="276" w:lineRule="auto"/>
            </w:pPr>
            <w:r>
              <w:rPr>
                <w:rFonts w:ascii="Calibri" w:hAnsi="Calibri" w:eastAsia="Microsoft YaHei"/>
                <w:color w:val="0B2545"/>
                <w:sz w:val="13"/>
              </w:rPr>
              <w:t>official-enabling</w:t>
            </w:r>
          </w:p>
        </w:tc>
        <w:tc>
          <w:tcPr>
            <w:tcW w:type="dxa" w:w="1050"/>
          </w:tcPr>
          <w:p>
            <w:pPr>
              <w:keepLines/>
              <w:spacing w:after="0" w:line="276" w:lineRule="auto"/>
            </w:pPr>
            <w:r>
              <w:rPr>
                <w:rFonts w:ascii="Calibri" w:hAnsi="Calibri" w:eastAsia="Microsoft YaHei"/>
                <w:color w:val="0B2545"/>
                <w:sz w:val="13"/>
              </w:rPr>
              <w:t>source-code</w:t>
            </w:r>
          </w:p>
        </w:tc>
        <w:tc>
          <w:tcPr>
            <w:tcW w:type="dxa" w:w="900"/>
          </w:tcPr>
          <w:p>
            <w:pPr>
              <w:keepLines/>
              <w:spacing w:after="0" w:line="276" w:lineRule="auto"/>
            </w:pPr>
            <w:r>
              <w:rPr>
                <w:rFonts w:ascii="Calibri" w:hAnsi="Calibri" w:eastAsia="Microsoft YaHei"/>
                <w:color w:val="0B2545"/>
                <w:sz w:val="13"/>
              </w:rPr>
              <w:t>public</w:t>
            </w:r>
          </w:p>
        </w:tc>
        <w:tc>
          <w:tcPr>
            <w:tcW w:type="dxa" w:w="2600"/>
          </w:tcPr>
          <w:p>
            <w:pPr>
              <w:keepLines/>
              <w:spacing w:after="0" w:line="276" w:lineRule="auto"/>
            </w:pPr>
            <w:r>
              <w:rPr>
                <w:rFonts w:ascii="Calibri" w:hAnsi="Calibri" w:eastAsia="Microsoft YaHei"/>
                <w:color w:val="0B2545"/>
                <w:sz w:val="13"/>
              </w:rPr>
              <w:t>为 W7-X 合成链提供到探针口的粒子分布，不是探针仪器模型。</w:t>
            </w:r>
          </w:p>
        </w:tc>
        <w:tc>
          <w:tcPr>
            <w:tcW w:type="dxa" w:w="2160"/>
          </w:tcPr>
          <w:p>
            <w:pPr>
              <w:keepLines/>
              <w:spacing w:after="0" w:line="276" w:lineRule="auto"/>
            </w:pPr>
            <w:hyperlink r:id="rId182">
              <w:r>
                <w:rPr>
                  <w:rFonts w:ascii="Calibri" w:hAnsi="Calibri" w:eastAsia="Microsoft YaHei"/>
                  <w:color w:val="008C95"/>
                  <w:u w:val="single"/>
                </w:rPr>
                <w:t>打开原始来源 ↗</w:t>
              </w:r>
            </w:hyperlink>
          </w:p>
        </w:tc>
      </w:tr>
      <w:tr>
        <w:trPr>
          <w:cantSplit/>
        </w:trPr>
        <w:tc>
          <w:tcPr>
            <w:tcW w:type="dxa" w:w="1400"/>
          </w:tcPr>
          <w:p>
            <w:pPr>
              <w:keepLines/>
              <w:spacing w:after="0" w:line="276" w:lineRule="auto"/>
            </w:pPr>
            <w:r>
              <w:rPr>
                <w:rFonts w:ascii="Calibri" w:hAnsi="Calibri" w:eastAsia="Microsoft YaHei"/>
                <w:color w:val="0B2545"/>
                <w:sz w:val="13"/>
              </w:rPr>
              <w:t>RENATE/RENATE-OD</w:t>
            </w:r>
          </w:p>
        </w:tc>
        <w:tc>
          <w:tcPr>
            <w:tcW w:type="dxa" w:w="1250"/>
          </w:tcPr>
          <w:p>
            <w:pPr>
              <w:keepLines/>
              <w:spacing w:after="0" w:line="276" w:lineRule="auto"/>
            </w:pPr>
            <w:r>
              <w:rPr>
                <w:rFonts w:ascii="Calibri" w:hAnsi="Calibri" w:eastAsia="Microsoft YaHei"/>
                <w:color w:val="0B2545"/>
                <w:sz w:val="13"/>
              </w:rPr>
              <w:t>not-public</w:t>
            </w:r>
          </w:p>
        </w:tc>
        <w:tc>
          <w:tcPr>
            <w:tcW w:type="dxa" w:w="1050"/>
          </w:tcPr>
          <w:p>
            <w:pPr>
              <w:keepLines/>
              <w:spacing w:after="0" w:line="276" w:lineRule="auto"/>
            </w:pPr>
            <w:r>
              <w:rPr>
                <w:rFonts w:ascii="Calibri" w:hAnsi="Calibri" w:eastAsia="Microsoft YaHei"/>
                <w:color w:val="0B2545"/>
                <w:sz w:val="13"/>
              </w:rPr>
              <w:t>source-code</w:t>
            </w:r>
          </w:p>
        </w:tc>
        <w:tc>
          <w:tcPr>
            <w:tcW w:type="dxa" w:w="900"/>
          </w:tcPr>
          <w:p>
            <w:pPr>
              <w:keepLines/>
              <w:spacing w:after="0" w:line="276" w:lineRule="auto"/>
            </w:pPr>
            <w:r>
              <w:rPr>
                <w:rFonts w:ascii="Calibri" w:hAnsi="Calibri" w:eastAsia="Microsoft YaHei"/>
                <w:color w:val="0B2545"/>
                <w:sz w:val="13"/>
              </w:rPr>
              <w:t>not-public</w:t>
            </w:r>
          </w:p>
        </w:tc>
        <w:tc>
          <w:tcPr>
            <w:tcW w:type="dxa" w:w="2600"/>
          </w:tcPr>
          <w:p>
            <w:pPr>
              <w:keepLines/>
              <w:spacing w:after="0" w:line="276" w:lineRule="auto"/>
            </w:pPr>
            <w:r>
              <w:rPr>
                <w:rFonts w:ascii="Calibri" w:hAnsi="Calibri" w:eastAsia="Microsoft YaHei"/>
                <w:color w:val="0B2545"/>
                <w:sz w:val="13"/>
              </w:rPr>
              <w:t>未核验到作者团队维护的公共生产仓库；论文与后续工作描述实现。</w:t>
            </w:r>
          </w:p>
        </w:tc>
        <w:tc>
          <w:tcPr>
            <w:tcW w:type="dxa" w:w="2160"/>
          </w:tcPr>
          <w:p>
            <w:pPr>
              <w:keepLines/>
              <w:spacing w:after="0" w:line="276" w:lineRule="auto"/>
            </w:pPr>
            <w:r>
              <w:rPr>
                <w:rFonts w:ascii="Calibri" w:hAnsi="Calibri" w:eastAsia="Microsoft YaHei"/>
                <w:color w:val="0B2545"/>
                <w:sz w:val="13"/>
              </w:rPr>
              <w:t>未公开</w:t>
            </w:r>
          </w:p>
        </w:tc>
      </w:tr>
      <w:tr>
        <w:trPr>
          <w:cantSplit/>
        </w:trPr>
        <w:tc>
          <w:tcPr>
            <w:tcW w:type="dxa" w:w="1400"/>
          </w:tcPr>
          <w:p>
            <w:pPr>
              <w:keepLines/>
              <w:spacing w:after="0" w:line="276" w:lineRule="auto"/>
            </w:pPr>
            <w:r>
              <w:rPr>
                <w:rFonts w:ascii="Calibri" w:hAnsi="Calibri" w:eastAsia="Microsoft YaHei"/>
                <w:color w:val="0B2545"/>
                <w:sz w:val="13"/>
              </w:rPr>
              <w:t>TRIPPy</w:t>
            </w:r>
          </w:p>
        </w:tc>
        <w:tc>
          <w:tcPr>
            <w:tcW w:type="dxa" w:w="1250"/>
          </w:tcPr>
          <w:p>
            <w:pPr>
              <w:keepLines/>
              <w:spacing w:after="0" w:line="276" w:lineRule="auto"/>
            </w:pPr>
            <w:r>
              <w:rPr>
                <w:rFonts w:ascii="Calibri" w:hAnsi="Calibri" w:eastAsia="Microsoft YaHei"/>
                <w:color w:val="0B2545"/>
                <w:sz w:val="13"/>
              </w:rPr>
              <w:t>official-direct</w:t>
            </w:r>
          </w:p>
        </w:tc>
        <w:tc>
          <w:tcPr>
            <w:tcW w:type="dxa" w:w="1050"/>
          </w:tcPr>
          <w:p>
            <w:pPr>
              <w:keepLines/>
              <w:spacing w:after="0" w:line="276" w:lineRule="auto"/>
            </w:pPr>
            <w:r>
              <w:rPr>
                <w:rFonts w:ascii="Calibri" w:hAnsi="Calibri" w:eastAsia="Microsoft YaHei"/>
                <w:color w:val="0B2545"/>
                <w:sz w:val="13"/>
              </w:rPr>
              <w:t>source-code</w:t>
            </w:r>
          </w:p>
        </w:tc>
        <w:tc>
          <w:tcPr>
            <w:tcW w:type="dxa" w:w="900"/>
          </w:tcPr>
          <w:p>
            <w:pPr>
              <w:keepLines/>
              <w:spacing w:after="0" w:line="276" w:lineRule="auto"/>
            </w:pPr>
            <w:r>
              <w:rPr>
                <w:rFonts w:ascii="Calibri" w:hAnsi="Calibri" w:eastAsia="Microsoft YaHei"/>
                <w:color w:val="0B2545"/>
                <w:sz w:val="13"/>
              </w:rPr>
              <w:t>public</w:t>
            </w:r>
          </w:p>
        </w:tc>
        <w:tc>
          <w:tcPr>
            <w:tcW w:type="dxa" w:w="2600"/>
          </w:tcPr>
          <w:p>
            <w:pPr>
              <w:keepLines/>
              <w:spacing w:after="0" w:line="276" w:lineRule="auto"/>
            </w:pPr>
            <w:r>
              <w:rPr>
                <w:rFonts w:ascii="Calibri" w:hAnsi="Calibri" w:eastAsia="Microsoft YaHei"/>
                <w:color w:val="0B2545"/>
                <w:sz w:val="13"/>
              </w:rPr>
              <w:t>作者发布的 TRIPPy 实现。</w:t>
            </w:r>
          </w:p>
        </w:tc>
        <w:tc>
          <w:tcPr>
            <w:tcW w:type="dxa" w:w="2160"/>
          </w:tcPr>
          <w:p>
            <w:pPr>
              <w:keepLines/>
              <w:spacing w:after="0" w:line="276" w:lineRule="auto"/>
            </w:pPr>
            <w:hyperlink r:id="rId193">
              <w:r>
                <w:rPr>
                  <w:rFonts w:ascii="Calibri" w:hAnsi="Calibri" w:eastAsia="Microsoft YaHei"/>
                  <w:color w:val="008C95"/>
                  <w:u w:val="single"/>
                </w:rPr>
                <w:t>打开原始来源 ↗</w:t>
              </w:r>
            </w:hyperlink>
          </w:p>
        </w:tc>
      </w:tr>
      <w:tr>
        <w:trPr>
          <w:cantSplit/>
        </w:trPr>
        <w:tc>
          <w:tcPr>
            <w:tcW w:type="dxa" w:w="1400"/>
          </w:tcPr>
          <w:p>
            <w:pPr>
              <w:keepLines/>
              <w:spacing w:after="0" w:line="276" w:lineRule="auto"/>
            </w:pPr>
            <w:r>
              <w:rPr>
                <w:rFonts w:ascii="Calibri" w:hAnsi="Calibri" w:eastAsia="Microsoft YaHei"/>
                <w:color w:val="0B2545"/>
                <w:sz w:val="13"/>
              </w:rPr>
              <w:t>eqtools</w:t>
            </w:r>
          </w:p>
        </w:tc>
        <w:tc>
          <w:tcPr>
            <w:tcW w:type="dxa" w:w="1250"/>
          </w:tcPr>
          <w:p>
            <w:pPr>
              <w:keepLines/>
              <w:spacing w:after="0" w:line="276" w:lineRule="auto"/>
            </w:pPr>
            <w:r>
              <w:rPr>
                <w:rFonts w:ascii="Calibri" w:hAnsi="Calibri" w:eastAsia="Microsoft YaHei"/>
                <w:color w:val="0B2545"/>
                <w:sz w:val="13"/>
              </w:rPr>
              <w:t>official-enabling</w:t>
            </w:r>
          </w:p>
        </w:tc>
        <w:tc>
          <w:tcPr>
            <w:tcW w:type="dxa" w:w="1050"/>
          </w:tcPr>
          <w:p>
            <w:pPr>
              <w:keepLines/>
              <w:spacing w:after="0" w:line="276" w:lineRule="auto"/>
            </w:pPr>
            <w:r>
              <w:rPr>
                <w:rFonts w:ascii="Calibri" w:hAnsi="Calibri" w:eastAsia="Microsoft YaHei"/>
                <w:color w:val="0B2545"/>
                <w:sz w:val="13"/>
              </w:rPr>
              <w:t>source-code</w:t>
            </w:r>
          </w:p>
        </w:tc>
        <w:tc>
          <w:tcPr>
            <w:tcW w:type="dxa" w:w="900"/>
          </w:tcPr>
          <w:p>
            <w:pPr>
              <w:keepLines/>
              <w:spacing w:after="0" w:line="276" w:lineRule="auto"/>
            </w:pPr>
            <w:r>
              <w:rPr>
                <w:rFonts w:ascii="Calibri" w:hAnsi="Calibri" w:eastAsia="Microsoft YaHei"/>
                <w:color w:val="0B2545"/>
                <w:sz w:val="13"/>
              </w:rPr>
              <w:t>public</w:t>
            </w:r>
          </w:p>
        </w:tc>
        <w:tc>
          <w:tcPr>
            <w:tcW w:type="dxa" w:w="2600"/>
          </w:tcPr>
          <w:p>
            <w:pPr>
              <w:keepLines/>
              <w:spacing w:after="0" w:line="276" w:lineRule="auto"/>
            </w:pPr>
            <w:r>
              <w:rPr>
                <w:rFonts w:ascii="Calibri" w:hAnsi="Calibri" w:eastAsia="Microsoft YaHei"/>
                <w:color w:val="0B2545"/>
                <w:sz w:val="13"/>
              </w:rPr>
              <w:t>提供平衡和坐标映射，不是辐射前向模型本身。</w:t>
            </w:r>
          </w:p>
        </w:tc>
        <w:tc>
          <w:tcPr>
            <w:tcW w:type="dxa" w:w="2160"/>
          </w:tcPr>
          <w:p>
            <w:pPr>
              <w:keepLines/>
              <w:spacing w:after="0" w:line="276" w:lineRule="auto"/>
            </w:pPr>
            <w:hyperlink r:id="rId194">
              <w:r>
                <w:rPr>
                  <w:rFonts w:ascii="Calibri" w:hAnsi="Calibri" w:eastAsia="Microsoft YaHei"/>
                  <w:color w:val="008C95"/>
                  <w:u w:val="single"/>
                </w:rPr>
                <w:t>打开原始来源 ↗</w:t>
              </w:r>
            </w:hyperlink>
          </w:p>
        </w:tc>
      </w:tr>
      <w:tr>
        <w:trPr>
          <w:cantSplit/>
        </w:trPr>
        <w:tc>
          <w:tcPr>
            <w:tcW w:type="dxa" w:w="1400"/>
          </w:tcPr>
          <w:p>
            <w:pPr>
              <w:keepLines/>
              <w:spacing w:after="0" w:line="276" w:lineRule="auto"/>
            </w:pPr>
            <w:r>
              <w:rPr>
                <w:rFonts w:ascii="Calibri" w:hAnsi="Calibri" w:eastAsia="Microsoft YaHei"/>
                <w:color w:val="0B2545"/>
                <w:sz w:val="13"/>
              </w:rPr>
              <w:t>Minerva</w:t>
            </w:r>
          </w:p>
        </w:tc>
        <w:tc>
          <w:tcPr>
            <w:tcW w:type="dxa" w:w="1250"/>
          </w:tcPr>
          <w:p>
            <w:pPr>
              <w:keepLines/>
              <w:spacing w:after="0" w:line="276" w:lineRule="auto"/>
            </w:pPr>
            <w:r>
              <w:rPr>
                <w:rFonts w:ascii="Calibri" w:hAnsi="Calibri" w:eastAsia="Microsoft YaHei"/>
                <w:color w:val="0B2545"/>
                <w:sz w:val="13"/>
              </w:rPr>
              <w:t>not-public</w:t>
            </w:r>
          </w:p>
        </w:tc>
        <w:tc>
          <w:tcPr>
            <w:tcW w:type="dxa" w:w="1050"/>
          </w:tcPr>
          <w:p>
            <w:pPr>
              <w:keepLines/>
              <w:spacing w:after="0" w:line="276" w:lineRule="auto"/>
            </w:pPr>
            <w:r>
              <w:rPr>
                <w:rFonts w:ascii="Calibri" w:hAnsi="Calibri" w:eastAsia="Microsoft YaHei"/>
                <w:color w:val="0B2545"/>
                <w:sz w:val="13"/>
              </w:rPr>
              <w:t>source-code</w:t>
            </w:r>
          </w:p>
        </w:tc>
        <w:tc>
          <w:tcPr>
            <w:tcW w:type="dxa" w:w="900"/>
          </w:tcPr>
          <w:p>
            <w:pPr>
              <w:keepLines/>
              <w:spacing w:after="0" w:line="276" w:lineRule="auto"/>
            </w:pPr>
            <w:r>
              <w:rPr>
                <w:rFonts w:ascii="Calibri" w:hAnsi="Calibri" w:eastAsia="Microsoft YaHei"/>
                <w:color w:val="0B2545"/>
                <w:sz w:val="13"/>
              </w:rPr>
              <w:t>not-public</w:t>
            </w:r>
          </w:p>
        </w:tc>
        <w:tc>
          <w:tcPr>
            <w:tcW w:type="dxa" w:w="2600"/>
          </w:tcPr>
          <w:p>
            <w:pPr>
              <w:keepLines/>
              <w:spacing w:after="0" w:line="276" w:lineRule="auto"/>
            </w:pPr>
            <w:r>
              <w:rPr>
                <w:rFonts w:ascii="Calibri" w:hAnsi="Calibri" w:eastAsia="Microsoft YaHei"/>
                <w:color w:val="0B2545"/>
                <w:sz w:val="13"/>
              </w:rPr>
              <w:t>未核验到项目团队公开的完整通用框架仓库。</w:t>
            </w:r>
          </w:p>
        </w:tc>
        <w:tc>
          <w:tcPr>
            <w:tcW w:type="dxa" w:w="2160"/>
          </w:tcPr>
          <w:p>
            <w:pPr>
              <w:keepLines/>
              <w:spacing w:after="0" w:line="276" w:lineRule="auto"/>
            </w:pPr>
            <w:r>
              <w:rPr>
                <w:rFonts w:ascii="Calibri" w:hAnsi="Calibri" w:eastAsia="Microsoft YaHei"/>
                <w:color w:val="0B2545"/>
                <w:sz w:val="13"/>
              </w:rPr>
              <w:t>未公开</w:t>
            </w:r>
          </w:p>
        </w:tc>
      </w:tr>
      <w:tr>
        <w:trPr>
          <w:cantSplit/>
        </w:trPr>
        <w:tc>
          <w:tcPr>
            <w:tcW w:type="dxa" w:w="1400"/>
          </w:tcPr>
          <w:p>
            <w:pPr>
              <w:keepLines/>
              <w:spacing w:after="0" w:line="276" w:lineRule="auto"/>
            </w:pPr>
            <w:r>
              <w:rPr>
                <w:rFonts w:ascii="Calibri" w:hAnsi="Calibri" w:eastAsia="Microsoft YaHei"/>
                <w:color w:val="0B2545"/>
                <w:sz w:val="13"/>
              </w:rPr>
              <w:t>ASDEX Upgrade IDA/Minerva workflow</w:t>
            </w:r>
          </w:p>
        </w:tc>
        <w:tc>
          <w:tcPr>
            <w:tcW w:type="dxa" w:w="1250"/>
          </w:tcPr>
          <w:p>
            <w:pPr>
              <w:keepLines/>
              <w:spacing w:after="0" w:line="276" w:lineRule="auto"/>
            </w:pPr>
            <w:r>
              <w:rPr>
                <w:rFonts w:ascii="Calibri" w:hAnsi="Calibri" w:eastAsia="Microsoft YaHei"/>
                <w:color w:val="0B2545"/>
                <w:sz w:val="13"/>
              </w:rPr>
              <w:t>not-public</w:t>
            </w:r>
          </w:p>
        </w:tc>
        <w:tc>
          <w:tcPr>
            <w:tcW w:type="dxa" w:w="1050"/>
          </w:tcPr>
          <w:p>
            <w:pPr>
              <w:keepLines/>
              <w:spacing w:after="0" w:line="276" w:lineRule="auto"/>
            </w:pPr>
            <w:r>
              <w:rPr>
                <w:rFonts w:ascii="Calibri" w:hAnsi="Calibri" w:eastAsia="Microsoft YaHei"/>
                <w:color w:val="0B2545"/>
                <w:sz w:val="13"/>
              </w:rPr>
              <w:t>source-code</w:t>
            </w:r>
          </w:p>
        </w:tc>
        <w:tc>
          <w:tcPr>
            <w:tcW w:type="dxa" w:w="900"/>
          </w:tcPr>
          <w:p>
            <w:pPr>
              <w:keepLines/>
              <w:spacing w:after="0" w:line="276" w:lineRule="auto"/>
            </w:pPr>
            <w:r>
              <w:rPr>
                <w:rFonts w:ascii="Calibri" w:hAnsi="Calibri" w:eastAsia="Microsoft YaHei"/>
                <w:color w:val="0B2545"/>
                <w:sz w:val="13"/>
              </w:rPr>
              <w:t>not-public</w:t>
            </w:r>
          </w:p>
        </w:tc>
        <w:tc>
          <w:tcPr>
            <w:tcW w:type="dxa" w:w="2600"/>
          </w:tcPr>
          <w:p>
            <w:pPr>
              <w:keepLines/>
              <w:spacing w:after="0" w:line="276" w:lineRule="auto"/>
            </w:pPr>
            <w:r>
              <w:rPr>
                <w:rFonts w:ascii="Calibri" w:hAnsi="Calibri" w:eastAsia="Microsoft YaHei"/>
                <w:color w:val="0B2545"/>
                <w:sz w:val="13"/>
              </w:rPr>
              <w:t>装置专用集成分析工作流未发现公共生产仓库。</w:t>
            </w:r>
          </w:p>
        </w:tc>
        <w:tc>
          <w:tcPr>
            <w:tcW w:type="dxa" w:w="2160"/>
          </w:tcPr>
          <w:p>
            <w:pPr>
              <w:keepLines/>
              <w:spacing w:after="0" w:line="276" w:lineRule="auto"/>
            </w:pPr>
            <w:r>
              <w:rPr>
                <w:rFonts w:ascii="Calibri" w:hAnsi="Calibri" w:eastAsia="Microsoft YaHei"/>
                <w:color w:val="0B2545"/>
                <w:sz w:val="13"/>
              </w:rPr>
              <w:t>未公开</w:t>
            </w:r>
          </w:p>
        </w:tc>
      </w:tr>
      <w:tr>
        <w:trPr>
          <w:cantSplit/>
        </w:trPr>
        <w:tc>
          <w:tcPr>
            <w:tcW w:type="dxa" w:w="1400"/>
          </w:tcPr>
          <w:p>
            <w:pPr>
              <w:keepLines/>
              <w:spacing w:after="0" w:line="276" w:lineRule="auto"/>
            </w:pPr>
            <w:r>
              <w:rPr>
                <w:rFonts w:ascii="Calibri" w:hAnsi="Calibri" w:eastAsia="Microsoft YaHei"/>
                <w:color w:val="0B2545"/>
                <w:sz w:val="13"/>
              </w:rPr>
              <w:t>JET Minerva microwave workflow</w:t>
            </w:r>
          </w:p>
        </w:tc>
        <w:tc>
          <w:tcPr>
            <w:tcW w:type="dxa" w:w="1250"/>
          </w:tcPr>
          <w:p>
            <w:pPr>
              <w:keepLines/>
              <w:spacing w:after="0" w:line="276" w:lineRule="auto"/>
            </w:pPr>
            <w:r>
              <w:rPr>
                <w:rFonts w:ascii="Calibri" w:hAnsi="Calibri" w:eastAsia="Microsoft YaHei"/>
                <w:color w:val="0B2545"/>
                <w:sz w:val="13"/>
              </w:rPr>
              <w:t>not-public</w:t>
            </w:r>
          </w:p>
        </w:tc>
        <w:tc>
          <w:tcPr>
            <w:tcW w:type="dxa" w:w="1050"/>
          </w:tcPr>
          <w:p>
            <w:pPr>
              <w:keepLines/>
              <w:spacing w:after="0" w:line="276" w:lineRule="auto"/>
            </w:pPr>
            <w:r>
              <w:rPr>
                <w:rFonts w:ascii="Calibri" w:hAnsi="Calibri" w:eastAsia="Microsoft YaHei"/>
                <w:color w:val="0B2545"/>
                <w:sz w:val="13"/>
              </w:rPr>
              <w:t>source-code</w:t>
            </w:r>
          </w:p>
        </w:tc>
        <w:tc>
          <w:tcPr>
            <w:tcW w:type="dxa" w:w="900"/>
          </w:tcPr>
          <w:p>
            <w:pPr>
              <w:keepLines/>
              <w:spacing w:after="0" w:line="276" w:lineRule="auto"/>
            </w:pPr>
            <w:r>
              <w:rPr>
                <w:rFonts w:ascii="Calibri" w:hAnsi="Calibri" w:eastAsia="Microsoft YaHei"/>
                <w:color w:val="0B2545"/>
                <w:sz w:val="13"/>
              </w:rPr>
              <w:t>not-public</w:t>
            </w:r>
          </w:p>
        </w:tc>
        <w:tc>
          <w:tcPr>
            <w:tcW w:type="dxa" w:w="2600"/>
          </w:tcPr>
          <w:p>
            <w:pPr>
              <w:keepLines/>
              <w:spacing w:after="0" w:line="276" w:lineRule="auto"/>
            </w:pPr>
            <w:r>
              <w:rPr>
                <w:rFonts w:ascii="Calibri" w:hAnsi="Calibri" w:eastAsia="Microsoft YaHei"/>
                <w:color w:val="0B2545"/>
                <w:sz w:val="13"/>
              </w:rPr>
              <w:t>论文所用联合推断与装置接口未公开。</w:t>
            </w:r>
          </w:p>
        </w:tc>
        <w:tc>
          <w:tcPr>
            <w:tcW w:type="dxa" w:w="2160"/>
          </w:tcPr>
          <w:p>
            <w:pPr>
              <w:keepLines/>
              <w:spacing w:after="0" w:line="276" w:lineRule="auto"/>
            </w:pPr>
            <w:r>
              <w:rPr>
                <w:rFonts w:ascii="Calibri" w:hAnsi="Calibri" w:eastAsia="Microsoft YaHei"/>
                <w:color w:val="0B2545"/>
                <w:sz w:val="13"/>
              </w:rPr>
              <w:t>未公开</w:t>
            </w:r>
          </w:p>
        </w:tc>
      </w:tr>
      <w:tr>
        <w:trPr>
          <w:cantSplit/>
        </w:trPr>
        <w:tc>
          <w:tcPr>
            <w:tcW w:type="dxa" w:w="1400"/>
          </w:tcPr>
          <w:p>
            <w:pPr>
              <w:keepLines/>
              <w:spacing w:after="0" w:line="276" w:lineRule="auto"/>
            </w:pPr>
            <w:r>
              <w:rPr>
                <w:rFonts w:ascii="Calibri" w:hAnsi="Calibri" w:eastAsia="Microsoft YaHei"/>
                <w:color w:val="0B2545"/>
                <w:sz w:val="13"/>
              </w:rPr>
              <w:t>SPECE</w:t>
            </w:r>
          </w:p>
        </w:tc>
        <w:tc>
          <w:tcPr>
            <w:tcW w:type="dxa" w:w="1250"/>
          </w:tcPr>
          <w:p>
            <w:pPr>
              <w:keepLines/>
              <w:spacing w:after="0" w:line="276" w:lineRule="auto"/>
            </w:pPr>
            <w:r>
              <w:rPr>
                <w:rFonts w:ascii="Calibri" w:hAnsi="Calibri" w:eastAsia="Microsoft YaHei"/>
                <w:color w:val="0B2545"/>
                <w:sz w:val="13"/>
              </w:rPr>
              <w:t>not-public</w:t>
            </w:r>
          </w:p>
        </w:tc>
        <w:tc>
          <w:tcPr>
            <w:tcW w:type="dxa" w:w="1050"/>
          </w:tcPr>
          <w:p>
            <w:pPr>
              <w:keepLines/>
              <w:spacing w:after="0" w:line="276" w:lineRule="auto"/>
            </w:pPr>
            <w:r>
              <w:rPr>
                <w:rFonts w:ascii="Calibri" w:hAnsi="Calibri" w:eastAsia="Microsoft YaHei"/>
                <w:color w:val="0B2545"/>
                <w:sz w:val="13"/>
              </w:rPr>
              <w:t>source-code</w:t>
            </w:r>
          </w:p>
        </w:tc>
        <w:tc>
          <w:tcPr>
            <w:tcW w:type="dxa" w:w="900"/>
          </w:tcPr>
          <w:p>
            <w:pPr>
              <w:keepLines/>
              <w:spacing w:after="0" w:line="276" w:lineRule="auto"/>
            </w:pPr>
            <w:r>
              <w:rPr>
                <w:rFonts w:ascii="Calibri" w:hAnsi="Calibri" w:eastAsia="Microsoft YaHei"/>
                <w:color w:val="0B2545"/>
                <w:sz w:val="13"/>
              </w:rPr>
              <w:t>not-public</w:t>
            </w:r>
          </w:p>
        </w:tc>
        <w:tc>
          <w:tcPr>
            <w:tcW w:type="dxa" w:w="2600"/>
          </w:tcPr>
          <w:p>
            <w:pPr>
              <w:keepLines/>
              <w:spacing w:after="0" w:line="276" w:lineRule="auto"/>
            </w:pPr>
            <w:r>
              <w:rPr>
                <w:rFonts w:ascii="Calibri" w:hAnsi="Calibri" w:eastAsia="Microsoft YaHei"/>
                <w:color w:val="0B2545"/>
                <w:sz w:val="13"/>
              </w:rPr>
              <w:t>ECE 前向模型作为 enabling 组件；未核验公共仓库。</w:t>
            </w:r>
          </w:p>
        </w:tc>
        <w:tc>
          <w:tcPr>
            <w:tcW w:type="dxa" w:w="2160"/>
          </w:tcPr>
          <w:p>
            <w:pPr>
              <w:keepLines/>
              <w:spacing w:after="0" w:line="276" w:lineRule="auto"/>
            </w:pPr>
            <w:r>
              <w:rPr>
                <w:rFonts w:ascii="Calibri" w:hAnsi="Calibri" w:eastAsia="Microsoft YaHei"/>
                <w:color w:val="0B2545"/>
                <w:sz w:val="13"/>
              </w:rPr>
              <w:t>未公开</w:t>
            </w:r>
          </w:p>
        </w:tc>
      </w:tr>
      <w:tr>
        <w:trPr>
          <w:cantSplit/>
        </w:trPr>
        <w:tc>
          <w:tcPr>
            <w:tcW w:type="dxa" w:w="1400"/>
          </w:tcPr>
          <w:p>
            <w:pPr>
              <w:keepLines/>
              <w:spacing w:after="0" w:line="276" w:lineRule="auto"/>
            </w:pPr>
            <w:r>
              <w:rPr>
                <w:rFonts w:ascii="Calibri" w:hAnsi="Calibri" w:eastAsia="Microsoft YaHei"/>
                <w:color w:val="0B2545"/>
                <w:sz w:val="13"/>
              </w:rPr>
              <w:t>Tomotok</w:t>
            </w:r>
          </w:p>
        </w:tc>
        <w:tc>
          <w:tcPr>
            <w:tcW w:type="dxa" w:w="1250"/>
          </w:tcPr>
          <w:p>
            <w:pPr>
              <w:keepLines/>
              <w:spacing w:after="0" w:line="276" w:lineRule="auto"/>
            </w:pPr>
            <w:r>
              <w:rPr>
                <w:rFonts w:ascii="Calibri" w:hAnsi="Calibri" w:eastAsia="Microsoft YaHei"/>
                <w:color w:val="0B2545"/>
                <w:sz w:val="13"/>
              </w:rPr>
              <w:t>official-direct</w:t>
            </w:r>
          </w:p>
        </w:tc>
        <w:tc>
          <w:tcPr>
            <w:tcW w:type="dxa" w:w="1050"/>
          </w:tcPr>
          <w:p>
            <w:pPr>
              <w:keepLines/>
              <w:spacing w:after="0" w:line="276" w:lineRule="auto"/>
            </w:pPr>
            <w:r>
              <w:rPr>
                <w:rFonts w:ascii="Calibri" w:hAnsi="Calibri" w:eastAsia="Microsoft YaHei"/>
                <w:color w:val="0B2545"/>
                <w:sz w:val="13"/>
              </w:rPr>
              <w:t>source-code</w:t>
            </w:r>
          </w:p>
        </w:tc>
        <w:tc>
          <w:tcPr>
            <w:tcW w:type="dxa" w:w="900"/>
          </w:tcPr>
          <w:p>
            <w:pPr>
              <w:keepLines/>
              <w:spacing w:after="0" w:line="276" w:lineRule="auto"/>
            </w:pPr>
            <w:r>
              <w:rPr>
                <w:rFonts w:ascii="Calibri" w:hAnsi="Calibri" w:eastAsia="Microsoft YaHei"/>
                <w:color w:val="0B2545"/>
                <w:sz w:val="13"/>
              </w:rPr>
              <w:t>public</w:t>
            </w:r>
          </w:p>
        </w:tc>
        <w:tc>
          <w:tcPr>
            <w:tcW w:type="dxa" w:w="2600"/>
          </w:tcPr>
          <w:p>
            <w:pPr>
              <w:keepLines/>
              <w:spacing w:after="0" w:line="276" w:lineRule="auto"/>
            </w:pPr>
            <w:r>
              <w:rPr>
                <w:rFonts w:ascii="Calibri" w:hAnsi="Calibri" w:eastAsia="Microsoft YaHei"/>
                <w:color w:val="0B2545"/>
                <w:sz w:val="13"/>
              </w:rPr>
              <w:t>作者团队公开的核心仓库。</w:t>
            </w:r>
          </w:p>
        </w:tc>
        <w:tc>
          <w:tcPr>
            <w:tcW w:type="dxa" w:w="2160"/>
          </w:tcPr>
          <w:p>
            <w:pPr>
              <w:keepLines/>
              <w:spacing w:after="0" w:line="276" w:lineRule="auto"/>
            </w:pPr>
            <w:hyperlink r:id="rId201">
              <w:r>
                <w:rPr>
                  <w:rFonts w:ascii="Calibri" w:hAnsi="Calibri" w:eastAsia="Microsoft YaHei"/>
                  <w:color w:val="008C95"/>
                  <w:u w:val="single"/>
                </w:rPr>
                <w:t>打开原始来源 ↗</w:t>
              </w:r>
            </w:hyperlink>
          </w:p>
        </w:tc>
      </w:tr>
      <w:tr>
        <w:trPr>
          <w:cantSplit/>
        </w:trPr>
        <w:tc>
          <w:tcPr>
            <w:tcW w:type="dxa" w:w="1400"/>
          </w:tcPr>
          <w:p>
            <w:pPr>
              <w:keepLines/>
              <w:spacing w:after="0" w:line="276" w:lineRule="auto"/>
            </w:pPr>
            <w:r>
              <w:rPr>
                <w:rFonts w:ascii="Calibri" w:hAnsi="Calibri" w:eastAsia="Microsoft YaHei"/>
                <w:color w:val="0B2545"/>
                <w:sz w:val="13"/>
              </w:rPr>
              <w:t>Fast-ion velocity-space tomography workflow</w:t>
            </w:r>
          </w:p>
        </w:tc>
        <w:tc>
          <w:tcPr>
            <w:tcW w:type="dxa" w:w="1250"/>
          </w:tcPr>
          <w:p>
            <w:pPr>
              <w:keepLines/>
              <w:spacing w:after="0" w:line="276" w:lineRule="auto"/>
            </w:pPr>
            <w:r>
              <w:rPr>
                <w:rFonts w:ascii="Calibri" w:hAnsi="Calibri" w:eastAsia="Microsoft YaHei"/>
                <w:color w:val="0B2545"/>
                <w:sz w:val="13"/>
              </w:rPr>
              <w:t>not-public</w:t>
            </w:r>
          </w:p>
        </w:tc>
        <w:tc>
          <w:tcPr>
            <w:tcW w:type="dxa" w:w="1050"/>
          </w:tcPr>
          <w:p>
            <w:pPr>
              <w:keepLines/>
              <w:spacing w:after="0" w:line="276" w:lineRule="auto"/>
            </w:pPr>
            <w:r>
              <w:rPr>
                <w:rFonts w:ascii="Calibri" w:hAnsi="Calibri" w:eastAsia="Microsoft YaHei"/>
                <w:color w:val="0B2545"/>
                <w:sz w:val="13"/>
              </w:rPr>
              <w:t>source-code</w:t>
            </w:r>
          </w:p>
        </w:tc>
        <w:tc>
          <w:tcPr>
            <w:tcW w:type="dxa" w:w="900"/>
          </w:tcPr>
          <w:p>
            <w:pPr>
              <w:keepLines/>
              <w:spacing w:after="0" w:line="276" w:lineRule="auto"/>
            </w:pPr>
            <w:r>
              <w:rPr>
                <w:rFonts w:ascii="Calibri" w:hAnsi="Calibri" w:eastAsia="Microsoft YaHei"/>
                <w:color w:val="0B2545"/>
                <w:sz w:val="13"/>
              </w:rPr>
              <w:t>not-public</w:t>
            </w:r>
          </w:p>
        </w:tc>
        <w:tc>
          <w:tcPr>
            <w:tcW w:type="dxa" w:w="2600"/>
          </w:tcPr>
          <w:p>
            <w:pPr>
              <w:keepLines/>
              <w:spacing w:after="0" w:line="276" w:lineRule="auto"/>
            </w:pPr>
            <w:r>
              <w:rPr>
                <w:rFonts w:ascii="Calibri" w:hAnsi="Calibri" w:eastAsia="Microsoft YaHei"/>
                <w:color w:val="0B2545"/>
                <w:sz w:val="13"/>
              </w:rPr>
              <w:t>论文专用代码未发现官方公共仓库。</w:t>
            </w:r>
          </w:p>
        </w:tc>
        <w:tc>
          <w:tcPr>
            <w:tcW w:type="dxa" w:w="2160"/>
          </w:tcPr>
          <w:p>
            <w:pPr>
              <w:keepLines/>
              <w:spacing w:after="0" w:line="276" w:lineRule="auto"/>
            </w:pPr>
            <w:r>
              <w:rPr>
                <w:rFonts w:ascii="Calibri" w:hAnsi="Calibri" w:eastAsia="Microsoft YaHei"/>
                <w:color w:val="0B2545"/>
                <w:sz w:val="13"/>
              </w:rPr>
              <w:t>未公开</w:t>
            </w:r>
          </w:p>
        </w:tc>
      </w:tr>
      <w:tr>
        <w:trPr>
          <w:cantSplit/>
        </w:trPr>
        <w:tc>
          <w:tcPr>
            <w:tcW w:type="dxa" w:w="1400"/>
          </w:tcPr>
          <w:p>
            <w:pPr>
              <w:keepLines/>
              <w:spacing w:after="0" w:line="276" w:lineRule="auto"/>
            </w:pPr>
            <w:r>
              <w:rPr>
                <w:rFonts w:ascii="Calibri" w:hAnsi="Calibri" w:eastAsia="Microsoft YaHei"/>
                <w:color w:val="0B2545"/>
                <w:sz w:val="13"/>
              </w:rPr>
              <w:t>FIDASIM</w:t>
            </w:r>
          </w:p>
        </w:tc>
        <w:tc>
          <w:tcPr>
            <w:tcW w:type="dxa" w:w="1250"/>
          </w:tcPr>
          <w:p>
            <w:pPr>
              <w:keepLines/>
              <w:spacing w:after="0" w:line="276" w:lineRule="auto"/>
            </w:pPr>
            <w:r>
              <w:rPr>
                <w:rFonts w:ascii="Calibri" w:hAnsi="Calibri" w:eastAsia="Microsoft YaHei"/>
                <w:color w:val="0B2545"/>
                <w:sz w:val="13"/>
              </w:rPr>
              <w:t>official-enabling</w:t>
            </w:r>
          </w:p>
        </w:tc>
        <w:tc>
          <w:tcPr>
            <w:tcW w:type="dxa" w:w="1050"/>
          </w:tcPr>
          <w:p>
            <w:pPr>
              <w:keepLines/>
              <w:spacing w:after="0" w:line="276" w:lineRule="auto"/>
            </w:pPr>
            <w:r>
              <w:rPr>
                <w:rFonts w:ascii="Calibri" w:hAnsi="Calibri" w:eastAsia="Microsoft YaHei"/>
                <w:color w:val="0B2545"/>
                <w:sz w:val="13"/>
              </w:rPr>
              <w:t>source-code</w:t>
            </w:r>
          </w:p>
        </w:tc>
        <w:tc>
          <w:tcPr>
            <w:tcW w:type="dxa" w:w="900"/>
          </w:tcPr>
          <w:p>
            <w:pPr>
              <w:keepLines/>
              <w:spacing w:after="0" w:line="276" w:lineRule="auto"/>
            </w:pPr>
            <w:r>
              <w:rPr>
                <w:rFonts w:ascii="Calibri" w:hAnsi="Calibri" w:eastAsia="Microsoft YaHei"/>
                <w:color w:val="0B2545"/>
                <w:sz w:val="13"/>
              </w:rPr>
              <w:t>public</w:t>
            </w:r>
          </w:p>
        </w:tc>
        <w:tc>
          <w:tcPr>
            <w:tcW w:type="dxa" w:w="2600"/>
          </w:tcPr>
          <w:p>
            <w:pPr>
              <w:keepLines/>
              <w:spacing w:after="0" w:line="276" w:lineRule="auto"/>
            </w:pPr>
            <w:r>
              <w:rPr>
                <w:rFonts w:ascii="Calibri" w:hAnsi="Calibri" w:eastAsia="Microsoft YaHei"/>
                <w:color w:val="0B2545"/>
                <w:sz w:val="13"/>
              </w:rPr>
              <w:t>可生成 FIDA 权重/前向响应，但不是联合层析求解器。</w:t>
            </w:r>
          </w:p>
        </w:tc>
        <w:tc>
          <w:tcPr>
            <w:tcW w:type="dxa" w:w="2160"/>
          </w:tcPr>
          <w:p>
            <w:pPr>
              <w:keepLines/>
              <w:spacing w:after="0" w:line="276" w:lineRule="auto"/>
            </w:pPr>
            <w:hyperlink r:id="rId66">
              <w:r>
                <w:rPr>
                  <w:rFonts w:ascii="Calibri" w:hAnsi="Calibri" w:eastAsia="Microsoft YaHei"/>
                  <w:color w:val="008C95"/>
                  <w:u w:val="single"/>
                </w:rPr>
                <w:t>打开原始来源 ↗</w:t>
              </w:r>
            </w:hyperlink>
          </w:p>
        </w:tc>
      </w:tr>
      <w:tr>
        <w:trPr>
          <w:cantSplit/>
        </w:trPr>
        <w:tc>
          <w:tcPr>
            <w:tcW w:type="dxa" w:w="1400"/>
          </w:tcPr>
          <w:p>
            <w:pPr>
              <w:keepLines/>
              <w:spacing w:after="0" w:line="276" w:lineRule="auto"/>
            </w:pPr>
            <w:r>
              <w:rPr>
                <w:rFonts w:ascii="Calibri" w:hAnsi="Calibri" w:eastAsia="Microsoft YaHei"/>
                <w:color w:val="0B2545"/>
                <w:sz w:val="13"/>
              </w:rPr>
              <w:t>BITE</w:t>
            </w:r>
          </w:p>
        </w:tc>
        <w:tc>
          <w:tcPr>
            <w:tcW w:type="dxa" w:w="1250"/>
          </w:tcPr>
          <w:p>
            <w:pPr>
              <w:keepLines/>
              <w:spacing w:after="0" w:line="276" w:lineRule="auto"/>
            </w:pPr>
            <w:r>
              <w:rPr>
                <w:rFonts w:ascii="Calibri" w:hAnsi="Calibri" w:eastAsia="Microsoft YaHei"/>
                <w:color w:val="0B2545"/>
                <w:sz w:val="13"/>
              </w:rPr>
              <w:t>not-public</w:t>
            </w:r>
          </w:p>
        </w:tc>
        <w:tc>
          <w:tcPr>
            <w:tcW w:type="dxa" w:w="1050"/>
          </w:tcPr>
          <w:p>
            <w:pPr>
              <w:keepLines/>
              <w:spacing w:after="0" w:line="276" w:lineRule="auto"/>
            </w:pPr>
            <w:r>
              <w:rPr>
                <w:rFonts w:ascii="Calibri" w:hAnsi="Calibri" w:eastAsia="Microsoft YaHei"/>
                <w:color w:val="0B2545"/>
                <w:sz w:val="13"/>
              </w:rPr>
              <w:t>source-code</w:t>
            </w:r>
          </w:p>
        </w:tc>
        <w:tc>
          <w:tcPr>
            <w:tcW w:type="dxa" w:w="900"/>
          </w:tcPr>
          <w:p>
            <w:pPr>
              <w:keepLines/>
              <w:spacing w:after="0" w:line="276" w:lineRule="auto"/>
            </w:pPr>
            <w:r>
              <w:rPr>
                <w:rFonts w:ascii="Calibri" w:hAnsi="Calibri" w:eastAsia="Microsoft YaHei"/>
                <w:color w:val="0B2545"/>
                <w:sz w:val="13"/>
              </w:rPr>
              <w:t>not-public</w:t>
            </w:r>
          </w:p>
        </w:tc>
        <w:tc>
          <w:tcPr>
            <w:tcW w:type="dxa" w:w="2600"/>
          </w:tcPr>
          <w:p>
            <w:pPr>
              <w:keepLines/>
              <w:spacing w:after="0" w:line="276" w:lineRule="auto"/>
            </w:pPr>
            <w:r>
              <w:rPr>
                <w:rFonts w:ascii="Calibri" w:hAnsi="Calibri" w:eastAsia="Microsoft YaHei"/>
                <w:color w:val="0B2545"/>
                <w:sz w:val="13"/>
              </w:rPr>
              <w:t>论文所述完整 Bayesian Impurity Transport InferencE 工作流未核验到公共仓库。</w:t>
            </w:r>
          </w:p>
        </w:tc>
        <w:tc>
          <w:tcPr>
            <w:tcW w:type="dxa" w:w="2160"/>
          </w:tcPr>
          <w:p>
            <w:pPr>
              <w:keepLines/>
              <w:spacing w:after="0" w:line="276" w:lineRule="auto"/>
            </w:pPr>
            <w:r>
              <w:rPr>
                <w:rFonts w:ascii="Calibri" w:hAnsi="Calibri" w:eastAsia="Microsoft YaHei"/>
                <w:color w:val="0B2545"/>
                <w:sz w:val="13"/>
              </w:rPr>
              <w:t>未公开</w:t>
            </w:r>
          </w:p>
        </w:tc>
      </w:tr>
      <w:tr>
        <w:trPr>
          <w:cantSplit/>
        </w:trPr>
        <w:tc>
          <w:tcPr>
            <w:tcW w:type="dxa" w:w="1400"/>
          </w:tcPr>
          <w:p>
            <w:pPr>
              <w:keepLines/>
              <w:spacing w:after="0" w:line="276" w:lineRule="auto"/>
            </w:pPr>
            <w:r>
              <w:rPr>
                <w:rFonts w:ascii="Calibri" w:hAnsi="Calibri" w:eastAsia="Microsoft YaHei"/>
                <w:color w:val="0B2545"/>
                <w:sz w:val="13"/>
              </w:rPr>
              <w:t>Aurora</w:t>
            </w:r>
          </w:p>
        </w:tc>
        <w:tc>
          <w:tcPr>
            <w:tcW w:type="dxa" w:w="1250"/>
          </w:tcPr>
          <w:p>
            <w:pPr>
              <w:keepLines/>
              <w:spacing w:after="0" w:line="276" w:lineRule="auto"/>
            </w:pPr>
            <w:r>
              <w:rPr>
                <w:rFonts w:ascii="Calibri" w:hAnsi="Calibri" w:eastAsia="Microsoft YaHei"/>
                <w:color w:val="0B2545"/>
                <w:sz w:val="13"/>
              </w:rPr>
              <w:t>official-enabling</w:t>
            </w:r>
          </w:p>
        </w:tc>
        <w:tc>
          <w:tcPr>
            <w:tcW w:type="dxa" w:w="1050"/>
          </w:tcPr>
          <w:p>
            <w:pPr>
              <w:keepLines/>
              <w:spacing w:after="0" w:line="276" w:lineRule="auto"/>
            </w:pPr>
            <w:r>
              <w:rPr>
                <w:rFonts w:ascii="Calibri" w:hAnsi="Calibri" w:eastAsia="Microsoft YaHei"/>
                <w:color w:val="0B2545"/>
                <w:sz w:val="13"/>
              </w:rPr>
              <w:t>source-code</w:t>
            </w:r>
          </w:p>
        </w:tc>
        <w:tc>
          <w:tcPr>
            <w:tcW w:type="dxa" w:w="900"/>
          </w:tcPr>
          <w:p>
            <w:pPr>
              <w:keepLines/>
              <w:spacing w:after="0" w:line="276" w:lineRule="auto"/>
            </w:pPr>
            <w:r>
              <w:rPr>
                <w:rFonts w:ascii="Calibri" w:hAnsi="Calibri" w:eastAsia="Microsoft YaHei"/>
                <w:color w:val="0B2545"/>
                <w:sz w:val="13"/>
              </w:rPr>
              <w:t>public</w:t>
            </w:r>
          </w:p>
        </w:tc>
        <w:tc>
          <w:tcPr>
            <w:tcW w:type="dxa" w:w="2600"/>
          </w:tcPr>
          <w:p>
            <w:pPr>
              <w:keepLines/>
              <w:spacing w:after="0" w:line="276" w:lineRule="auto"/>
            </w:pPr>
            <w:r>
              <w:rPr>
                <w:rFonts w:ascii="Calibri" w:hAnsi="Calibri" w:eastAsia="Microsoft YaHei"/>
                <w:color w:val="0B2545"/>
                <w:sz w:val="13"/>
              </w:rPr>
              <w:t>作者团队的杂质输运/原子前向模型库；不是 BITE 采样与模型选择本体。</w:t>
            </w:r>
          </w:p>
        </w:tc>
        <w:tc>
          <w:tcPr>
            <w:tcW w:type="dxa" w:w="2160"/>
          </w:tcPr>
          <w:p>
            <w:pPr>
              <w:keepLines/>
              <w:spacing w:after="0" w:line="276" w:lineRule="auto"/>
            </w:pPr>
            <w:hyperlink r:id="rId205">
              <w:r>
                <w:rPr>
                  <w:rFonts w:ascii="Calibri" w:hAnsi="Calibri" w:eastAsia="Microsoft YaHei"/>
                  <w:color w:val="008C95"/>
                  <w:u w:val="single"/>
                </w:rPr>
                <w:t>打开原始来源 ↗</w:t>
              </w:r>
            </w:hyperlink>
          </w:p>
        </w:tc>
      </w:tr>
      <w:tr>
        <w:trPr>
          <w:cantSplit/>
        </w:trPr>
        <w:tc>
          <w:tcPr>
            <w:tcW w:type="dxa" w:w="1400"/>
          </w:tcPr>
          <w:p>
            <w:pPr>
              <w:keepLines/>
              <w:spacing w:after="0" w:line="276" w:lineRule="auto"/>
            </w:pPr>
            <w:r>
              <w:rPr>
                <w:rFonts w:ascii="Calibri" w:hAnsi="Calibri" w:eastAsia="Microsoft YaHei"/>
                <w:color w:val="0B2545"/>
                <w:sz w:val="13"/>
              </w:rPr>
              <w:t>InDiCA</w:t>
            </w:r>
          </w:p>
        </w:tc>
        <w:tc>
          <w:tcPr>
            <w:tcW w:type="dxa" w:w="1250"/>
          </w:tcPr>
          <w:p>
            <w:pPr>
              <w:keepLines/>
              <w:spacing w:after="0" w:line="276" w:lineRule="auto"/>
            </w:pPr>
            <w:r>
              <w:rPr>
                <w:rFonts w:ascii="Calibri" w:hAnsi="Calibri" w:eastAsia="Microsoft YaHei"/>
                <w:color w:val="0B2545"/>
                <w:sz w:val="13"/>
              </w:rPr>
              <w:t>official-direct</w:t>
            </w:r>
          </w:p>
        </w:tc>
        <w:tc>
          <w:tcPr>
            <w:tcW w:type="dxa" w:w="1050"/>
          </w:tcPr>
          <w:p>
            <w:pPr>
              <w:keepLines/>
              <w:spacing w:after="0" w:line="276" w:lineRule="auto"/>
            </w:pPr>
            <w:r>
              <w:rPr>
                <w:rFonts w:ascii="Calibri" w:hAnsi="Calibri" w:eastAsia="Microsoft YaHei"/>
                <w:color w:val="0B2545"/>
                <w:sz w:val="13"/>
              </w:rPr>
              <w:t>source-code</w:t>
            </w:r>
          </w:p>
        </w:tc>
        <w:tc>
          <w:tcPr>
            <w:tcW w:type="dxa" w:w="900"/>
          </w:tcPr>
          <w:p>
            <w:pPr>
              <w:keepLines/>
              <w:spacing w:after="0" w:line="276" w:lineRule="auto"/>
            </w:pPr>
            <w:r>
              <w:rPr>
                <w:rFonts w:ascii="Calibri" w:hAnsi="Calibri" w:eastAsia="Microsoft YaHei"/>
                <w:color w:val="0B2545"/>
                <w:sz w:val="13"/>
              </w:rPr>
              <w:t>public</w:t>
            </w:r>
          </w:p>
        </w:tc>
        <w:tc>
          <w:tcPr>
            <w:tcW w:type="dxa" w:w="2600"/>
          </w:tcPr>
          <w:p>
            <w:pPr>
              <w:keepLines/>
              <w:spacing w:after="0" w:line="276" w:lineRule="auto"/>
            </w:pPr>
            <w:r>
              <w:rPr>
                <w:rFonts w:ascii="Calibri" w:hAnsi="Calibri" w:eastAsia="Microsoft YaHei"/>
                <w:color w:val="0B2545"/>
                <w:sz w:val="13"/>
              </w:rPr>
              <w:t>PyPI verified provenance指向的项目官方公开仓库。</w:t>
            </w:r>
          </w:p>
        </w:tc>
        <w:tc>
          <w:tcPr>
            <w:tcW w:type="dxa" w:w="2160"/>
          </w:tcPr>
          <w:p>
            <w:pPr>
              <w:keepLines/>
              <w:spacing w:after="0" w:line="276" w:lineRule="auto"/>
            </w:pPr>
            <w:hyperlink r:id="rId208">
              <w:r>
                <w:rPr>
                  <w:rFonts w:ascii="Calibri" w:hAnsi="Calibri" w:eastAsia="Microsoft YaHei"/>
                  <w:color w:val="008C95"/>
                  <w:u w:val="single"/>
                </w:rPr>
                <w:t>打开原始来源 ↗</w:t>
              </w:r>
            </w:hyperlink>
          </w:p>
        </w:tc>
      </w:tr>
      <w:tr>
        <w:trPr>
          <w:cantSplit/>
        </w:trPr>
        <w:tc>
          <w:tcPr>
            <w:tcW w:type="dxa" w:w="1400"/>
          </w:tcPr>
          <w:p>
            <w:pPr>
              <w:keepLines/>
              <w:spacing w:after="0" w:line="276" w:lineRule="auto"/>
            </w:pPr>
            <w:r>
              <w:rPr>
                <w:rFonts w:ascii="Calibri" w:hAnsi="Calibri" w:eastAsia="Microsoft YaHei"/>
                <w:color w:val="0B2545"/>
                <w:sz w:val="13"/>
              </w:rPr>
              <w:t>BEAST equilibrium inference code</w:t>
            </w:r>
          </w:p>
        </w:tc>
        <w:tc>
          <w:tcPr>
            <w:tcW w:type="dxa" w:w="1250"/>
          </w:tcPr>
          <w:p>
            <w:pPr>
              <w:keepLines/>
              <w:spacing w:after="0" w:line="276" w:lineRule="auto"/>
            </w:pPr>
            <w:r>
              <w:rPr>
                <w:rFonts w:ascii="Calibri" w:hAnsi="Calibri" w:eastAsia="Microsoft YaHei"/>
                <w:color w:val="0B2545"/>
                <w:sz w:val="13"/>
              </w:rPr>
              <w:t>not-public</w:t>
            </w:r>
          </w:p>
        </w:tc>
        <w:tc>
          <w:tcPr>
            <w:tcW w:type="dxa" w:w="1050"/>
          </w:tcPr>
          <w:p>
            <w:pPr>
              <w:keepLines/>
              <w:spacing w:after="0" w:line="276" w:lineRule="auto"/>
            </w:pPr>
            <w:r>
              <w:rPr>
                <w:rFonts w:ascii="Calibri" w:hAnsi="Calibri" w:eastAsia="Microsoft YaHei"/>
                <w:color w:val="0B2545"/>
                <w:sz w:val="13"/>
              </w:rPr>
              <w:t>source-code</w:t>
            </w:r>
          </w:p>
        </w:tc>
        <w:tc>
          <w:tcPr>
            <w:tcW w:type="dxa" w:w="900"/>
          </w:tcPr>
          <w:p>
            <w:pPr>
              <w:keepLines/>
              <w:spacing w:after="0" w:line="276" w:lineRule="auto"/>
            </w:pPr>
            <w:r>
              <w:rPr>
                <w:rFonts w:ascii="Calibri" w:hAnsi="Calibri" w:eastAsia="Microsoft YaHei"/>
                <w:color w:val="0B2545"/>
                <w:sz w:val="13"/>
              </w:rPr>
              <w:t>not-public</w:t>
            </w:r>
          </w:p>
        </w:tc>
        <w:tc>
          <w:tcPr>
            <w:tcW w:type="dxa" w:w="2600"/>
          </w:tcPr>
          <w:p>
            <w:pPr>
              <w:keepLines/>
              <w:spacing w:after="0" w:line="276" w:lineRule="auto"/>
            </w:pPr>
            <w:r>
              <w:rPr>
                <w:rFonts w:ascii="Calibri" w:hAnsi="Calibri" w:eastAsia="Microsoft YaHei"/>
                <w:color w:val="0B2545"/>
                <w:sz w:val="13"/>
              </w:rPr>
              <w:t>论文实现未发现官方公开仓库。</w:t>
            </w:r>
          </w:p>
        </w:tc>
        <w:tc>
          <w:tcPr>
            <w:tcW w:type="dxa" w:w="2160"/>
          </w:tcPr>
          <w:p>
            <w:pPr>
              <w:keepLines/>
              <w:spacing w:after="0" w:line="276" w:lineRule="auto"/>
            </w:pPr>
            <w:r>
              <w:rPr>
                <w:rFonts w:ascii="Calibri" w:hAnsi="Calibri" w:eastAsia="Microsoft YaHei"/>
                <w:color w:val="0B2545"/>
                <w:sz w:val="13"/>
              </w:rPr>
              <w:t>未公开</w:t>
            </w:r>
          </w:p>
        </w:tc>
      </w:tr>
      <w:tr>
        <w:trPr>
          <w:cantSplit/>
        </w:trPr>
        <w:tc>
          <w:tcPr>
            <w:tcW w:type="dxa" w:w="1400"/>
          </w:tcPr>
          <w:p>
            <w:pPr>
              <w:keepLines/>
              <w:spacing w:after="0" w:line="276" w:lineRule="auto"/>
            </w:pPr>
            <w:r>
              <w:rPr>
                <w:rFonts w:ascii="Calibri" w:hAnsi="Calibri" w:eastAsia="Microsoft YaHei"/>
                <w:color w:val="0B2545"/>
                <w:sz w:val="13"/>
              </w:rPr>
              <w:t>Diag2Diag-SRTS</w:t>
            </w:r>
          </w:p>
        </w:tc>
        <w:tc>
          <w:tcPr>
            <w:tcW w:type="dxa" w:w="1250"/>
          </w:tcPr>
          <w:p>
            <w:pPr>
              <w:keepLines/>
              <w:spacing w:after="0" w:line="276" w:lineRule="auto"/>
            </w:pPr>
            <w:r>
              <w:rPr>
                <w:rFonts w:ascii="Calibri" w:hAnsi="Calibri" w:eastAsia="Microsoft YaHei"/>
                <w:color w:val="0B2545"/>
                <w:sz w:val="13"/>
              </w:rPr>
              <w:t>official-direct</w:t>
            </w:r>
          </w:p>
        </w:tc>
        <w:tc>
          <w:tcPr>
            <w:tcW w:type="dxa" w:w="1050"/>
          </w:tcPr>
          <w:p>
            <w:pPr>
              <w:keepLines/>
              <w:spacing w:after="0" w:line="276" w:lineRule="auto"/>
            </w:pPr>
            <w:r>
              <w:rPr>
                <w:rFonts w:ascii="Calibri" w:hAnsi="Calibri" w:eastAsia="Microsoft YaHei"/>
                <w:color w:val="0B2545"/>
                <w:sz w:val="13"/>
              </w:rPr>
              <w:t>source-code</w:t>
            </w:r>
          </w:p>
        </w:tc>
        <w:tc>
          <w:tcPr>
            <w:tcW w:type="dxa" w:w="900"/>
          </w:tcPr>
          <w:p>
            <w:pPr>
              <w:keepLines/>
              <w:spacing w:after="0" w:line="276" w:lineRule="auto"/>
            </w:pPr>
            <w:r>
              <w:rPr>
                <w:rFonts w:ascii="Calibri" w:hAnsi="Calibri" w:eastAsia="Microsoft YaHei"/>
                <w:color w:val="0B2545"/>
                <w:sz w:val="13"/>
              </w:rPr>
              <w:t>public</w:t>
            </w:r>
          </w:p>
        </w:tc>
        <w:tc>
          <w:tcPr>
            <w:tcW w:type="dxa" w:w="2600"/>
          </w:tcPr>
          <w:p>
            <w:pPr>
              <w:keepLines/>
              <w:spacing w:after="0" w:line="276" w:lineRule="auto"/>
            </w:pPr>
            <w:r>
              <w:rPr>
                <w:rFonts w:ascii="Calibri" w:hAnsi="Calibri" w:eastAsia="Microsoft YaHei"/>
                <w:color w:val="0B2545"/>
                <w:sz w:val="13"/>
              </w:rPr>
              <w:t>论文团队公开的模型与实验代码仓库。</w:t>
            </w:r>
          </w:p>
        </w:tc>
        <w:tc>
          <w:tcPr>
            <w:tcW w:type="dxa" w:w="2160"/>
          </w:tcPr>
          <w:p>
            <w:pPr>
              <w:keepLines/>
              <w:spacing w:after="0" w:line="276" w:lineRule="auto"/>
            </w:pPr>
            <w:hyperlink r:id="rId211">
              <w:r>
                <w:rPr>
                  <w:rFonts w:ascii="Calibri" w:hAnsi="Calibri" w:eastAsia="Microsoft YaHei"/>
                  <w:color w:val="008C95"/>
                  <w:u w:val="single"/>
                </w:rPr>
                <w:t>打开原始来源 ↗</w:t>
              </w:r>
            </w:hyperlink>
          </w:p>
        </w:tc>
      </w:tr>
      <w:tr>
        <w:trPr>
          <w:cantSplit/>
        </w:trPr>
        <w:tc>
          <w:tcPr>
            <w:tcW w:type="dxa" w:w="1400"/>
          </w:tcPr>
          <w:p>
            <w:pPr>
              <w:keepLines/>
              <w:spacing w:after="0" w:line="276" w:lineRule="auto"/>
            </w:pPr>
            <w:r>
              <w:rPr>
                <w:rFonts w:ascii="Calibri" w:hAnsi="Calibri" w:eastAsia="Microsoft YaHei"/>
                <w:color w:val="0B2545"/>
                <w:sz w:val="13"/>
              </w:rPr>
              <w:t>RAPTOR production observer</w:t>
            </w:r>
          </w:p>
        </w:tc>
        <w:tc>
          <w:tcPr>
            <w:tcW w:type="dxa" w:w="1250"/>
          </w:tcPr>
          <w:p>
            <w:pPr>
              <w:keepLines/>
              <w:spacing w:after="0" w:line="276" w:lineRule="auto"/>
            </w:pPr>
            <w:r>
              <w:rPr>
                <w:rFonts w:ascii="Calibri" w:hAnsi="Calibri" w:eastAsia="Microsoft YaHei"/>
                <w:color w:val="0B2545"/>
                <w:sz w:val="13"/>
              </w:rPr>
              <w:t>not-public</w:t>
            </w:r>
          </w:p>
        </w:tc>
        <w:tc>
          <w:tcPr>
            <w:tcW w:type="dxa" w:w="1050"/>
          </w:tcPr>
          <w:p>
            <w:pPr>
              <w:keepLines/>
              <w:spacing w:after="0" w:line="276" w:lineRule="auto"/>
            </w:pPr>
            <w:r>
              <w:rPr>
                <w:rFonts w:ascii="Calibri" w:hAnsi="Calibri" w:eastAsia="Microsoft YaHei"/>
                <w:color w:val="0B2545"/>
                <w:sz w:val="13"/>
              </w:rPr>
              <w:t>source-code</w:t>
            </w:r>
          </w:p>
        </w:tc>
        <w:tc>
          <w:tcPr>
            <w:tcW w:type="dxa" w:w="900"/>
          </w:tcPr>
          <w:p>
            <w:pPr>
              <w:keepLines/>
              <w:spacing w:after="0" w:line="276" w:lineRule="auto"/>
            </w:pPr>
            <w:r>
              <w:rPr>
                <w:rFonts w:ascii="Calibri" w:hAnsi="Calibri" w:eastAsia="Microsoft YaHei"/>
                <w:color w:val="0B2545"/>
                <w:sz w:val="13"/>
              </w:rPr>
              <w:t>not-public</w:t>
            </w:r>
          </w:p>
        </w:tc>
        <w:tc>
          <w:tcPr>
            <w:tcW w:type="dxa" w:w="2600"/>
          </w:tcPr>
          <w:p>
            <w:pPr>
              <w:keepLines/>
              <w:spacing w:after="0" w:line="276" w:lineRule="auto"/>
            </w:pPr>
            <w:r>
              <w:rPr>
                <w:rFonts w:ascii="Calibri" w:hAnsi="Calibri" w:eastAsia="Microsoft YaHei"/>
                <w:color w:val="0B2545"/>
                <w:sz w:val="13"/>
              </w:rPr>
              <w:t>装置实时实现未发现可核验公共生产仓库。</w:t>
            </w:r>
          </w:p>
        </w:tc>
        <w:tc>
          <w:tcPr>
            <w:tcW w:type="dxa" w:w="2160"/>
          </w:tcPr>
          <w:p>
            <w:pPr>
              <w:keepLines/>
              <w:spacing w:after="0" w:line="276" w:lineRule="auto"/>
            </w:pPr>
            <w:r>
              <w:rPr>
                <w:rFonts w:ascii="Calibri" w:hAnsi="Calibri" w:eastAsia="Microsoft YaHei"/>
                <w:color w:val="0B2545"/>
                <w:sz w:val="13"/>
              </w:rPr>
              <w:t>未公开</w:t>
            </w:r>
          </w:p>
        </w:tc>
      </w:tr>
      <w:tr>
        <w:trPr>
          <w:cantSplit/>
        </w:trPr>
        <w:tc>
          <w:tcPr>
            <w:tcW w:type="dxa" w:w="1400"/>
          </w:tcPr>
          <w:p>
            <w:pPr>
              <w:keepLines/>
              <w:spacing w:after="0" w:line="276" w:lineRule="auto"/>
            </w:pPr>
            <w:r>
              <w:rPr>
                <w:rFonts w:ascii="Calibri" w:hAnsi="Calibri" w:eastAsia="Microsoft YaHei"/>
                <w:color w:val="0B2545"/>
                <w:sz w:val="13"/>
              </w:rPr>
              <w:t>MARTe2</w:t>
            </w:r>
          </w:p>
        </w:tc>
        <w:tc>
          <w:tcPr>
            <w:tcW w:type="dxa" w:w="1250"/>
          </w:tcPr>
          <w:p>
            <w:pPr>
              <w:keepLines/>
              <w:spacing w:after="0" w:line="276" w:lineRule="auto"/>
            </w:pPr>
            <w:r>
              <w:rPr>
                <w:rFonts w:ascii="Calibri" w:hAnsi="Calibri" w:eastAsia="Microsoft YaHei"/>
                <w:color w:val="0B2545"/>
                <w:sz w:val="13"/>
              </w:rPr>
              <w:t>official-enabling</w:t>
            </w:r>
          </w:p>
        </w:tc>
        <w:tc>
          <w:tcPr>
            <w:tcW w:type="dxa" w:w="1050"/>
          </w:tcPr>
          <w:p>
            <w:pPr>
              <w:keepLines/>
              <w:spacing w:after="0" w:line="276" w:lineRule="auto"/>
            </w:pPr>
            <w:r>
              <w:rPr>
                <w:rFonts w:ascii="Calibri" w:hAnsi="Calibri" w:eastAsia="Microsoft YaHei"/>
                <w:color w:val="0B2545"/>
                <w:sz w:val="13"/>
              </w:rPr>
              <w:t>source-code</w:t>
            </w:r>
          </w:p>
        </w:tc>
        <w:tc>
          <w:tcPr>
            <w:tcW w:type="dxa" w:w="900"/>
          </w:tcPr>
          <w:p>
            <w:pPr>
              <w:keepLines/>
              <w:spacing w:after="0" w:line="276" w:lineRule="auto"/>
            </w:pPr>
            <w:r>
              <w:rPr>
                <w:rFonts w:ascii="Calibri" w:hAnsi="Calibri" w:eastAsia="Microsoft YaHei"/>
                <w:color w:val="0B2545"/>
                <w:sz w:val="13"/>
              </w:rPr>
              <w:t>public</w:t>
            </w:r>
          </w:p>
        </w:tc>
        <w:tc>
          <w:tcPr>
            <w:tcW w:type="dxa" w:w="2600"/>
          </w:tcPr>
          <w:p>
            <w:pPr>
              <w:keepLines/>
              <w:spacing w:after="0" w:line="276" w:lineRule="auto"/>
            </w:pPr>
            <w:r>
              <w:rPr>
                <w:rFonts w:ascii="Calibri" w:hAnsi="Calibri" w:eastAsia="Microsoft YaHei"/>
                <w:color w:val="0B2545"/>
                <w:sz w:val="13"/>
              </w:rPr>
              <w:t>RFX-mod 实时宿主框架，不是 RAPTOR 物理观测器。</w:t>
            </w:r>
          </w:p>
        </w:tc>
        <w:tc>
          <w:tcPr>
            <w:tcW w:type="dxa" w:w="2160"/>
          </w:tcPr>
          <w:p>
            <w:pPr>
              <w:keepLines/>
              <w:spacing w:after="0" w:line="276" w:lineRule="auto"/>
            </w:pPr>
            <w:hyperlink r:id="rId31">
              <w:r>
                <w:rPr>
                  <w:rFonts w:ascii="Calibri" w:hAnsi="Calibri" w:eastAsia="Microsoft YaHei"/>
                  <w:color w:val="008C95"/>
                  <w:u w:val="single"/>
                </w:rPr>
                <w:t>打开原始来源 ↗</w:t>
              </w:r>
            </w:hyperlink>
          </w:p>
        </w:tc>
      </w:tr>
      <w:tr>
        <w:trPr>
          <w:cantSplit/>
        </w:trPr>
        <w:tc>
          <w:tcPr>
            <w:tcW w:type="dxa" w:w="1400"/>
          </w:tcPr>
          <w:p>
            <w:pPr>
              <w:keepLines/>
              <w:spacing w:after="0" w:line="276" w:lineRule="auto"/>
            </w:pPr>
            <w:r>
              <w:rPr>
                <w:rFonts w:ascii="Calibri" w:hAnsi="Calibri" w:eastAsia="Microsoft YaHei"/>
                <w:color w:val="0B2545"/>
                <w:sz w:val="13"/>
              </w:rPr>
              <w:t>FRNN plasma-python</w:t>
            </w:r>
          </w:p>
        </w:tc>
        <w:tc>
          <w:tcPr>
            <w:tcW w:type="dxa" w:w="1250"/>
          </w:tcPr>
          <w:p>
            <w:pPr>
              <w:keepLines/>
              <w:spacing w:after="0" w:line="276" w:lineRule="auto"/>
            </w:pPr>
            <w:r>
              <w:rPr>
                <w:rFonts w:ascii="Calibri" w:hAnsi="Calibri" w:eastAsia="Microsoft YaHei"/>
                <w:color w:val="0B2545"/>
                <w:sz w:val="13"/>
              </w:rPr>
              <w:t>official-direct</w:t>
            </w:r>
          </w:p>
        </w:tc>
        <w:tc>
          <w:tcPr>
            <w:tcW w:type="dxa" w:w="1050"/>
          </w:tcPr>
          <w:p>
            <w:pPr>
              <w:keepLines/>
              <w:spacing w:after="0" w:line="276" w:lineRule="auto"/>
            </w:pPr>
            <w:r>
              <w:rPr>
                <w:rFonts w:ascii="Calibri" w:hAnsi="Calibri" w:eastAsia="Microsoft YaHei"/>
                <w:color w:val="0B2545"/>
                <w:sz w:val="13"/>
              </w:rPr>
              <w:t>source-code</w:t>
            </w:r>
          </w:p>
        </w:tc>
        <w:tc>
          <w:tcPr>
            <w:tcW w:type="dxa" w:w="900"/>
          </w:tcPr>
          <w:p>
            <w:pPr>
              <w:keepLines/>
              <w:spacing w:after="0" w:line="276" w:lineRule="auto"/>
            </w:pPr>
            <w:r>
              <w:rPr>
                <w:rFonts w:ascii="Calibri" w:hAnsi="Calibri" w:eastAsia="Microsoft YaHei"/>
                <w:color w:val="0B2545"/>
                <w:sz w:val="13"/>
              </w:rPr>
              <w:t>public</w:t>
            </w:r>
          </w:p>
        </w:tc>
        <w:tc>
          <w:tcPr>
            <w:tcW w:type="dxa" w:w="2600"/>
          </w:tcPr>
          <w:p>
            <w:pPr>
              <w:keepLines/>
              <w:spacing w:after="0" w:line="276" w:lineRule="auto"/>
            </w:pPr>
            <w:r>
              <w:rPr>
                <w:rFonts w:ascii="Calibri" w:hAnsi="Calibri" w:eastAsia="Microsoft YaHei"/>
                <w:color w:val="0B2545"/>
                <w:sz w:val="13"/>
              </w:rPr>
              <w:t>论文团队维护的 plasma-python 研究仓库；软件介绍页只作出处线索，不作为代码链接。</w:t>
            </w:r>
          </w:p>
        </w:tc>
        <w:tc>
          <w:tcPr>
            <w:tcW w:type="dxa" w:w="2160"/>
          </w:tcPr>
          <w:p>
            <w:pPr>
              <w:keepLines/>
              <w:spacing w:after="0" w:line="276" w:lineRule="auto"/>
            </w:pPr>
            <w:hyperlink r:id="rId216">
              <w:r>
                <w:rPr>
                  <w:rFonts w:ascii="Calibri" w:hAnsi="Calibri" w:eastAsia="Microsoft YaHei"/>
                  <w:color w:val="008C95"/>
                  <w:u w:val="single"/>
                </w:rPr>
                <w:t>打开原始来源 ↗</w:t>
              </w:r>
            </w:hyperlink>
          </w:p>
        </w:tc>
      </w:tr>
      <w:tr>
        <w:trPr>
          <w:cantSplit/>
        </w:trPr>
        <w:tc>
          <w:tcPr>
            <w:tcW w:type="dxa" w:w="1400"/>
          </w:tcPr>
          <w:p>
            <w:pPr>
              <w:keepLines/>
              <w:spacing w:after="0" w:line="276" w:lineRule="auto"/>
            </w:pPr>
            <w:r>
              <w:rPr>
                <w:rFonts w:ascii="Calibri" w:hAnsi="Calibri" w:eastAsia="Microsoft YaHei"/>
                <w:color w:val="0B2545"/>
                <w:sz w:val="13"/>
              </w:rPr>
              <w:t>DisruptionPy</w:t>
            </w:r>
          </w:p>
        </w:tc>
        <w:tc>
          <w:tcPr>
            <w:tcW w:type="dxa" w:w="1250"/>
          </w:tcPr>
          <w:p>
            <w:pPr>
              <w:keepLines/>
              <w:spacing w:after="0" w:line="276" w:lineRule="auto"/>
            </w:pPr>
            <w:r>
              <w:rPr>
                <w:rFonts w:ascii="Calibri" w:hAnsi="Calibri" w:eastAsia="Microsoft YaHei"/>
                <w:color w:val="0B2545"/>
                <w:sz w:val="13"/>
              </w:rPr>
              <w:t>official-direct</w:t>
            </w:r>
          </w:p>
        </w:tc>
        <w:tc>
          <w:tcPr>
            <w:tcW w:type="dxa" w:w="1050"/>
          </w:tcPr>
          <w:p>
            <w:pPr>
              <w:keepLines/>
              <w:spacing w:after="0" w:line="276" w:lineRule="auto"/>
            </w:pPr>
            <w:r>
              <w:rPr>
                <w:rFonts w:ascii="Calibri" w:hAnsi="Calibri" w:eastAsia="Microsoft YaHei"/>
                <w:color w:val="0B2545"/>
                <w:sz w:val="13"/>
              </w:rPr>
              <w:t>source-code</w:t>
            </w:r>
          </w:p>
        </w:tc>
        <w:tc>
          <w:tcPr>
            <w:tcW w:type="dxa" w:w="900"/>
          </w:tcPr>
          <w:p>
            <w:pPr>
              <w:keepLines/>
              <w:spacing w:after="0" w:line="276" w:lineRule="auto"/>
            </w:pPr>
            <w:r>
              <w:rPr>
                <w:rFonts w:ascii="Calibri" w:hAnsi="Calibri" w:eastAsia="Microsoft YaHei"/>
                <w:color w:val="0B2545"/>
                <w:sz w:val="13"/>
              </w:rPr>
              <w:t>public</w:t>
            </w:r>
          </w:p>
        </w:tc>
        <w:tc>
          <w:tcPr>
            <w:tcW w:type="dxa" w:w="2600"/>
          </w:tcPr>
          <w:p>
            <w:pPr>
              <w:keepLines/>
              <w:spacing w:after="0" w:line="276" w:lineRule="auto"/>
            </w:pPr>
            <w:r>
              <w:rPr>
                <w:rFonts w:ascii="Calibri" w:hAnsi="Calibri" w:eastAsia="Microsoft YaHei"/>
                <w:color w:val="0B2545"/>
                <w:sz w:val="13"/>
              </w:rPr>
              <w:t>MIT PSFC 维护的多装置破裂数据流水线。</w:t>
            </w:r>
          </w:p>
        </w:tc>
        <w:tc>
          <w:tcPr>
            <w:tcW w:type="dxa" w:w="2160"/>
          </w:tcPr>
          <w:p>
            <w:pPr>
              <w:keepLines/>
              <w:spacing w:after="0" w:line="276" w:lineRule="auto"/>
            </w:pPr>
            <w:hyperlink r:id="rId217">
              <w:r>
                <w:rPr>
                  <w:rFonts w:ascii="Calibri" w:hAnsi="Calibri" w:eastAsia="Microsoft YaHei"/>
                  <w:color w:val="008C95"/>
                  <w:u w:val="single"/>
                </w:rPr>
                <w:t>打开原始来源 ↗</w:t>
              </w:r>
            </w:hyperlink>
          </w:p>
        </w:tc>
      </w:tr>
    </w:tbl>
    <w:p>
      <w:pPr>
        <w:spacing w:before="0" w:after="60"/>
      </w:pPr>
    </w:p>
    <w:sectPr w:rsidR="00FC693F" w:rsidRPr="0006063C" w:rsidSect="00034616">
      <w:headerReference w:type="default" r:id="rId9"/>
      <w:footerReference w:type="default" r:id="rId10"/>
      <w:pgSz w:w="12240" w:h="15840"/>
      <w:pgMar w:top="1440" w:right="1440" w:bottom="1440" w:left="1440" w:header="708" w:footer="708"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Calibri" w:hAnsi="Calibri" w:eastAsia="Microsoft YaHei"/>
        <w:color w:val="566573"/>
        <w:sz w:val="16"/>
      </w:rPr>
      <w:t xml:space="preserve">第 </w:t>
    </w:r>
    <w:r>
      <w:fldChar w:fldCharType="begin"/>
      <w:instrText xml:space="preserve"> PAGE </w:instrText>
      <w:fldChar w:fldCharType="separate"/>
      <w:t>1</w:t>
      <w:fldChar w:fldCharType="end"/>
    </w:r>
    <w:r>
      <w:rPr>
        <w:rFonts w:ascii="Calibri" w:hAnsi="Calibri" w:eastAsia="Microsoft YaHei"/>
        <w:color w:val="566573"/>
        <w:sz w:val="16"/>
      </w:rPr>
      <w:t xml:space="preserve"> 页</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40"/>
      <w:jc w:val="left"/>
      <w:pBdr>
        <w:bottom w:val="single" w:sz="4" w:space="4" w:color="C9D3DD"/>
      </w:pBdr>
    </w:pPr>
    <w:r>
      <w:rPr>
        <w:rFonts w:ascii="Calibri" w:hAnsi="Calibri" w:eastAsia="Microsoft YaHei"/>
        <w:b/>
        <w:color w:val="008C95"/>
        <w:sz w:val="16"/>
      </w:rPr>
      <w:t>FusionDigital  /  聚变诊断技术图谱</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abstractNum w:abstractNumId="9">
    <w:multiLevelType w:val="singleLevel"/>
  </w:abstractNum>
  <w:num w:numId="10">
    <w:abstractNumId w:val="9"/>
  </w:num>
  <w:abstractNum w:abstractNumId="10">
    <w:multiLevelType w:val="singleLevel"/>
  </w:abstract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20" w:line="300" w:lineRule="auto"/>
      <w:jc w:val="left"/>
    </w:pPr>
    <w:rPr>
      <w:rFonts w:ascii="Calibri" w:hAnsi="Calibri" w:eastAsia="Microsoft YaHe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200"/>
      <w:outlineLvl w:val="0"/>
    </w:pPr>
    <w:rPr>
      <w:rFonts w:asciiTheme="majorHAnsi" w:eastAsiaTheme="majorEastAsia" w:hAnsiTheme="majorHAnsi" w:cstheme="majorBidi" w:ascii="Calibri" w:hAnsi="Calibri" w:eastAsia="Microsoft YaHei"/>
      <w:b/>
      <w:bCs/>
      <w:color w:val="2E74B5"/>
      <w:sz w:val="32"/>
      <w:szCs w:val="28"/>
    </w:rPr>
  </w:style>
  <w:style w:type="paragraph" w:styleId="Heading2">
    <w:name w:val="heading 2"/>
    <w:basedOn w:val="Normal"/>
    <w:next w:val="Normal"/>
    <w:link w:val="Heading2Char"/>
    <w:uiPriority w:val="9"/>
    <w:unhideWhenUsed/>
    <w:qFormat/>
    <w:rsid w:val="00FC693F"/>
    <w:pPr>
      <w:keepNext/>
      <w:keepLines/>
      <w:spacing w:before="280" w:after="140"/>
      <w:outlineLvl w:val="1"/>
    </w:pPr>
    <w:rPr>
      <w:rFonts w:asciiTheme="majorHAnsi" w:eastAsiaTheme="majorEastAsia" w:hAnsiTheme="majorHAnsi" w:cstheme="majorBidi" w:ascii="Calibri" w:hAnsi="Calibri" w:eastAsia="Microsoft YaHei"/>
      <w:b/>
      <w:bCs/>
      <w:color w:val="2E74B5"/>
      <w:sz w:val="26"/>
      <w:szCs w:val="26"/>
    </w:rPr>
  </w:style>
  <w:style w:type="paragraph" w:styleId="Heading3">
    <w:name w:val="heading 3"/>
    <w:basedOn w:val="Normal"/>
    <w:next w:val="Normal"/>
    <w:link w:val="Heading3Char"/>
    <w:uiPriority w:val="9"/>
    <w:unhideWhenUsed/>
    <w:qFormat/>
    <w:rsid w:val="00FC693F"/>
    <w:pPr>
      <w:keepNext/>
      <w:keepLines/>
      <w:spacing w:before="200" w:after="100"/>
      <w:outlineLvl w:val="2"/>
    </w:pPr>
    <w:rPr>
      <w:rFonts w:asciiTheme="majorHAnsi" w:eastAsiaTheme="majorEastAsia" w:hAnsiTheme="majorHAnsi" w:cstheme="majorBidi" w:ascii="Calibri" w:hAnsi="Calibri" w:eastAsia="Microsoft YaHei"/>
      <w:b/>
      <w:bCs/>
      <w:color w:val="1F4D78"/>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keepNext w:val="0"/>
      <w:spacing w:line="240" w:lineRule="auto" w:before="80" w:after="160"/>
    </w:pPr>
    <w:rPr>
      <w:rFonts w:ascii="Calibri" w:hAnsi="Calibri" w:eastAsia="Microsoft YaHei"/>
      <w:b/>
      <w:bCs/>
      <w:color w:val="566573"/>
      <w:sz w:val="17"/>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 Id="rId12" Type="http://schemas.openxmlformats.org/officeDocument/2006/relationships/image" Target="media/image2.png"/><Relationship Id="rId13" Type="http://schemas.openxmlformats.org/officeDocument/2006/relationships/image" Target="media/image3.png"/><Relationship Id="rId14" Type="http://schemas.openxmlformats.org/officeDocument/2006/relationships/image" Target="media/image4.png"/><Relationship Id="rId15" Type="http://schemas.openxmlformats.org/officeDocument/2006/relationships/hyperlink" Target="https://doi.org/10.1080/15361055.2020.1819751" TargetMode="External"/><Relationship Id="rId16" Type="http://schemas.openxmlformats.org/officeDocument/2006/relationships/hyperlink" Target="https://www.iter.org/node/20687/release-imas-infrastructure-and-physics-models-open-source" TargetMode="External"/><Relationship Id="rId17" Type="http://schemas.openxmlformats.org/officeDocument/2006/relationships/hyperlink" Target="https://github.com/iterorganization/IMAS-Data-Dictionary" TargetMode="External"/><Relationship Id="rId18" Type="http://schemas.openxmlformats.org/officeDocument/2006/relationships/hyperlink" Target="https://github.com/iterorganization/IMAS-Python" TargetMode="External"/><Relationship Id="rId19" Type="http://schemas.openxmlformats.org/officeDocument/2006/relationships/hyperlink" Target="https://doi.org/10.1016/j.fusengdes.2017.12.010" TargetMode="External"/><Relationship Id="rId20" Type="http://schemas.openxmlformats.org/officeDocument/2006/relationships/hyperlink" Target="https://library.psfc.mit.edu/catalog/reports/1990/97ja/97ja017/97ja017_full.pdf" TargetMode="External"/><Relationship Id="rId21" Type="http://schemas.openxmlformats.org/officeDocument/2006/relationships/hyperlink" Target="https://github.com/MDSplus/mdsplus" TargetMode="External"/><Relationship Id="rId22" Type="http://schemas.openxmlformats.org/officeDocument/2006/relationships/hyperlink" Target="https://github.com/ukaea/UDA" TargetMode="External"/><Relationship Id="rId23" Type="http://schemas.openxmlformats.org/officeDocument/2006/relationships/hyperlink" Target="https://pypi.org/project/pyuda" TargetMode="External"/><Relationship Id="rId24" Type="http://schemas.openxmlformats.org/officeDocument/2006/relationships/hyperlink" Target="https://gafusion.github.io/omas" TargetMode="External"/><Relationship Id="rId25" Type="http://schemas.openxmlformats.org/officeDocument/2006/relationships/hyperlink" Target="https://github.com/gafusion/omas" TargetMode="External"/><Relationship Id="rId26" Type="http://schemas.openxmlformats.org/officeDocument/2006/relationships/hyperlink" Target="https://www.fair4fusion.eu" TargetMode="External"/><Relationship Id="rId27" Type="http://schemas.openxmlformats.org/officeDocument/2006/relationships/hyperlink" Target="https://euratom-software.github.io/calcam" TargetMode="External"/><Relationship Id="rId28" Type="http://schemas.openxmlformats.org/officeDocument/2006/relationships/hyperlink" Target="https://doi.org/10.5281/zenodo.18842405" TargetMode="External"/><Relationship Id="rId29" Type="http://schemas.openxmlformats.org/officeDocument/2006/relationships/hyperlink" Target="https://github.com/euratom-software/calcam" TargetMode="External"/><Relationship Id="rId30" Type="http://schemas.openxmlformats.org/officeDocument/2006/relationships/hyperlink" Target="https://doi.org/10.1016/j.fusengdes.2020.111892" TargetMode="External"/><Relationship Id="rId31" Type="http://schemas.openxmlformats.org/officeDocument/2006/relationships/hyperlink" Target="https://vcis-gitlab.f4e.europa.eu/aneto/MARTe2" TargetMode="External"/><Relationship Id="rId32" Type="http://schemas.openxmlformats.org/officeDocument/2006/relationships/hyperlink" Target="https://doi.org/10.1016/j.fusengdes.2011.01.101" TargetMode="External"/><Relationship Id="rId33" Type="http://schemas.openxmlformats.org/officeDocument/2006/relationships/hyperlink" Target="https://doi.org/10.1016/j.fusengdes.2019.03.099" TargetMode="External"/><Relationship Id="rId34" Type="http://schemas.openxmlformats.org/officeDocument/2006/relationships/hyperlink" Target="https://www.iter.org/node/20687/how-iter-quantifies-fusion-power" TargetMode="External"/><Relationship Id="rId35" Type="http://schemas.openxmlformats.org/officeDocument/2006/relationships/hyperlink" Target="https://github.com/openmc-dev/openmc" TargetMode="External"/><Relationship Id="rId36" Type="http://schemas.openxmlformats.org/officeDocument/2006/relationships/hyperlink" Target="https://doi.org/10.1016/j.fusengdes.2009.01.028" TargetMode="External"/><Relationship Id="rId37" Type="http://schemas.openxmlformats.org/officeDocument/2006/relationships/hyperlink" Target="https://www-pub.iaea.org/MTCD/Publications/PDF/csp_019c/pdf/ct_5.pdf" TargetMode="External"/><Relationship Id="rId38" Type="http://schemas.openxmlformats.org/officeDocument/2006/relationships/hyperlink" Target="https://doi.org/10.1016/j.fusengdes.2019.03.201" TargetMode="External"/><Relationship Id="rId39" Type="http://schemas.openxmlformats.org/officeDocument/2006/relationships/hyperlink" Target="https://doi.org/10.1016/j.fusengdes.2019.01.013" TargetMode="External"/><Relationship Id="rId40" Type="http://schemas.openxmlformats.org/officeDocument/2006/relationships/hyperlink" Target="https://doi.org/10.1016/j.fusengdes.2019.01.070" TargetMode="External"/><Relationship Id="rId41" Type="http://schemas.openxmlformats.org/officeDocument/2006/relationships/hyperlink" Target="https://doi.org/10.1016/j.fusengdes.2019.111264" TargetMode="External"/><Relationship Id="rId42" Type="http://schemas.openxmlformats.org/officeDocument/2006/relationships/hyperlink" Target="https://doi.org/10.1016/j.fusengdes.2018.11.011" TargetMode="External"/><Relationship Id="rId43" Type="http://schemas.openxmlformats.org/officeDocument/2006/relationships/hyperlink" Target="https://doi.org/10.1063/1.1141569" TargetMode="External"/><Relationship Id="rId44" Type="http://schemas.openxmlformats.org/officeDocument/2006/relationships/hyperlink" Target="https://doi.org/10.1063/1.2166667" TargetMode="External"/><Relationship Id="rId45" Type="http://schemas.openxmlformats.org/officeDocument/2006/relationships/hyperlink" Target="https://doi.org/10.1088/0029-5515/38/7/308" TargetMode="External"/><Relationship Id="rId46" Type="http://schemas.openxmlformats.org/officeDocument/2006/relationships/hyperlink" Target="https://doi.org/10.1088/2058-6272/aa9432" TargetMode="External"/><Relationship Id="rId47" Type="http://schemas.openxmlformats.org/officeDocument/2006/relationships/hyperlink" Target="https://omfit.io/modules/mod_EFIT.html" TargetMode="External"/><Relationship Id="rId48" Type="http://schemas.openxmlformats.org/officeDocument/2006/relationships/hyperlink" Target="https://github.com/ukaea/FreeGS" TargetMode="External"/><Relationship Id="rId49" Type="http://schemas.openxmlformats.org/officeDocument/2006/relationships/hyperlink" Target="https://doi.org/10.1016/j.fusengdes.2024.114753" TargetMode="External"/><Relationship Id="rId50" Type="http://schemas.openxmlformats.org/officeDocument/2006/relationships/hyperlink" Target="https://doi.org/10.1088/1748-0221/12/11/c11010" TargetMode="External"/><Relationship Id="rId51" Type="http://schemas.openxmlformats.org/officeDocument/2006/relationships/hyperlink" Target="https://arxiv.org/abs/1312.3109" TargetMode="External"/><Relationship Id="rId52" Type="http://schemas.openxmlformats.org/officeDocument/2006/relationships/hyperlink" Target="https://doi.org/10.1063/1.1786640" TargetMode="External"/><Relationship Id="rId53" Type="http://schemas.openxmlformats.org/officeDocument/2006/relationships/hyperlink" Target="https://doi.org/10.1063/5.0129892" TargetMode="External"/><Relationship Id="rId54" Type="http://schemas.openxmlformats.org/officeDocument/2006/relationships/hyperlink" Target="https://doi.org/10.1063/1.3496978" TargetMode="External"/><Relationship Id="rId55" Type="http://schemas.openxmlformats.org/officeDocument/2006/relationships/hyperlink" Target="https://doi.org/10.1063/5.0219533" TargetMode="External"/><Relationship Id="rId56" Type="http://schemas.openxmlformats.org/officeDocument/2006/relationships/hyperlink" Target="https://doi.org/10.1063/5.0219578" TargetMode="External"/><Relationship Id="rId57" Type="http://schemas.openxmlformats.org/officeDocument/2006/relationships/hyperlink" Target="https://doi.org/10.1088/1361-6587/ade62b" TargetMode="External"/><Relationship Id="rId58" Type="http://schemas.openxmlformats.org/officeDocument/2006/relationships/hyperlink" Target="https://doi.org/10.1088/1009-0630/14/11/02" TargetMode="External"/><Relationship Id="rId59" Type="http://schemas.openxmlformats.org/officeDocument/2006/relationships/hyperlink" Target="https://doi.org/10.1063/5.0043087" TargetMode="External"/><Relationship Id="rId60" Type="http://schemas.openxmlformats.org/officeDocument/2006/relationships/hyperlink" Target="https://open.adas.ac.uk" TargetMode="External"/><Relationship Id="rId61" Type="http://schemas.openxmlformats.org/officeDocument/2006/relationships/hyperlink" Target="https://doi.org/10.1088/0741-3335/52/8/085014" TargetMode="External"/><Relationship Id="rId62" Type="http://schemas.openxmlformats.org/officeDocument/2006/relationships/hyperlink" Target="https://doi.org/10.1088/2058-6272/acc503" TargetMode="External"/><Relationship Id="rId63" Type="http://schemas.openxmlformats.org/officeDocument/2006/relationships/hyperlink" Target="https://doi.org/10.1063/5.0219521" TargetMode="External"/><Relationship Id="rId64" Type="http://schemas.openxmlformats.org/officeDocument/2006/relationships/hyperlink" Target="https://doi.org/10.1063/5.0269580" TargetMode="External"/><Relationship Id="rId65" Type="http://schemas.openxmlformats.org/officeDocument/2006/relationships/hyperlink" Target="https://doi.org/10.1063/5.0022149" TargetMode="External"/><Relationship Id="rId66" Type="http://schemas.openxmlformats.org/officeDocument/2006/relationships/hyperlink" Target="https://github.com/D3DEnergetic/FIDASIM" TargetMode="External"/><Relationship Id="rId67" Type="http://schemas.openxmlformats.org/officeDocument/2006/relationships/hyperlink" Target="https://doi.org/10.1063/5.0043836" TargetMode="External"/><Relationship Id="rId68" Type="http://schemas.openxmlformats.org/officeDocument/2006/relationships/hyperlink" Target="https://doi.org/10.1088/1361-6587/aba8d7" TargetMode="External"/><Relationship Id="rId69" Type="http://schemas.openxmlformats.org/officeDocument/2006/relationships/hyperlink" Target="https://doi.org/10.1016/j.fusengdes.2015.05.039" TargetMode="External"/><Relationship Id="rId70" Type="http://schemas.openxmlformats.org/officeDocument/2006/relationships/hyperlink" Target="https://doi.org/10.1016/s0920-3796(01)00423-9" TargetMode="External"/><Relationship Id="rId71" Type="http://schemas.openxmlformats.org/officeDocument/2006/relationships/hyperlink" Target="https://www.iter.org/node/20687/testing-neutral-beam-diagnostics" TargetMode="External"/><Relationship Id="rId72" Type="http://schemas.openxmlformats.org/officeDocument/2006/relationships/hyperlink" Target="https://doi.org/10.1016/j.fusengdes.2019.01.146" TargetMode="External"/><Relationship Id="rId73" Type="http://schemas.openxmlformats.org/officeDocument/2006/relationships/hyperlink" Target="https://doi.org/10.1063/5.0177114" TargetMode="External"/><Relationship Id="rId74" Type="http://schemas.openxmlformats.org/officeDocument/2006/relationships/hyperlink" Target="https://www.iter.org/node/20687/diagnostics-maintaining-power-balance" TargetMode="External"/><Relationship Id="rId75" Type="http://schemas.openxmlformats.org/officeDocument/2006/relationships/hyperlink" Target="https://www.cherab.info" TargetMode="External"/><Relationship Id="rId76" Type="http://schemas.openxmlformats.org/officeDocument/2006/relationships/hyperlink" Target="https://doi.org/10.1063/1.1144680" TargetMode="External"/><Relationship Id="rId77" Type="http://schemas.openxmlformats.org/officeDocument/2006/relationships/hyperlink" Target="https://doi.org/10.1063/5.0020680" TargetMode="External"/><Relationship Id="rId78" Type="http://schemas.openxmlformats.org/officeDocument/2006/relationships/hyperlink" Target="https://doi.org/10.1063/5.0219486" TargetMode="External"/><Relationship Id="rId79" Type="http://schemas.openxmlformats.org/officeDocument/2006/relationships/hyperlink" Target="https://doi.org/10.1063/1.4886430" TargetMode="External"/><Relationship Id="rId80" Type="http://schemas.openxmlformats.org/officeDocument/2006/relationships/hyperlink" Target="https://doi.org/10.1063/1.4998970" TargetMode="External"/><Relationship Id="rId81" Type="http://schemas.openxmlformats.org/officeDocument/2006/relationships/hyperlink" Target="https://doi.org/10.1063/1.4733734" TargetMode="External"/><Relationship Id="rId82" Type="http://schemas.openxmlformats.org/officeDocument/2006/relationships/hyperlink" Target="https://doi.org/10.1585/jspf.79.1051" TargetMode="External"/><Relationship Id="rId83" Type="http://schemas.openxmlformats.org/officeDocument/2006/relationships/hyperlink" Target="https://doi.org/10.1063/1.4891709" TargetMode="External"/><Relationship Id="rId84" Type="http://schemas.openxmlformats.org/officeDocument/2006/relationships/hyperlink" Target="https://doi.org/10.1585/pfr.16.1302106" TargetMode="External"/><Relationship Id="rId85" Type="http://schemas.openxmlformats.org/officeDocument/2006/relationships/hyperlink" Target="https://geant4.web.cern.ch" TargetMode="External"/><Relationship Id="rId86" Type="http://schemas.openxmlformats.org/officeDocument/2006/relationships/hyperlink" Target="https://doi.org/10.1585/pfr.11.1402118" TargetMode="External"/><Relationship Id="rId87" Type="http://schemas.openxmlformats.org/officeDocument/2006/relationships/hyperlink" Target="https://doi.org/10.1016/j.fusengdes.2022.113364" TargetMode="External"/><Relationship Id="rId88" Type="http://schemas.openxmlformats.org/officeDocument/2006/relationships/hyperlink" Target="https://mcnp.lanl.gov" TargetMode="External"/><Relationship Id="rId89" Type="http://schemas.openxmlformats.org/officeDocument/2006/relationships/hyperlink" Target="https://doi.org/10.1016/j.fusengdes.2018.12.028" TargetMode="External"/><Relationship Id="rId90" Type="http://schemas.openxmlformats.org/officeDocument/2006/relationships/hyperlink" Target="https://doi.org/10.1063/5.0041126" TargetMode="External"/><Relationship Id="rId91" Type="http://schemas.openxmlformats.org/officeDocument/2006/relationships/hyperlink" Target="https://doi.org/10.1063/1.3109682" TargetMode="External"/><Relationship Id="rId92" Type="http://schemas.openxmlformats.org/officeDocument/2006/relationships/hyperlink" Target="https://doi.org/10.1016/j.fusengdes.2025.115263" TargetMode="External"/><Relationship Id="rId93" Type="http://schemas.openxmlformats.org/officeDocument/2006/relationships/hyperlink" Target="https://fusionforenergy.europa.eu/downloads/procurements/itercalls/524/2.%20Technical_Spec_V9Z8DG_v1_3.pdf" TargetMode="External"/><Relationship Id="rId94" Type="http://schemas.openxmlformats.org/officeDocument/2006/relationships/hyperlink" Target="https://doi.org/10.1016/j.fusengdes.2013.01.083" TargetMode="External"/><Relationship Id="rId95" Type="http://schemas.openxmlformats.org/officeDocument/2006/relationships/hyperlink" Target="https://doi.org/10.1063/1.2956828" TargetMode="External"/><Relationship Id="rId96" Type="http://schemas.openxmlformats.org/officeDocument/2006/relationships/hyperlink" Target="https://doi.org/10.1063/5.0041652" TargetMode="External"/><Relationship Id="rId97" Type="http://schemas.openxmlformats.org/officeDocument/2006/relationships/hyperlink" Target="https://doi.org/10.1088/0741-3335/55/9/095007" TargetMode="External"/><Relationship Id="rId98" Type="http://schemas.openxmlformats.org/officeDocument/2006/relationships/hyperlink" Target="https://doi.org/10.1016/j.nima.2010.05.003" TargetMode="External"/><Relationship Id="rId99" Type="http://schemas.openxmlformats.org/officeDocument/2006/relationships/hyperlink" Target="https://doi.org/10.13182/fst08-a1654" TargetMode="External"/><Relationship Id="rId100" Type="http://schemas.openxmlformats.org/officeDocument/2006/relationships/hyperlink" Target="https://doi.org/10.1063/5.0238948" TargetMode="External"/><Relationship Id="rId101" Type="http://schemas.openxmlformats.org/officeDocument/2006/relationships/hyperlink" Target="https://doi.org/10.1063/5.0043756" TargetMode="External"/><Relationship Id="rId102" Type="http://schemas.openxmlformats.org/officeDocument/2006/relationships/hyperlink" Target="https://doi.org/10.1063/1.3272713" TargetMode="External"/><Relationship Id="rId103" Type="http://schemas.openxmlformats.org/officeDocument/2006/relationships/hyperlink" Target="https://doi.org/10.1063/1.4996360" TargetMode="External"/><Relationship Id="rId104" Type="http://schemas.openxmlformats.org/officeDocument/2006/relationships/hyperlink" Target="https://doi.org/10.1063/5.0219245" TargetMode="External"/><Relationship Id="rId105" Type="http://schemas.openxmlformats.org/officeDocument/2006/relationships/hyperlink" Target="https://doi.org/10.1585/pfr.2.s1025" TargetMode="External"/><Relationship Id="rId106" Type="http://schemas.openxmlformats.org/officeDocument/2006/relationships/hyperlink" Target="https://doi.org/10.1063/1.3495788" TargetMode="External"/><Relationship Id="rId107" Type="http://schemas.openxmlformats.org/officeDocument/2006/relationships/hyperlink" Target="https://doi.org/10.1063/1.4960162" TargetMode="External"/><Relationship Id="rId108" Type="http://schemas.openxmlformats.org/officeDocument/2006/relationships/hyperlink" Target="https://doi.org/10.1088/0031-8949/87/04/045502" TargetMode="External"/><Relationship Id="rId109" Type="http://schemas.openxmlformats.org/officeDocument/2006/relationships/hyperlink" Target="https://doi.org/10.1063/5.0101770" TargetMode="External"/><Relationship Id="rId110" Type="http://schemas.openxmlformats.org/officeDocument/2006/relationships/hyperlink" Target="https://doi.org/10.1088/0029-5515/37/7/i08" TargetMode="External"/><Relationship Id="rId111" Type="http://schemas.openxmlformats.org/officeDocument/2006/relationships/hyperlink" Target="https://doi.org/10.1063/5.0126398" TargetMode="External"/><Relationship Id="rId112" Type="http://schemas.openxmlformats.org/officeDocument/2006/relationships/hyperlink" Target="https://doi.org/10.1063/1.4981873" TargetMode="External"/><Relationship Id="rId113" Type="http://schemas.openxmlformats.org/officeDocument/2006/relationships/hyperlink" Target="https://doi.org/10.1016/j.fusengdes.2022.113011" TargetMode="External"/><Relationship Id="rId114" Type="http://schemas.openxmlformats.org/officeDocument/2006/relationships/hyperlink" Target="https://doi.org/10.1585/pfr.8.2402147" TargetMode="External"/><Relationship Id="rId115" Type="http://schemas.openxmlformats.org/officeDocument/2006/relationships/hyperlink" Target="https://doi.org/10.1016/j.fusengdes.2025.114922" TargetMode="External"/><Relationship Id="rId116" Type="http://schemas.openxmlformats.org/officeDocument/2006/relationships/hyperlink" Target="https://doi.org/10.1016/s0920-3796(96)00616-3" TargetMode="External"/><Relationship Id="rId117" Type="http://schemas.openxmlformats.org/officeDocument/2006/relationships/hyperlink" Target="https://doi.org/10.1088/0029-5515/54/4/043007" TargetMode="External"/><Relationship Id="rId118" Type="http://schemas.openxmlformats.org/officeDocument/2006/relationships/hyperlink" Target="https://doi.org/10.1063/5.0218850" TargetMode="External"/><Relationship Id="rId119" Type="http://schemas.openxmlformats.org/officeDocument/2006/relationships/hyperlink" Target="https://doi.org/10.1016/j.nme.2017.01.004" TargetMode="External"/><Relationship Id="rId120" Type="http://schemas.openxmlformats.org/officeDocument/2006/relationships/hyperlink" Target="https://arxiv.org/abs/1903.08157" TargetMode="External"/><Relationship Id="rId121" Type="http://schemas.openxmlformats.org/officeDocument/2006/relationships/hyperlink" Target="https://doi.org/10.1016/s0920-3796(03)00365-x" TargetMode="External"/><Relationship Id="rId122" Type="http://schemas.openxmlformats.org/officeDocument/2006/relationships/hyperlink" Target="https://doi.org/10.1016/j.nme.2023.101576" TargetMode="External"/><Relationship Id="rId123" Type="http://schemas.openxmlformats.org/officeDocument/2006/relationships/hyperlink" Target="https://doi.org/10.1016/j.fusengdes.2019.03.109" TargetMode="External"/><Relationship Id="rId124" Type="http://schemas.openxmlformats.org/officeDocument/2006/relationships/hyperlink" Target="https://doi.org/10.1063/1.5100162" TargetMode="External"/><Relationship Id="rId125" Type="http://schemas.openxmlformats.org/officeDocument/2006/relationships/hyperlink" Target="https://doi.org/10.1016/j.jnucmat.2015.01.039" TargetMode="External"/><Relationship Id="rId126" Type="http://schemas.openxmlformats.org/officeDocument/2006/relationships/hyperlink" Target="https://doi.org/10.1016/j.jnucmat.2007.01.024" TargetMode="External"/><Relationship Id="rId127" Type="http://schemas.openxmlformats.org/officeDocument/2006/relationships/hyperlink" Target="https://doi.org/10.13182/fst12-a13386" TargetMode="External"/><Relationship Id="rId128" Type="http://schemas.openxmlformats.org/officeDocument/2006/relationships/hyperlink" Target="https://doi.org/10.3389/fphy.2026.1824578" TargetMode="External"/><Relationship Id="rId129" Type="http://schemas.openxmlformats.org/officeDocument/2006/relationships/hyperlink" Target="https://www.iter.org/node/20687/3000-sensors-detecting-quench" TargetMode="External"/><Relationship Id="rId130" Type="http://schemas.openxmlformats.org/officeDocument/2006/relationships/hyperlink" Target="https://yonsei.elsevierpure.com/en/publications/a-high-voltage-signal-conditioner-for-the-quench-detection-system" TargetMode="External"/><Relationship Id="rId131" Type="http://schemas.openxmlformats.org/officeDocument/2006/relationships/hyperlink" Target="https://doi.org/10.1016/j.fusengdes.2018.12.080" TargetMode="External"/><Relationship Id="rId132" Type="http://schemas.openxmlformats.org/officeDocument/2006/relationships/hyperlink" Target="https://www.jt60sa.org/wp/toroidal-field-magnet-energized" TargetMode="External"/><Relationship Id="rId133" Type="http://schemas.openxmlformats.org/officeDocument/2006/relationships/hyperlink" Target="https://arxiv.org/abs/1806.10663" TargetMode="External"/><Relationship Id="rId134" Type="http://schemas.openxmlformats.org/officeDocument/2006/relationships/hyperlink" Target="https://www.sciencedirect.com/science/article/pii/S0920379610002796" TargetMode="External"/><Relationship Id="rId135" Type="http://schemas.openxmlformats.org/officeDocument/2006/relationships/hyperlink" Target="https://arxiv.org/abs/2101.01914" TargetMode="External"/><Relationship Id="rId136" Type="http://schemas.openxmlformats.org/officeDocument/2006/relationships/hyperlink" Target="https://doi.org/10.1016/j.fusengdes.2021.112528" TargetMode="External"/><Relationship Id="rId137" Type="http://schemas.openxmlformats.org/officeDocument/2006/relationships/hyperlink" Target="https://arxiv.org/abs/1910.04270" TargetMode="External"/><Relationship Id="rId138" Type="http://schemas.openxmlformats.org/officeDocument/2006/relationships/hyperlink" Target="https://doi.org/10.1016/j.fusengdes.2019.111378" TargetMode="External"/><Relationship Id="rId139" Type="http://schemas.openxmlformats.org/officeDocument/2006/relationships/hyperlink" Target="https://www.sciencedirect.com/science/article/pii/S2352179117300662" TargetMode="External"/><Relationship Id="rId140" Type="http://schemas.openxmlformats.org/officeDocument/2006/relationships/hyperlink" Target="https://doi.org/10.1088/1361-6587/ad7889" TargetMode="External"/><Relationship Id="rId141" Type="http://schemas.openxmlformats.org/officeDocument/2006/relationships/hyperlink" Target="https://doi.org/10.1016/s0920-3796(01)00433-1" TargetMode="External"/><Relationship Id="rId142" Type="http://schemas.openxmlformats.org/officeDocument/2006/relationships/hyperlink" Target="https://doi.org/10.1063/1.4892157" TargetMode="External"/><Relationship Id="rId143" Type="http://schemas.openxmlformats.org/officeDocument/2006/relationships/hyperlink" Target="https://doi.org/10.1016/j.fusengdes.2007.06.025" TargetMode="External"/><Relationship Id="rId144" Type="http://schemas.openxmlformats.org/officeDocument/2006/relationships/hyperlink" Target="https://www.sciencedirect.com/science/article/pii/S0920379612005790" TargetMode="External"/><Relationship Id="rId145" Type="http://schemas.openxmlformats.org/officeDocument/2006/relationships/hyperlink" Target="https://doi.org/10.1016/s0920-3796(99)00090-3" TargetMode="External"/><Relationship Id="rId146" Type="http://schemas.openxmlformats.org/officeDocument/2006/relationships/hyperlink" Target="https://publikationen.bibliothek.kit.edu/1000179367" TargetMode="External"/><Relationship Id="rId147" Type="http://schemas.openxmlformats.org/officeDocument/2006/relationships/hyperlink" Target="https://doi.org/10.1016/j.fusengdes.2021.112502" TargetMode="External"/><Relationship Id="rId148" Type="http://schemas.openxmlformats.org/officeDocument/2006/relationships/hyperlink" Target="https://scientific-publications.ukaea.uk/papers/jet-exhaust-detritiation-system-replacement-design-commissioning-and-operation" TargetMode="External"/><Relationship Id="rId149" Type="http://schemas.openxmlformats.org/officeDocument/2006/relationships/hyperlink" Target="https://doi.org/10.1016/j.fusengdes.2011.01.138" TargetMode="External"/><Relationship Id="rId150" Type="http://schemas.openxmlformats.org/officeDocument/2006/relationships/hyperlink" Target="https://www.jspf.or.jp/PFR/PFR_articles/pfr2023/pfr2023_18-1405070.html" TargetMode="External"/><Relationship Id="rId151" Type="http://schemas.openxmlformats.org/officeDocument/2006/relationships/hyperlink" Target="https://www.iter.org/node/20687/remote-handling-confirmed" TargetMode="External"/><Relationship Id="rId152" Type="http://schemas.openxmlformats.org/officeDocument/2006/relationships/hyperlink" Target="https://www.iter.org/machine/supporting-systems/cooling-water" TargetMode="External"/><Relationship Id="rId153" Type="http://schemas.openxmlformats.org/officeDocument/2006/relationships/hyperlink" Target="https://doi.org/10.1016/j.fusengdes.2025.115517" TargetMode="External"/><Relationship Id="rId154" Type="http://schemas.openxmlformats.org/officeDocument/2006/relationships/hyperlink" Target="https://www.sciencedirect.com/science/article/abs/pii/S0920379603002667" TargetMode="External"/><Relationship Id="rId155" Type="http://schemas.openxmlformats.org/officeDocument/2006/relationships/hyperlink" Target="https://sites.google.com/a/pppl.gov/nstx-u/research/data-management-plan" TargetMode="External"/><Relationship Id="rId156" Type="http://schemas.openxmlformats.org/officeDocument/2006/relationships/hyperlink" Target="https://nstx.pppl.gov/software-tools/WebTools/index.html" TargetMode="External"/><Relationship Id="rId157" Type="http://schemas.openxmlformats.org/officeDocument/2006/relationships/hyperlink" Target="https://doi.org/10.1063/5.0218254" TargetMode="External"/><Relationship Id="rId158" Type="http://schemas.openxmlformats.org/officeDocument/2006/relationships/hyperlink" Target="https://meetings-archive.aps.org/dpp/2023/jp11/136" TargetMode="External"/><Relationship Id="rId159" Type="http://schemas.openxmlformats.org/officeDocument/2006/relationships/image" Target="media/image5.png"/><Relationship Id="rId160" Type="http://schemas.openxmlformats.org/officeDocument/2006/relationships/hyperlink" Target="https://doi.org/10.1088/1361-6587/ac7ad2" TargetMode="External"/><Relationship Id="rId161" Type="http://schemas.openxmlformats.org/officeDocument/2006/relationships/hyperlink" Target="https://doi.org/10.1063/1.5031087" TargetMode="External"/><Relationship Id="rId162" Type="http://schemas.openxmlformats.org/officeDocument/2006/relationships/hyperlink" Target="https://doi.org/10.5281/zenodo.1206142" TargetMode="External"/><Relationship Id="rId163" Type="http://schemas.openxmlformats.org/officeDocument/2006/relationships/hyperlink" Target="https://github.com/cherab/core" TargetMode="External"/><Relationship Id="rId164" Type="http://schemas.openxmlformats.org/officeDocument/2006/relationships/hyperlink" Target="https://github.com/raysect/source" TargetMode="External"/><Relationship Id="rId165" Type="http://schemas.openxmlformats.org/officeDocument/2006/relationships/hyperlink" Target="https://github.com/cherab/imas" TargetMode="External"/><Relationship Id="rId166" Type="http://schemas.openxmlformats.org/officeDocument/2006/relationships/hyperlink" Target="https://doi.org/10.1063/5.0043786" TargetMode="External"/><Relationship Id="rId167" Type="http://schemas.openxmlformats.org/officeDocument/2006/relationships/hyperlink" Target="https://doi.org/10.1088/1741-4326/aa9abb" TargetMode="External"/><Relationship Id="rId168" Type="http://schemas.openxmlformats.org/officeDocument/2006/relationships/hyperlink" Target="https://doi.org/10.1063/5.0219477" TargetMode="External"/><Relationship Id="rId169" Type="http://schemas.openxmlformats.org/officeDocument/2006/relationships/hyperlink" Target="https://github.com/hoppe93/SOFT" TargetMode="External"/><Relationship Id="rId170" Type="http://schemas.openxmlformats.org/officeDocument/2006/relationships/hyperlink" Target="https://tofuproject.github.io/tofu/index.html" TargetMode="External"/><Relationship Id="rId171" Type="http://schemas.openxmlformats.org/officeDocument/2006/relationships/hyperlink" Target="https://github.com/ToFuProject/tofu" TargetMode="External"/><Relationship Id="rId172" Type="http://schemas.openxmlformats.org/officeDocument/2006/relationships/hyperlink" Target="https://xicsrt.readthedocs.io" TargetMode="External"/><Relationship Id="rId173" Type="http://schemas.openxmlformats.org/officeDocument/2006/relationships/hyperlink" Target="https://meetings-archive.aps.org/dpp/2020/jp13/96" TargetMode="External"/><Relationship Id="rId174" Type="http://schemas.openxmlformats.org/officeDocument/2006/relationships/hyperlink" Target="https://github.com/PrincetonUniversity/xicsrt" TargetMode="External"/><Relationship Id="rId175" Type="http://schemas.openxmlformats.org/officeDocument/2006/relationships/hyperlink" Target="https://doi.org/10.1016/j.cpc.2020.107175" TargetMode="External"/><Relationship Id="rId176" Type="http://schemas.openxmlformats.org/officeDocument/2006/relationships/hyperlink" Target="https://github.com/AreWeDreaming/ECRad" TargetMode="External"/><Relationship Id="rId177" Type="http://schemas.openxmlformats.org/officeDocument/2006/relationships/hyperlink" Target="https://doi.org/10.1016/j.fusengdes.2024.114354" TargetMode="External"/><Relationship Id="rId178" Type="http://schemas.openxmlformats.org/officeDocument/2006/relationships/hyperlink" Target="https://doi.org/10.1016/j.fusengdes.2021.112652" TargetMode="External"/><Relationship Id="rId179" Type="http://schemas.openxmlformats.org/officeDocument/2006/relationships/hyperlink" Target="https://doi.org/10.1088/1361-6587/aa5234" TargetMode="External"/><Relationship Id="rId180" Type="http://schemas.openxmlformats.org/officeDocument/2006/relationships/hyperlink" Target="https://arxiv.org/abs/1908.02482" TargetMode="External"/><Relationship Id="rId181" Type="http://schemas.openxmlformats.org/officeDocument/2006/relationships/hyperlink" Target="https://arxiv.org/abs/1910.03284" TargetMode="External"/><Relationship Id="rId182" Type="http://schemas.openxmlformats.org/officeDocument/2006/relationships/hyperlink" Target="https://github.com/ascot4fusion/ascot5" TargetMode="External"/><Relationship Id="rId183" Type="http://schemas.openxmlformats.org/officeDocument/2006/relationships/hyperlink" Target="https://doi.org/10.1016/j.cpc.2015.10.010" TargetMode="External"/><Relationship Id="rId184" Type="http://schemas.openxmlformats.org/officeDocument/2006/relationships/hyperlink" Target="https://doi.org/10.1088/1361-6587/abca7d" TargetMode="External"/><Relationship Id="rId185" Type="http://schemas.openxmlformats.org/officeDocument/2006/relationships/hyperlink" Target="https://github.com/jacob-eri/pydress" TargetMode="External"/><Relationship Id="rId186" Type="http://schemas.openxmlformats.org/officeDocument/2006/relationships/hyperlink" Target="https://doi.org/10.1088/1361-6587/ad268f" TargetMode="External"/><Relationship Id="rId187" Type="http://schemas.openxmlformats.org/officeDocument/2006/relationships/hyperlink" Target="https://doi.org/10.1016/j.fusengdes.2024.114520" TargetMode="External"/><Relationship Id="rId188" Type="http://schemas.openxmlformats.org/officeDocument/2006/relationships/hyperlink" Target="https://doi.org/10.1088/1741-4326/ad6885" TargetMode="External"/><Relationship Id="rId189" Type="http://schemas.openxmlformats.org/officeDocument/2006/relationships/hyperlink" Target="https://github.com/JoseRuedaRueda/ScintSuite" TargetMode="External"/><Relationship Id="rId190" Type="http://schemas.openxmlformats.org/officeDocument/2006/relationships/hyperlink" Target="https://doi.org/10.1063/1.4764564" TargetMode="External"/><Relationship Id="rId191" Type="http://schemas.openxmlformats.org/officeDocument/2006/relationships/image" Target="media/image6.png"/><Relationship Id="rId192" Type="http://schemas.openxmlformats.org/officeDocument/2006/relationships/hyperlink" Target="https://doi.org/10.1016/j.cpc.2016.09.011" TargetMode="External"/><Relationship Id="rId193" Type="http://schemas.openxmlformats.org/officeDocument/2006/relationships/hyperlink" Target="https://github.com/icfaust/TRIPPy" TargetMode="External"/><Relationship Id="rId194" Type="http://schemas.openxmlformats.org/officeDocument/2006/relationships/hyperlink" Target="https://github.com/PSFCPlasmaTools/eqtools" TargetMode="External"/><Relationship Id="rId195" Type="http://schemas.openxmlformats.org/officeDocument/2006/relationships/hyperlink" Target="https://doi.org/10.1088/0741-3335/50/8/085002" TargetMode="External"/><Relationship Id="rId196" Type="http://schemas.openxmlformats.org/officeDocument/2006/relationships/hyperlink" Target="https://arxiv.org/abs/1002.3189" TargetMode="External"/><Relationship Id="rId197" Type="http://schemas.openxmlformats.org/officeDocument/2006/relationships/hyperlink" Target="https://conferences.iaea.org/event/251/contributions/20678" TargetMode="External"/><Relationship Id="rId198" Type="http://schemas.openxmlformats.org/officeDocument/2006/relationships/hyperlink" Target="https://doi.org/10.13182/fst10-110" TargetMode="External"/><Relationship Id="rId199" Type="http://schemas.openxmlformats.org/officeDocument/2006/relationships/hyperlink" Target="https://doi.org/10.1088/1741-4326/ab7d51" TargetMode="External"/><Relationship Id="rId200" Type="http://schemas.openxmlformats.org/officeDocument/2006/relationships/hyperlink" Target="https://doi.org/10.1088/1748-0221/16/12/c12015" TargetMode="External"/><Relationship Id="rId201" Type="http://schemas.openxmlformats.org/officeDocument/2006/relationships/hyperlink" Target="https://github.com/Tomotok/core" TargetMode="External"/><Relationship Id="rId202" Type="http://schemas.openxmlformats.org/officeDocument/2006/relationships/hyperlink" Target="https://doi.org/10.1080/15361055.2017.1380482" TargetMode="External"/><Relationship Id="rId203" Type="http://schemas.openxmlformats.org/officeDocument/2006/relationships/hyperlink" Target="https://doi.org/10.1088/1741-4326/abae85" TargetMode="External"/><Relationship Id="rId204" Type="http://schemas.openxmlformats.org/officeDocument/2006/relationships/hyperlink" Target="https://doi.org/10.1063/5.0043765" TargetMode="External"/><Relationship Id="rId205" Type="http://schemas.openxmlformats.org/officeDocument/2006/relationships/hyperlink" Target="https://github.com/fsciortino/Aurora" TargetMode="External"/><Relationship Id="rId206" Type="http://schemas.openxmlformats.org/officeDocument/2006/relationships/hyperlink" Target="https://indica-ukaea.readthedocs.io" TargetMode="External"/><Relationship Id="rId207" Type="http://schemas.openxmlformats.org/officeDocument/2006/relationships/hyperlink" Target="https://pypi.org/project/indica" TargetMode="External"/><Relationship Id="rId208" Type="http://schemas.openxmlformats.org/officeDocument/2006/relationships/hyperlink" Target="https://github.com/indica-mcf/Indica" TargetMode="External"/><Relationship Id="rId209" Type="http://schemas.openxmlformats.org/officeDocument/2006/relationships/hyperlink" Target="https://doi.org/10.1063/1.3677362" TargetMode="External"/><Relationship Id="rId210" Type="http://schemas.openxmlformats.org/officeDocument/2006/relationships/hyperlink" Target="https://doi.org/10.1038/s41467-025-63492-1" TargetMode="External"/><Relationship Id="rId211" Type="http://schemas.openxmlformats.org/officeDocument/2006/relationships/hyperlink" Target="https://github.com/PlasmaControl/Diag2Diag-SRTS" TargetMode="External"/><Relationship Id="rId212" Type="http://schemas.openxmlformats.org/officeDocument/2006/relationships/image" Target="media/image7.png"/><Relationship Id="rId213" Type="http://schemas.openxmlformats.org/officeDocument/2006/relationships/hyperlink" Target="https://doi.org/10.1016/j.fusengdes.2017.02.093" TargetMode="External"/><Relationship Id="rId214" Type="http://schemas.openxmlformats.org/officeDocument/2006/relationships/hyperlink" Target="https://doi.org/10.1088/1741-4326/aac8f0" TargetMode="External"/><Relationship Id="rId215" Type="http://schemas.openxmlformats.org/officeDocument/2006/relationships/hyperlink" Target="https://doi.org/10.1038/s41586-019-1116-4" TargetMode="External"/><Relationship Id="rId216" Type="http://schemas.openxmlformats.org/officeDocument/2006/relationships/hyperlink" Target="https://github.com/PPPLDeepLearning/plasma-python" TargetMode="External"/><Relationship Id="rId217" Type="http://schemas.openxmlformats.org/officeDocument/2006/relationships/hyperlink" Target="https://github.com/MIT-PSFC/disruption-py" TargetMode="External"/><Relationship Id="rId218" Type="http://schemas.openxmlformats.org/officeDocument/2006/relationships/image" Target="media/image8.png"/><Relationship Id="rId219" Type="http://schemas.openxmlformats.org/officeDocument/2006/relationships/hyperlink" Target="https://doi.org/10.1016/j.fusengdes.2014.04.030" TargetMode="External"/><Relationship Id="rId220" Type="http://schemas.openxmlformats.org/officeDocument/2006/relationships/hyperlink" Target="https://doi.org/10.1016/j.fusengdes.2008.01.015" TargetMode="External"/><Relationship Id="rId221" Type="http://schemas.openxmlformats.org/officeDocument/2006/relationships/hyperlink" Target="https://pure.mpg.de/pubman/item/item_2540278_4/component/file_2540277/IPP2018_02.pdf" TargetMode="External"/><Relationship Id="rId222" Type="http://schemas.openxmlformats.org/officeDocument/2006/relationships/hyperlink" Target="https://www.osti.gov/biblio/20854266" TargetMode="External"/><Relationship Id="rId223" Type="http://schemas.openxmlformats.org/officeDocument/2006/relationships/hyperlink" Target="https://science.osti.gov/fes/Facilities/User-Facilities/DIII-D" TargetMode="External"/><Relationship Id="rId224" Type="http://schemas.openxmlformats.org/officeDocument/2006/relationships/hyperlink" Target="https://www.ga.com/magnetic-fusion/diii-d" TargetMode="External"/><Relationship Id="rId225" Type="http://schemas.openxmlformats.org/officeDocument/2006/relationships/hyperlink" Target="https://doi.org/10.1016/j.fusengdes.2017.05.005" TargetMode="External"/><Relationship Id="rId226" Type="http://schemas.openxmlformats.org/officeDocument/2006/relationships/hyperlink" Target="https://doi.org/10.1063/1.5035452" TargetMode="External"/><Relationship Id="rId227" Type="http://schemas.openxmlformats.org/officeDocument/2006/relationships/hyperlink" Target="https://doi.org/10.1063/1.4960598" TargetMode="External"/><Relationship Id="rId228" Type="http://schemas.openxmlformats.org/officeDocument/2006/relationships/hyperlink" Target="https://conferences.iaea.org/event/392/contributions/35908" TargetMode="External"/><Relationship Id="rId229" Type="http://schemas.openxmlformats.org/officeDocument/2006/relationships/hyperlink" Target="https://en.ennresearch.com/researchfield/Compactfusion/EHL_2" TargetMode="External"/><Relationship Id="rId230" Type="http://schemas.openxmlformats.org/officeDocument/2006/relationships/hyperlink" Target="https://conferences.iaea.org/event/392/papers/35908/files/13899-FEC2025_EHL2-Manuscript-Xie-V6.pdf" TargetMode="External"/><Relationship Id="rId231" Type="http://schemas.openxmlformats.org/officeDocument/2006/relationships/hyperlink" Target="https://doi.org/10.1088/1741-4326/adf239" TargetMode="External"/><Relationship Id="rId232" Type="http://schemas.openxmlformats.org/officeDocument/2006/relationships/hyperlink" Target="https://doi.org/10.1088/2058-6272/ad9e8f" TargetMode="External"/><Relationship Id="rId233" Type="http://schemas.openxmlformats.org/officeDocument/2006/relationships/hyperlink" Target="https://doi.org/10.1088/2058-6272/ae23a3" TargetMode="External"/><Relationship Id="rId234" Type="http://schemas.openxmlformats.org/officeDocument/2006/relationships/hyperlink" Target="https://conferences.iaea.org/event/392/papers/35644/files/13873-OV2999-EXL-50UOverview-YJShi.pdf" TargetMode="External"/><Relationship Id="rId235" Type="http://schemas.openxmlformats.org/officeDocument/2006/relationships/hyperlink" Target="https://arxiv.org/abs/2104.14844" TargetMode="External"/><Relationship Id="rId236" Type="http://schemas.openxmlformats.org/officeDocument/2006/relationships/hyperlink" Target="https://www.clpu.es/src/uploads/2021/05/Zhongbing_Shi-b7a.pdf" TargetMode="External"/><Relationship Id="rId237" Type="http://schemas.openxmlformats.org/officeDocument/2006/relationships/hyperlink" Target="https://doi.org/10.1007/s41365-019-0702-3" TargetMode="External"/><Relationship Id="rId238" Type="http://schemas.openxmlformats.org/officeDocument/2006/relationships/hyperlink" Target="https://doi.org/10.1016/j.fusengdes.2023.114114" TargetMode="External"/><Relationship Id="rId239" Type="http://schemas.openxmlformats.org/officeDocument/2006/relationships/hyperlink" Target="https://doi.org/10.1088/0029-5515/47/6/s07" TargetMode="External"/><Relationship Id="rId240" Type="http://schemas.openxmlformats.org/officeDocument/2006/relationships/hyperlink" Target="https://www.iter.org/sites/default/files/media/2026-01/vol.1_ch.04_role_and_distinctive_feature_dv4qgd_v2_0.pdf" TargetMode="External"/><Relationship Id="rId241" Type="http://schemas.openxmlformats.org/officeDocument/2006/relationships/hyperlink" Target="https://www.iter.org/machine/supporting-systems/codac/codac-core-system" TargetMode="External"/><Relationship Id="rId242" Type="http://schemas.openxmlformats.org/officeDocument/2006/relationships/hyperlink" Target="https://doi.org/10.1016/j.fusengdes.2019.111450" TargetMode="External"/><Relationship Id="rId243" Type="http://schemas.openxmlformats.org/officeDocument/2006/relationships/hyperlink" Target="https://doi.org/10.1016/j.fusengdes.2013.10.014" TargetMode="External"/><Relationship Id="rId244" Type="http://schemas.openxmlformats.org/officeDocument/2006/relationships/hyperlink" Target="https://www-pub.iaea.org/mtcd/meetings/pdfplus/2010/cn180/cn180_papers/ov_p-8.pdf" TargetMode="External"/><Relationship Id="rId245" Type="http://schemas.openxmlformats.org/officeDocument/2006/relationships/hyperlink" Target="https://scientific-publications.ukaea.uk/papers/status-of-the-jet-lidar-thomson-scattering-diagnostic" TargetMode="External"/><Relationship Id="rId246" Type="http://schemas.openxmlformats.org/officeDocument/2006/relationships/hyperlink" Target="https://doi.org/10.1063/1.2336447" TargetMode="External"/><Relationship Id="rId247" Type="http://schemas.openxmlformats.org/officeDocument/2006/relationships/hyperlink" Target="https://scientific-publications.ukaea.uk/papers/deuterium-density-profile-determination-at-jet-using-a-neutron-cameraa-neutron-spectrometer" TargetMode="External"/><Relationship Id="rId248" Type="http://schemas.openxmlformats.org/officeDocument/2006/relationships/hyperlink" Target="https://transp.jetdata.eu/docs/Running%20Transp/Input/MDSplus/MDSplus.htm" TargetMode="External"/><Relationship Id="rId249" Type="http://schemas.openxmlformats.org/officeDocument/2006/relationships/hyperlink" Target="https://users.euro-fusion.org" TargetMode="External"/><Relationship Id="rId250" Type="http://schemas.openxmlformats.org/officeDocument/2006/relationships/hyperlink" Target="https://www.jt60sa.org/pdfs/JT-60SA_Res_Plan.pdf" TargetMode="External"/><Relationship Id="rId251" Type="http://schemas.openxmlformats.org/officeDocument/2006/relationships/hyperlink" Target="https://arxiv.org/abs/2601.09906" TargetMode="External"/><Relationship Id="rId252" Type="http://schemas.openxmlformats.org/officeDocument/2006/relationships/hyperlink" Target="https://www.jt60sa.org/wp/wp-content/uploads/2026/04/call_for_ET_2026.pdf" TargetMode="External"/><Relationship Id="rId253" Type="http://schemas.openxmlformats.org/officeDocument/2006/relationships/hyperlink" Target="https://doi.org/10.1016/j.fusengdes.2009.10.007" TargetMode="External"/><Relationship Id="rId254" Type="http://schemas.openxmlformats.org/officeDocument/2006/relationships/hyperlink" Target="https://doi.org/10.1063/1.3483209" TargetMode="External"/><Relationship Id="rId255" Type="http://schemas.openxmlformats.org/officeDocument/2006/relationships/hyperlink" Target="https://doi.org/10.1016/j.fusengdes.2011.03.006" TargetMode="External"/><Relationship Id="rId256" Type="http://schemas.openxmlformats.org/officeDocument/2006/relationships/hyperlink" Target="https://www-lhd.nifs.ac.jp/pub/Repository_en.html" TargetMode="External"/><Relationship Id="rId257" Type="http://schemas.openxmlformats.org/officeDocument/2006/relationships/hyperlink" Target="https://www-lhd.nifs.ac.jp/pub/RightsTerms.html" TargetMode="External"/><Relationship Id="rId258" Type="http://schemas.openxmlformats.org/officeDocument/2006/relationships/hyperlink" Target="https://w3.lhd.nifs.ac.jp/LHD_Opendata.htm" TargetMode="External"/><Relationship Id="rId259" Type="http://schemas.openxmlformats.org/officeDocument/2006/relationships/hyperlink" Target="https://doi.org/10.57451/lhd.analyzed-data" TargetMode="External"/><Relationship Id="rId260" Type="http://schemas.openxmlformats.org/officeDocument/2006/relationships/hyperlink" Target="https://w3.lhd.nifs.ac.jp/en/Service/DataAccess/RetrieveManual-e.htm" TargetMode="External"/><Relationship Id="rId261" Type="http://schemas.openxmlformats.org/officeDocument/2006/relationships/hyperlink" Target="https://doi.org/10.1063/5.0156334" TargetMode="External"/><Relationship Id="rId262" Type="http://schemas.openxmlformats.org/officeDocument/2006/relationships/hyperlink" Target="https://scientific-publications.ukaea.uk/papers/overview-and-first-measurements-of-the-mast-upgrade-bolometer-diagnostic" TargetMode="External"/><Relationship Id="rId263" Type="http://schemas.openxmlformats.org/officeDocument/2006/relationships/hyperlink" Target="https://ccfe.ukaea.uk/wp-content/uploads/2019/12/MAST-U_RP_2019_v1.pdf" TargetMode="External"/><Relationship Id="rId264" Type="http://schemas.openxmlformats.org/officeDocument/2006/relationships/hyperlink" Target="https://nstx.pppl.gov/software-tools/MDSplus/index.html" TargetMode="External"/><Relationship Id="rId265" Type="http://schemas.openxmlformats.org/officeDocument/2006/relationships/hyperlink" Target="https://nstx.pppl.gov/nstx-archive/Software/Overview/index.html" TargetMode="External"/><Relationship Id="rId266" Type="http://schemas.openxmlformats.org/officeDocument/2006/relationships/hyperlink" Target="https://doi.org/10.1063/5.0219538" TargetMode="External"/><Relationship Id="rId267" Type="http://schemas.openxmlformats.org/officeDocument/2006/relationships/hyperlink" Target="https://www.epfl.ch/research/domains/swiss-plasma-center/tcv-diagnostics" TargetMode="External"/><Relationship Id="rId268" Type="http://schemas.openxmlformats.org/officeDocument/2006/relationships/hyperlink" Target="https://www.epfl.ch/research/domains/swiss-plasma-center/tcv-active-diagnostics" TargetMode="External"/><Relationship Id="rId269" Type="http://schemas.openxmlformats.org/officeDocument/2006/relationships/hyperlink" Target="https://www.epfl.ch/research/domains/swiss-plasma-center?p=5281" TargetMode="External"/><Relationship Id="rId270" Type="http://schemas.openxmlformats.org/officeDocument/2006/relationships/hyperlink" Target="https://doi.org/10.1063/1.4964376" TargetMode="External"/><Relationship Id="rId271" Type="http://schemas.openxmlformats.org/officeDocument/2006/relationships/hyperlink" Target="https://doi.org/10.1016/j.fusengdes.2018.02.022" TargetMode="External"/><Relationship Id="rId272" Type="http://schemas.openxmlformats.org/officeDocument/2006/relationships/hyperlink" Target="https://archive-webapi.ipp-hgw.mpg.de" TargetMode="External"/><Relationship Id="rId273" Type="http://schemas.openxmlformats.org/officeDocument/2006/relationships/hyperlink" Target="https://doi.org/10.1088/1741-4326/ad5a1f" TargetMode="External"/><Relationship Id="rId274" Type="http://schemas.openxmlformats.org/officeDocument/2006/relationships/hyperlink" Target="https://list.cea.fr/fr/19-septembre-2025-un-outil-developpe-pour-west-integre-dans-civa-reference-mondiale-du-controle-non-destructif" TargetMode="External"/><Relationship Id="rId275"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聚变诊断技术图谱研究报告</dc:title>
  <dc:subject>Fusion diagnostics, synthetic diagnostics, device applications and digital-twin roadmap</dc:subject>
  <dc:creator>新奥聚变人工智能团队</dc:creator>
  <cp:keywords/>
  <dc:description>FusionDigital diagnostics atlas; as of 2026-08-12</dc:description>
  <cp:lastModifiedBy/>
  <cp:revision>1</cp:revision>
  <dcterms:created xsi:type="dcterms:W3CDTF">2013-12-23T23:15:00Z</dcterms:created>
  <dcterms:modified xsi:type="dcterms:W3CDTF">2013-12-23T23:15:00Z</dcterms:modified>
  <cp:category/>
</cp:coreProperties>
</file>