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18" w:space="4" w:color="E86F2A"/>
        </w:pBdr>
      </w:pPr>
      <w:r>
        <w:rPr>
          <w:rFonts w:ascii="Microsoft YaHei" w:hAnsi="Microsoft YaHei" w:eastAsia="Microsoft YaHei"/>
          <w:b/>
          <w:color w:val="E86F2A"/>
          <w:sz w:val="18"/>
        </w:rPr>
        <w:t>FUSIONDIGITAL · PLATFORM BLUEPRINT</w:t>
      </w:r>
    </w:p>
    <w:p>
      <w:pPr>
        <w:spacing w:after="480"/>
      </w:pPr>
    </w:p>
    <w:p>
      <w:pPr>
        <w:pStyle w:val="Title"/>
      </w:pPr>
      <w:r>
        <w:rPr>
          <w:rFonts w:ascii="Microsoft YaHei" w:hAnsi="Microsoft YaHei" w:eastAsia="Microsoft YaHei"/>
        </w:rPr>
        <w:t>FusionDigital</w:t>
        <w:br/>
        <w:t>整体技术路线图</w:t>
      </w:r>
    </w:p>
    <w:p>
      <w:pPr>
        <w:pStyle w:val="Subtitle"/>
      </w:pPr>
      <w:r>
        <w:rPr>
          <w:rFonts w:ascii="Microsoft YaHei" w:hAnsi="Microsoft YaHei" w:eastAsia="Microsoft YaHei"/>
        </w:rPr>
        <w:t>从公开展示原型到可复现的科学、工程与控制协作平台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10" w:type="dxa"/>
        <w:tblBorders>
          <w:top w:val="single" w:sz="4" w:color="D7DEDA"/>
          <w:left w:val="single" w:sz="4" w:color="D7DEDA"/>
          <w:bottom w:val="single" w:sz="4" w:color="D7DEDA"/>
          <w:right w:val="single" w:sz="4" w:color="D7DEDA"/>
          <w:insideH w:val="single" w:sz="4" w:color="D7DEDA"/>
          <w:insideV w:val="single" w:sz="4" w:color="D7DEDA"/>
        </w:tblBorders>
      </w:tblPr>
      <w:tblGrid>
        <w:gridCol w:w="1512"/>
        <w:gridCol w:w="7848"/>
      </w:tblGrid>
      <w:tr>
        <w:trPr>
          <w:cantSplit/>
        </w:trPr>
        <w:tc>
          <w:tcPr>
            <w:tcW w:type="dxa" w:w="1512"/>
            <w:tcMar>
              <w:top w:w="90" w:type="dxa"/>
              <w:start w:w="110" w:type="dxa"/>
              <w:bottom w:w="90" w:type="dxa"/>
              <w:end w:w="110" w:type="dxa"/>
            </w:tcMar>
            <w:shd w:fill="F2F4F3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sz w:val="18"/>
              </w:rPr>
              <w:t>版本</w:t>
            </w:r>
          </w:p>
        </w:tc>
        <w:tc>
          <w:tcPr>
            <w:tcW w:type="dxa" w:w="784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8"/>
              </w:rPr>
              <w:t>2026-08-15</w:t>
            </w:r>
          </w:p>
        </w:tc>
      </w:tr>
      <w:tr>
        <w:trPr>
          <w:cantSplit/>
        </w:trPr>
        <w:tc>
          <w:tcPr>
            <w:tcW w:type="dxa" w:w="1512"/>
            <w:tcMar>
              <w:top w:w="90" w:type="dxa"/>
              <w:start w:w="110" w:type="dxa"/>
              <w:bottom w:w="90" w:type="dxa"/>
              <w:end w:w="110" w:type="dxa"/>
            </w:tcMar>
            <w:shd w:fill="F2F4F3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sz w:val="18"/>
              </w:rPr>
              <w:t>状态</w:t>
            </w:r>
          </w:p>
        </w:tc>
        <w:tc>
          <w:tcPr>
            <w:tcW w:type="dxa" w:w="784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8"/>
              </w:rPr>
              <w:t>建议架构 / 实施路线</w:t>
            </w:r>
          </w:p>
        </w:tc>
      </w:tr>
      <w:tr>
        <w:trPr>
          <w:cantSplit/>
        </w:trPr>
        <w:tc>
          <w:tcPr>
            <w:tcW w:type="dxa" w:w="1512"/>
            <w:tcMar>
              <w:top w:w="90" w:type="dxa"/>
              <w:start w:w="110" w:type="dxa"/>
              <w:bottom w:w="90" w:type="dxa"/>
              <w:end w:w="110" w:type="dxa"/>
            </w:tcMar>
            <w:shd w:fill="F2F4F3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sz w:val="18"/>
              </w:rPr>
              <w:t>范围</w:t>
            </w:r>
          </w:p>
        </w:tc>
        <w:tc>
          <w:tcPr>
            <w:tcW w:type="dxa" w:w="784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8"/>
              </w:rPr>
              <w:t>知识、三维、LLM/智能体、物理与工程仿真、诊断、控制、数据基座</w:t>
            </w:r>
          </w:p>
        </w:tc>
      </w:tr>
      <w:tr>
        <w:trPr>
          <w:cantSplit/>
        </w:trPr>
        <w:tc>
          <w:tcPr>
            <w:tcW w:type="dxa" w:w="1512"/>
            <w:tcMar>
              <w:top w:w="90" w:type="dxa"/>
              <w:start w:w="110" w:type="dxa"/>
              <w:bottom w:w="90" w:type="dxa"/>
              <w:end w:w="110" w:type="dxa"/>
            </w:tcMar>
            <w:shd w:fill="F2F4F3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/>
                <w:sz w:val="18"/>
              </w:rPr>
              <w:t>适用</w:t>
            </w:r>
          </w:p>
        </w:tc>
        <w:tc>
          <w:tcPr>
            <w:tcW w:type="dxa" w:w="784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8"/>
              </w:rPr>
              <w:t>FusionDigital 下一阶段建设与跨团队技术沟通</w:t>
            </w:r>
          </w:p>
        </w:tc>
      </w:tr>
    </w:tbl>
    <w:p>
      <w:pPr>
        <w:spacing w:after="4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shd w:fill="FFF4EA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E86F2A"/>
                <w:sz w:val="20"/>
              </w:rPr>
              <w:t>核心决策</w:t>
            </w:r>
          </w:p>
          <w:p>
            <w:pPr>
              <w:spacing w:after="0"/>
            </w:pPr>
            <w:r>
              <w:rPr>
                <w:rFonts w:ascii="Microsoft YaHei" w:hAnsi="Microsoft YaHei" w:eastAsia="Microsoft YaHei"/>
              </w:rPr>
              <w:t>保留现有站点为公开投影面；新建内网科学平台承载 MDSplus、NAS、对象存储、CAD/CAE、仿真和诊断；PCS、联锁与保护留在隔离的实时域。三者只通过版本化、可审查、可重放的合同连接。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1. 执行摘要</w:t>
      </w:r>
    </w:p>
    <w:p>
      <w:r>
        <w:rPr>
          <w:rFonts w:ascii="Microsoft YaHei" w:hAnsi="Microsoft YaHei" w:eastAsia="Microsoft YaHei"/>
        </w:rPr>
        <w:t>FusionDigital 当前已经不是纯静态网站。代码中已具备 React/vinext 前端、Cloudflare Worker、Sign in with ChatGPT、D1 用户/角色/配额/审计、研究候选审核、确定性检索、知识图谱、OpenAI Responses API、DeviceManifest 三维资产和 10 炮 5,804 帧 EFIT 回放。</w:t>
      </w:r>
    </w:p>
    <w:p>
      <w:r>
        <w:rPr>
          <w:rFonts w:ascii="Microsoft YaHei" w:hAnsi="Microsoft YaHei" w:eastAsia="Microsoft YaHei"/>
        </w:rPr>
        <w:t>但当前系统仍应定义为：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shd w:fill="EEF3F8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spacing w:after="80"/>
            </w:pPr>
            <w:r>
              <w:rPr>
                <w:rFonts w:ascii="Microsoft YaHei" w:hAnsi="Microsoft YaHei" w:eastAsia="Microsoft YaHei"/>
                <w:b/>
                <w:color w:val="E86F2A"/>
                <w:sz w:val="20"/>
              </w:rPr>
              <w:t>当前系统定位</w:t>
            </w:r>
          </w:p>
          <w:p>
            <w:pPr>
              <w:spacing w:after="0"/>
            </w:pPr>
            <w:r>
              <w:rPr>
                <w:rFonts w:ascii="Microsoft YaHei" w:hAnsi="Microsoft YaHei" w:eastAsia="Microsoft YaHei"/>
              </w:rPr>
              <w:t>公开研究门户 + 静态知识快照 + 浏览器三维/EFIT 可视化 + D1 身份与审核控制面。</w:t>
            </w:r>
          </w:p>
        </w:tc>
      </w:tr>
    </w:tbl>
    <w:p>
      <w:pPr>
        <w:spacing w:after="0"/>
      </w:pPr>
    </w:p>
    <w:p>
      <w:r>
        <w:rPr>
          <w:rFonts w:ascii="Microsoft YaHei" w:hAnsi="Microsoft YaHei" w:eastAsia="Microsoft YaHei"/>
        </w:rPr>
        <w:t>它尚未运行连接 MDSplus、NAS、对象存储、PLM/PDM、CAD/CAE、MEQ/FGE、DINA、诊断流或 PCS。继续把这些能力直接塞进现有 Web 项目，会把公开内容、科学数据、长任务和实时控制混成一个不可维护的系统。</w:t>
      </w:r>
    </w:p>
    <w:p>
      <w:r>
        <w:rPr>
          <w:rFonts w:ascii="Microsoft YaHei" w:hAnsi="Microsoft YaHei" w:eastAsia="Microsoft YaHei"/>
        </w:rPr>
        <w:t>目标架构采用三平面：</w:t>
      </w:r>
    </w:p>
    <w:p>
      <w:pPr>
        <w:ind w:left="259" w:hanging="259"/>
      </w:pPr>
      <w:r>
        <w:rPr>
          <w:rFonts w:ascii="Microsoft YaHei" w:hAnsi="Microsoft YaHei" w:eastAsia="Microsoft YaHei"/>
        </w:rPr>
        <w:t xml:space="preserve">1. </w:t>
      </w:r>
      <w:r>
        <w:rPr>
          <w:rFonts w:ascii="Microsoft YaHei" w:hAnsi="Microsoft YaHei" w:eastAsia="Microsoft YaHei"/>
          <w:b/>
        </w:rPr>
        <w:t>公开投影面</w:t>
      </w:r>
      <w:r>
        <w:rPr>
          <w:rFonts w:ascii="Microsoft YaHei" w:hAnsi="Microsoft YaHei" w:eastAsia="Microsoft YaHei"/>
        </w:rPr>
        <w:t>：保留现有 Sites/vinext/Worker/D1，提供公开知识、公开三维、公开 EFIT 和带引用问答。</w:t>
      </w:r>
    </w:p>
    <w:p>
      <w:pPr>
        <w:ind w:left="259" w:hanging="259"/>
      </w:pPr>
      <w:r>
        <w:rPr>
          <w:rFonts w:ascii="Microsoft YaHei" w:hAnsi="Microsoft YaHei" w:eastAsia="Microsoft YaHei"/>
        </w:rPr>
        <w:t xml:space="preserve">2. </w:t>
      </w:r>
      <w:r>
        <w:rPr>
          <w:rFonts w:ascii="Microsoft YaHei" w:hAnsi="Microsoft YaHei" w:eastAsia="Microsoft YaHei"/>
          <w:b/>
        </w:rPr>
        <w:t>内网科学平台面</w:t>
      </w:r>
      <w:r>
        <w:rPr>
          <w:rFonts w:ascii="Microsoft YaHei" w:hAnsi="Microsoft YaHei" w:eastAsia="Microsoft YaHei"/>
        </w:rPr>
        <w:t>：承载目录、对象存储、MDSplus 网关、PLM/PDM 引用、仿真作业、诊断产品、知识与智能体工具。</w:t>
      </w:r>
    </w:p>
    <w:p>
      <w:pPr>
        <w:ind w:left="259" w:hanging="259"/>
      </w:pPr>
      <w:r>
        <w:rPr>
          <w:rFonts w:ascii="Microsoft YaHei" w:hAnsi="Microsoft YaHei" w:eastAsia="Microsoft YaHei"/>
        </w:rPr>
        <w:t xml:space="preserve">3. </w:t>
      </w:r>
      <w:r>
        <w:rPr>
          <w:rFonts w:ascii="Microsoft YaHei" w:hAnsi="Microsoft YaHei" w:eastAsia="Microsoft YaHei"/>
          <w:b/>
        </w:rPr>
        <w:t>实验实时面</w:t>
      </w:r>
      <w:r>
        <w:rPr>
          <w:rFonts w:ascii="Microsoft YaHei" w:hAnsi="Microsoft YaHei" w:eastAsia="Microsoft YaHei"/>
        </w:rPr>
        <w:t>：承载 DAQ、PCS、联锁、保护和确定性实时算法；不允许浏览器、普通 Kubernetes 服务或 LLM 直接下发命令。</w:t>
      </w:r>
    </w:p>
    <w:p>
      <w:r>
        <w:rPr>
          <w:rFonts w:ascii="Microsoft YaHei" w:hAnsi="Microsoft YaHei" w:eastAsia="Microsoft YaHei"/>
        </w:rPr>
        <w:t>三者只通过已审查、签名、版本化的数据产品和任务合同连接。</w:t>
      </w:r>
    </w:p>
    <w:p>
      <w:pPr>
        <w:pStyle w:val="Heading1"/>
      </w:pPr>
      <w:r>
        <w:t>2. 当前系统真实基线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EDA"/>
          <w:left w:val="single" w:sz="4" w:color="D7DEDA"/>
          <w:bottom w:val="single" w:sz="4" w:color="D7DEDA"/>
          <w:right w:val="single" w:sz="4" w:color="D7DEDA"/>
          <w:insideH w:val="single" w:sz="4" w:color="D7DEDA"/>
          <w:insideV w:val="single" w:sz="4" w:color="D7DEDA"/>
        </w:tblBorders>
      </w:tblPr>
      <w:tblGrid>
        <w:gridCol w:w="3120"/>
        <w:gridCol w:w="3120"/>
        <w:gridCol w:w="3120"/>
      </w:tblGrid>
      <w:tr>
        <w:trPr>
          <w:cantSplit/>
          <w:tblHeader w:val="true"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能力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已实现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当前缺口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Web/BFF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React 19、vinext、Cloudflare Worker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无独立领域 API 或服务网关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身份与控制面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SIWC、D1、角色、配额、审计、候选审核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无企业 OIDC/项目级 ABAC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知识检索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Git 中生成的统一 JSON、确定性检索、无密钥回退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D1 知识表尚未成为读取源；无语义检索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知识图谱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静态图谱快照与受控 1–2 跳查询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未与 D1 Entity–Claim–Evidence 模型统一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LLM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服务端 Responses API、引用约束、配额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无 AI Gateway、Tool Broker 和模型注册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研究智能体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离线 dry-run、候选状态机、职责分离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未联网发现、自动导入或发布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三维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DeviceManifest、GLB/Meshopt、LOD、装配树、剖切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无 PLM/PDM 连接器、ResultManifest、通用 CAE 场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EFIT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v1/v2 混合数据源、哈希、分块加载、3D 叠加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无 MDSplus/Object Storage 运行时数据源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仿真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知识条目与页面规划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无 SimulationRun、容器调度、结果仓库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诊断与控制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研究目录与证据图谱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无诊断状态产品、SIL/HIL、PCS 接口</w:t>
            </w:r>
          </w:p>
        </w:tc>
      </w:tr>
    </w:tbl>
    <w:p>
      <w:pPr>
        <w:spacing w:after="0"/>
      </w:pPr>
    </w:p>
    <w:p>
      <w:r>
        <w:rPr>
          <w:rFonts w:ascii="Microsoft YaHei" w:hAnsi="Microsoft YaHei" w:eastAsia="Microsoft YaHei"/>
        </w:rPr>
        <w:t>现有技术债主要有四项：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静态搜索快照、静态图谱快照和 D1 知识表形成三套潜在真值。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EFIT 分块白名单写在 Worker 代码中，新增炮数据需要重发网站。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大型报告、GLB、EFIT 分块和研究资产进入 Git/站点发布包，放大发布与回滚成本。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docs/ARCHITECTURE.md</w:t>
      </w:r>
      <w:r>
        <w:rPr>
          <w:rFonts w:ascii="Microsoft YaHei" w:hAnsi="Microsoft YaHei" w:eastAsia="Microsoft YaHei"/>
        </w:rPr>
        <w:t xml:space="preserve"> 等文档曾落后于真实 D1/三维/EFIT 实现，需要把代码合同作为事实源。</w:t>
      </w:r>
    </w:p>
    <w:p>
      <w:pPr>
        <w:pStyle w:val="Heading1"/>
      </w:pPr>
      <w:r>
        <w:t>3. 目标架构与安全域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60" w:type="dxa"/>
        <w:tblBorders>
          <w:top w:val="single" w:sz="2" w:color="FFFFFF"/>
          <w:left w:val="single" w:sz="2" w:color="FFFFFF"/>
          <w:bottom w:val="single" w:sz="2" w:color="FFFFFF"/>
          <w:right w:val="single" w:sz="2" w:color="FFFFFF"/>
          <w:insideH w:val="single" w:sz="2" w:color="FFFFFF"/>
          <w:insideV w:val="single" w:sz="2" w:color="FFFFFF"/>
        </w:tblBorders>
      </w:tblPr>
      <w:tblGrid>
        <w:gridCol w:w="9360"/>
      </w:tblGrid>
      <w:tr>
        <w:tc>
          <w:tcPr>
            <w:tcW w:type="dxa" w:w="9360"/>
            <w:shd w:fill="EAF4F1"/>
            <w:tcMar>
              <w:top w:w="105" w:type="dxa"/>
              <w:start w:w="160" w:type="dxa"/>
              <w:bottom w:w="105" w:type="dxa"/>
              <w:end w:w="16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8221E"/>
                <w:sz w:val="20"/>
              </w:rPr>
              <w:t>公开投影面</w:t>
            </w:r>
          </w:p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/>
                <w:color w:val="5E6E67"/>
                <w:sz w:val="17"/>
              </w:rPr>
              <w:t>Sites / vinext / Worker / D1 / R2 · 公开知识、三维、EFIT 与带引用问答</w:t>
            </w:r>
          </w:p>
        </w:tc>
      </w:tr>
      <w:tr>
        <w:tc>
          <w:tcPr>
            <w:tcW w:type="dxa" w:w="9360"/>
            <w:shd w:fill="FFFFFF"/>
            <w:tcMar>
              <w:top w:w="105" w:type="dxa"/>
              <w:start w:w="160" w:type="dxa"/>
              <w:bottom w:w="105" w:type="dxa"/>
              <w:end w:w="16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5E6E67"/>
                <w:sz w:val="18"/>
              </w:rPr>
              <w:t>↓  已审查、签名、版本化的数据产品</w:t>
            </w:r>
          </w:p>
        </w:tc>
      </w:tr>
      <w:tr>
        <w:tc>
          <w:tcPr>
            <w:tcW w:type="dxa" w:w="9360"/>
            <w:shd w:fill="EEF3F8"/>
            <w:tcMar>
              <w:top w:w="105" w:type="dxa"/>
              <w:start w:w="160" w:type="dxa"/>
              <w:bottom w:w="105" w:type="dxa"/>
              <w:end w:w="16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8221E"/>
                <w:sz w:val="20"/>
              </w:rPr>
              <w:t>内网科学平台面</w:t>
            </w:r>
          </w:p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/>
                <w:color w:val="5E6E67"/>
                <w:sz w:val="17"/>
              </w:rPr>
              <w:t>PostgreSQL / S3 / MDSplus Gateway / CAD·CAE / Simulation / Knowledge / Agent Tool Broker</w:t>
            </w:r>
          </w:p>
        </w:tc>
      </w:tr>
      <w:tr>
        <w:tc>
          <w:tcPr>
            <w:tcW w:type="dxa" w:w="9360"/>
            <w:shd w:fill="FFFFFF"/>
            <w:tcMar>
              <w:top w:w="105" w:type="dxa"/>
              <w:start w:w="160" w:type="dxa"/>
              <w:bottom w:w="105" w:type="dxa"/>
              <w:end w:w="16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5E6E67"/>
                <w:sz w:val="18"/>
              </w:rPr>
              <w:t>↓  经验证且审批的参数包；不是在线控制命令</w:t>
            </w:r>
          </w:p>
        </w:tc>
      </w:tr>
      <w:tr>
        <w:tc>
          <w:tcPr>
            <w:tcW w:type="dxa" w:w="9360"/>
            <w:shd w:fill="FFF1E7"/>
            <w:tcMar>
              <w:top w:w="105" w:type="dxa"/>
              <w:start w:w="160" w:type="dxa"/>
              <w:bottom w:w="105" w:type="dxa"/>
              <w:end w:w="16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8221E"/>
                <w:sz w:val="20"/>
              </w:rPr>
              <w:t>实验实时面</w:t>
            </w:r>
          </w:p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/>
                <w:color w:val="5E6E67"/>
                <w:sz w:val="17"/>
              </w:rPr>
              <w:t>DAQ / PCS / MARTe2 / RT Linux / Interlock / Protection</w:t>
            </w:r>
          </w:p>
        </w:tc>
      </w:tr>
    </w:tbl>
    <w:p/>
    <w:p>
      <w:r>
        <w:rPr>
          <w:rFonts w:ascii="Microsoft YaHei" w:hAnsi="Microsoft YaHei" w:eastAsia="Microsoft YaHei"/>
        </w:rPr>
        <w:t>边界规则：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浏览器不直接访问 MDSplus、NAS、PLM/PDM、求解器或 PCS。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NAS 是落盘与归档介质，不作为 Web API 或主目录。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大文件放对象存储；数据库只保存元数据、ACL、版本、血缘、状态和对象引用。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Sites Worker 处理短请求；解析、抽取、仿真和 CAE 均异步作业化。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AI/智能体只使用白名单工具并生成候选，不直接执行任意 SQL、Shell、URL、MDSplus 写入或 PCS 命令。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实时控制链和科研 IT 链保持网络与责任隔离。</w:t>
      </w:r>
    </w:p>
    <w:p>
      <w:pPr>
        <w:pStyle w:val="Heading1"/>
      </w:pPr>
      <w:r>
        <w:t>4. 领域服务与统一对象</w:t>
      </w:r>
    </w:p>
    <w:p>
      <w:r>
        <w:rPr>
          <w:rFonts w:ascii="Microsoft YaHei" w:hAnsi="Microsoft YaHei" w:eastAsia="Microsoft YaHei"/>
        </w:rPr>
        <w:t>第一阶段采用“模块化单体 API + 独立计算任务”，不为了微服务而拆分。建议领域边界如下：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EDA"/>
          <w:left w:val="single" w:sz="4" w:color="D7DEDA"/>
          <w:bottom w:val="single" w:sz="4" w:color="D7DEDA"/>
          <w:right w:val="single" w:sz="4" w:color="D7DEDA"/>
          <w:insideH w:val="single" w:sz="4" w:color="D7DEDA"/>
          <w:insideV w:val="single" w:sz="4" w:color="D7DEDA"/>
        </w:tblBorders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服务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主要职责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Catalog Service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装置、炮号、信号、数据集、CAD、模型、文档和权限元数据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Artifact Service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大文件、哈希、版本、保留策略、对象引用和签名 URL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Shot Service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MDSplus tree/shot/node 发现、信号读取、时间基和质量位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Geometry Service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CAD 主数据引用、装配树、坐标变换、LOD 和网页派生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Simulation Service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模型注册、RunSpec 校验、提交、状态、取消和结果收集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State Service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诊断产品、状态估计、不确定度、历史回放和影子状态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Knowledge Service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Entity、Claim、Evidence、Relation、检索和图谱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Agent Tool Broker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受控检索、数据读取、仿真提交、结果解释与候选变更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Release Service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内网资产到公开快照的审查、签名、发布和回滚</w:t>
            </w:r>
          </w:p>
        </w:tc>
      </w:tr>
    </w:tbl>
    <w:p>
      <w:pPr>
        <w:spacing w:after="0"/>
      </w:pPr>
    </w:p>
    <w:p>
      <w:r>
        <w:rPr>
          <w:rFonts w:ascii="Microsoft YaHei" w:hAnsi="Microsoft YaHei" w:eastAsia="Microsoft YaHei"/>
        </w:rPr>
        <w:t>必须先冻结的核心对象：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DeviceRevision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Shot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SignalDescriptor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DataProduct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CoordinateFrame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ArtifactManifest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EquilibriumFrame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SimulationModel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SimulationRun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ResultManifest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DiagnosticProduct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ControlScenario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Entity / Claim / Evidence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AgentRun</w:t>
      </w:r>
    </w:p>
    <w:p>
      <w:pPr>
        <w:pStyle w:val="ListBullet"/>
        <w:ind w:left="259" w:hanging="259"/>
      </w:pPr>
      <w:r>
        <w:rPr>
          <w:rFonts w:ascii="Consolas" w:hAnsi="Consolas" w:eastAsia="Consolas"/>
          <w:color w:val="167C6A"/>
        </w:rPr>
        <w:t>Release</w:t>
      </w:r>
    </w:p>
    <w:p>
      <w:r>
        <w:rPr>
          <w:rFonts w:ascii="Microsoft YaHei" w:hAnsi="Microsoft YaHei" w:eastAsia="Microsoft YaHei"/>
        </w:rPr>
        <w:t xml:space="preserve">每个对象至少包含 </w:t>
      </w:r>
      <w:r>
        <w:rPr>
          <w:rFonts w:ascii="Consolas" w:hAnsi="Consolas" w:eastAsia="Consolas"/>
          <w:color w:val="167C6A"/>
        </w:rPr>
        <w:t>id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schemaVersion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revision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contentHash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classification/acl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coordinateFrame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units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timebase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provenance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quality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createdAt</w:t>
      </w:r>
      <w:r>
        <w:rPr>
          <w:rFonts w:ascii="Microsoft YaHei" w:hAnsi="Microsoft YaHei" w:eastAsia="Microsoft YaHei"/>
        </w:rPr>
        <w:t xml:space="preserve"> 和 </w:t>
      </w:r>
      <w:r>
        <w:rPr>
          <w:rFonts w:ascii="Consolas" w:hAnsi="Consolas" w:eastAsia="Consolas"/>
          <w:color w:val="167C6A"/>
        </w:rPr>
        <w:t>supersedes</w:t>
      </w:r>
      <w:r>
        <w:rPr>
          <w:rFonts w:ascii="Microsoft YaHei" w:hAnsi="Microsoft YaHei" w:eastAsia="Microsoft YaHei"/>
        </w:rPr>
        <w:t>。</w:t>
      </w:r>
    </w:p>
    <w:p>
      <w:r>
        <w:rPr>
          <w:rFonts w:ascii="Microsoft YaHei" w:hAnsi="Microsoft YaHei" w:eastAsia="Microsoft YaHei"/>
        </w:rPr>
        <w:t>每个新模块必须同时交付：Schema、Adapter、Contract tests 和 Search/graph projection。</w:t>
      </w:r>
    </w:p>
    <w:p>
      <w:pPr>
        <w:pStyle w:val="Heading1"/>
      </w:pPr>
      <w:r>
        <w:t>5. 数据基座</w:t>
      </w:r>
    </w:p>
    <w:p>
      <w:pPr>
        <w:pStyle w:val="Heading2"/>
      </w:pPr>
      <w:r>
        <w:t>5.1 权威角色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EDA"/>
          <w:left w:val="single" w:sz="4" w:color="D7DEDA"/>
          <w:bottom w:val="single" w:sz="4" w:color="D7DEDA"/>
          <w:right w:val="single" w:sz="4" w:color="D7DEDA"/>
          <w:insideH w:val="single" w:sz="4" w:color="D7DEDA"/>
          <w:insideV w:val="single" w:sz="4" w:color="D7DEDA"/>
        </w:tblBorders>
      </w:tblPr>
      <w:tblGrid>
        <w:gridCol w:w="3120"/>
        <w:gridCol w:w="3120"/>
        <w:gridCol w:w="3120"/>
      </w:tblGrid>
      <w:tr>
        <w:trPr>
          <w:cantSplit/>
          <w:tblHeader w:val="true"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系统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定位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不应承担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MDSplus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实验模型、pulse file、原始及处理信号的权威来源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公开网页直连、跨域元数据总目录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NAS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原始落地、历史归档、备份来源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在线查询 API、权限与版本目录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S3 对象存储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大型、不可变、带版本的资产、模型和结果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关系查询、任务状态机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PostgreSQL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目录、权限、血缘、任务、知识、审核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大型时序数组、CAD/CAE 文件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D1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公开站身份、配额、审计和发布投影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科学数据仓库、长任务调度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PLM/PDM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CAD、材料、配置基线和工程审批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浏览器渲染派生和公开分发</w:t>
            </w:r>
          </w:p>
        </w:tc>
      </w:tr>
    </w:tbl>
    <w:p>
      <w:pPr>
        <w:spacing w:after="0"/>
      </w:pPr>
    </w:p>
    <w:p>
      <w:pPr>
        <w:pStyle w:val="Heading2"/>
      </w:pPr>
      <w:r>
        <w:t>5.2 数据分层与格式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b/>
        </w:rPr>
        <w:t>Raw</w:t>
      </w:r>
      <w:r>
        <w:rPr>
          <w:rFonts w:ascii="Microsoft YaHei" w:hAnsi="Microsoft YaHei" w:eastAsia="Microsoft YaHei"/>
        </w:rPr>
        <w:t>：MDSplus、gfile、诊断图像、CAD/CAE、PDF；只增不改。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b/>
        </w:rPr>
        <w:t>Canonical</w:t>
      </w:r>
      <w:r>
        <w:rPr>
          <w:rFonts w:ascii="Microsoft YaHei" w:hAnsi="Microsoft YaHei" w:eastAsia="Microsoft YaHei"/>
        </w:rPr>
        <w:t>：统一装置/炮号/信号 ID、单位、坐标、时间基、质量和 IMAS/EXL 映射。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b/>
        </w:rPr>
        <w:t>Curated</w:t>
      </w:r>
      <w:r>
        <w:rPr>
          <w:rFonts w:ascii="Microsoft YaHei" w:hAnsi="Microsoft YaHei" w:eastAsia="Microsoft YaHei"/>
        </w:rPr>
        <w:t>：经校验的训练集、EFIT 序列、诊断状态和仿真输入包。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b/>
        </w:rPr>
        <w:t>Serving</w:t>
      </w:r>
      <w:r>
        <w:rPr>
          <w:rFonts w:ascii="Microsoft YaHei" w:hAnsi="Microsoft YaHei" w:eastAsia="Microsoft YaHei"/>
        </w:rPr>
        <w:t>：Parquet、Zarr、Arrow、glTF、VTK、检索索引和公开快照。</w:t>
      </w:r>
    </w:p>
    <w:p>
      <w:r>
        <w:rPr>
          <w:rFonts w:ascii="Microsoft YaHei" w:hAnsi="Microsoft YaHei" w:eastAsia="Microsoft YaHei"/>
        </w:rPr>
        <w:t>推荐格式：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MDSplus 保持实验原始炮数据。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Zarr/HDF5 保存 N 维科学数组。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Parquet 保存表格、事件和分析结果。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Arrow/Arrow Flight 用于进程间和服务间列式交换。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JSON 只承载小型元数据和 Manifest。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采用 IMAS/OMAS 作为跨代码语义映射骨架，但不强迫第一天重写所有 MDSplus 原始树。</w:t>
      </w:r>
    </w:p>
    <w:p>
      <w:pPr>
        <w:pStyle w:val="Heading1"/>
      </w:pPr>
      <w:r>
        <w:t>6. 三维、CAD 与 CAE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STEP/BREP/Parasolid 继续由 PLM/PDM 管理，是工程权威源。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glTF/GLB + Meshopt/KTX2 是浏览器运行时派生格式。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Three.js 保留用于装配、拾取、透明度、剖切、动画和 EFIT 叠加。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vtk.js 用于标量场、矢量场、等值面、切片和体渲染。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CAE 原生文件继续留存；显示层派生为 VTK/VTI/VTP/VTU、XDMF+HDF5、CGNS 或 Exodus。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超大结果使用 ParaView/trame 等服务端渲染，不把全量网格传给浏览器。</w:t>
      </w:r>
    </w:p>
    <w:p>
      <w:r>
        <w:rPr>
          <w:rFonts w:ascii="Microsoft YaHei" w:hAnsi="Microsoft YaHei" w:eastAsia="Microsoft YaHei"/>
        </w:rPr>
        <w:t>几何合同必须锁定单位、手性、原点、轴方向、R-Z-φ/XYZ 映射、CAD→EFIT 变换、稳定部件 ID、LOD、源哈希、派生哈希和访问级别。</w:t>
      </w:r>
    </w:p>
    <w:p>
      <w:pPr>
        <w:pStyle w:val="Heading1"/>
      </w:pPr>
      <w:r>
        <w:t>7. 仿真与任务编排</w:t>
      </w:r>
    </w:p>
    <w:p>
      <w:r>
        <w:rPr>
          <w:rFonts w:ascii="Microsoft YaHei" w:hAnsi="Microsoft YaHei" w:eastAsia="Microsoft YaHei"/>
        </w:rPr>
        <w:t>所有 EFIT、MEQ/FGE、DINA、物理及 CAE 求解器实现统一适配器：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50" w:type="dxa"/>
      </w:tblPr>
      <w:tblGrid>
        <w:gridCol w:w="9360"/>
      </w:tblGrid>
      <w:tr>
        <w:tc>
          <w:tcPr>
            <w:tcW w:type="dxa" w:w="9360"/>
            <w:shd w:fill="F6F7F7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18221E"/>
                <w:sz w:val="16"/>
              </w:rPr>
              <w:t>describe()</w:t>
              <w:br/>
              <w:t>validate(inputPackage)</w:t>
              <w:br/>
              <w:t>submit(runSpec)</w:t>
              <w:br/>
              <w:t>status(runId)</w:t>
              <w:br/>
              <w:t>cancel(runId)</w:t>
              <w:br/>
              <w:t>collect(runId)</w:t>
              <w:br/>
              <w:t>health()</w:t>
            </w:r>
          </w:p>
        </w:tc>
      </w:tr>
    </w:tbl>
    <w:p>
      <w:r>
        <w:rPr>
          <w:rFonts w:ascii="Microsoft YaHei" w:hAnsi="Microsoft YaHei" w:eastAsia="Microsoft YaHei"/>
        </w:rPr>
        <w:t xml:space="preserve">每次运行生成不可变 </w:t>
      </w:r>
      <w:r>
        <w:rPr>
          <w:rFonts w:ascii="Consolas" w:hAnsi="Consolas" w:eastAsia="Consolas"/>
          <w:color w:val="167C6A"/>
        </w:rPr>
        <w:t>RunManifest</w:t>
      </w:r>
      <w:r>
        <w:rPr>
          <w:rFonts w:ascii="Microsoft YaHei" w:hAnsi="Microsoft YaHei" w:eastAsia="Microsoft YaHei"/>
        </w:rPr>
        <w:t>，包含：输入 URI/哈希、Git SHA、OCI image digest、参数、单位、坐标、网格、时间步、随机种子、资源、许可证、超时、输出 schema、VVUQ 状态和所有输出哈希。</w:t>
      </w:r>
    </w:p>
    <w:p>
      <w:r>
        <w:rPr>
          <w:rFonts w:ascii="Microsoft YaHei" w:hAnsi="Microsoft YaHei" w:eastAsia="Microsoft YaHei"/>
        </w:rPr>
        <w:t>技术选择：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本地：Docker Compose。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私有生产：Kubernetes Jobs + Argo Workflows。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既有 HPC：保留 Slurm，由 Compute Broker 适配。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镜像：企业 OCI Registry/Harbor，固定 digest、签名和 SBOM。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 xml:space="preserve">事件：NATS JetStream + CloudEvents；消息只传 </w:t>
      </w:r>
      <w:r>
        <w:rPr>
          <w:rFonts w:ascii="Consolas" w:hAnsi="Consolas" w:eastAsia="Consolas"/>
          <w:color w:val="167C6A"/>
        </w:rPr>
        <w:t>ArtifactRef</w:t>
      </w:r>
      <w:r>
        <w:rPr>
          <w:rFonts w:ascii="Microsoft YaHei" w:hAnsi="Microsoft YaHei" w:eastAsia="Microsoft YaHei"/>
        </w:rPr>
        <w:t>、状态和哈希。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多日人工补偿工作流复杂到 Argo 无法合理表达时，再评估 Temporal；一期不同时引入两套工作流。</w:t>
      </w:r>
    </w:p>
    <w:p>
      <w:pPr>
        <w:pStyle w:val="Heading1"/>
      </w:pPr>
      <w:r>
        <w:t>8. 诊断感知与集成控制</w:t>
      </w:r>
    </w:p>
    <w:p>
      <w:r>
        <w:rPr>
          <w:rFonts w:ascii="Consolas" w:hAnsi="Consolas" w:eastAsia="Consolas"/>
          <w:color w:val="167C6A"/>
        </w:rPr>
        <w:t>StateEstimate</w:t>
      </w:r>
      <w:r>
        <w:rPr>
          <w:rFonts w:ascii="Microsoft YaHei" w:hAnsi="Microsoft YaHei" w:eastAsia="Microsoft YaHei"/>
        </w:rPr>
        <w:t xml:space="preserve"> 必须包含时间戳/时间基、估计值、不确定度、诊断及标定版本、缺失通道、质量位、模型版本、适用域和处理延迟。</w:t>
      </w:r>
    </w:p>
    <w:p>
      <w:r>
        <w:rPr>
          <w:rFonts w:ascii="Microsoft YaHei" w:hAnsi="Microsoft YaHei" w:eastAsia="Microsoft YaHei"/>
        </w:rPr>
        <w:t>控制接入按以下阶梯推进：</w:t>
      </w:r>
    </w:p>
    <w:p>
      <w:pPr>
        <w:ind w:left="259" w:hanging="259"/>
      </w:pPr>
      <w:r>
        <w:rPr>
          <w:rFonts w:ascii="Microsoft YaHei" w:hAnsi="Microsoft YaHei" w:eastAsia="Microsoft YaHei"/>
        </w:rPr>
        <w:t>1. 历史回放。</w:t>
      </w:r>
    </w:p>
    <w:p>
      <w:pPr>
        <w:ind w:left="259" w:hanging="259"/>
      </w:pPr>
      <w:r>
        <w:rPr>
          <w:rFonts w:ascii="Microsoft YaHei" w:hAnsi="Microsoft YaHei" w:eastAsia="Microsoft YaHei"/>
        </w:rPr>
        <w:t>2. SIL 软件在环。</w:t>
      </w:r>
    </w:p>
    <w:p>
      <w:pPr>
        <w:ind w:left="259" w:hanging="259"/>
      </w:pPr>
      <w:r>
        <w:rPr>
          <w:rFonts w:ascii="Microsoft YaHei" w:hAnsi="Microsoft YaHei" w:eastAsia="Microsoft YaHei"/>
        </w:rPr>
        <w:t>3. 控制器—被控对象联合仿真。</w:t>
      </w:r>
    </w:p>
    <w:p>
      <w:pPr>
        <w:ind w:left="259" w:hanging="259"/>
      </w:pPr>
      <w:r>
        <w:rPr>
          <w:rFonts w:ascii="Microsoft YaHei" w:hAnsi="Microsoft YaHei" w:eastAsia="Microsoft YaHei"/>
        </w:rPr>
        <w:t>4. HIL 硬件在环。</w:t>
      </w:r>
    </w:p>
    <w:p>
      <w:pPr>
        <w:ind w:left="259" w:hanging="259"/>
      </w:pPr>
      <w:r>
        <w:rPr>
          <w:rFonts w:ascii="Microsoft YaHei" w:hAnsi="Microsoft YaHei" w:eastAsia="Microsoft YaHei"/>
        </w:rPr>
        <w:t>5. 影子模式。</w:t>
      </w:r>
    </w:p>
    <w:p>
      <w:pPr>
        <w:ind w:left="259" w:hanging="259"/>
      </w:pPr>
      <w:r>
        <w:rPr>
          <w:rFonts w:ascii="Microsoft YaHei" w:hAnsi="Microsoft YaHei" w:eastAsia="Microsoft YaHei"/>
        </w:rPr>
        <w:t>6. 通过正式装置安全流程后，才讨论有限低风险闭环。</w:t>
      </w:r>
    </w:p>
    <w:p>
      <w:r>
        <w:rPr>
          <w:rFonts w:ascii="Microsoft YaHei" w:hAnsi="Microsoft YaHei" w:eastAsia="Microsoft YaHei"/>
        </w:rPr>
        <w:t>MEQ/FGE、DINA 可先以原生容器适配，成熟的 reduced plant/controller 可考虑 FMI 3.0 与 SSP。硬实时节点继续使用现有 PCS、MARTe2、PREEMPT_RT 或专用实时平台，不迁移到 Kubernetes。</w:t>
      </w:r>
    </w:p>
    <w:p>
      <w:pPr>
        <w:pStyle w:val="Heading1"/>
      </w:pPr>
      <w:r>
        <w:t>9. LLM 与智能体</w:t>
      </w:r>
    </w:p>
    <w:p>
      <w:r>
        <w:rPr>
          <w:rFonts w:ascii="Microsoft YaHei" w:hAnsi="Microsoft YaHei" w:eastAsia="Microsoft YaHei"/>
        </w:rPr>
        <w:t>能力分级：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L0：带引用知识检索。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L1：只读数据分析。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L2：生成仿真输入候选。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L3：提交离线仿真任务。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L4：生成控制参数候选，但必须人工审批。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</w:rPr>
        <w:t>禁止：直接改库、执行任意 Shell/URL、写 MDSplus 或控制 PCS。</w:t>
      </w:r>
    </w:p>
    <w:p>
      <w:r>
        <w:rPr>
          <w:rFonts w:ascii="Microsoft YaHei" w:hAnsi="Microsoft YaHei" w:eastAsia="Microsoft YaHei"/>
        </w:rPr>
        <w:t xml:space="preserve">建议保留当前服务端 Responses API，同时增加供应商无关 AI Gateway 和严格 Tool Broker。工具仅暴露受控能力，例如 </w:t>
      </w:r>
      <w:r>
        <w:rPr>
          <w:rFonts w:ascii="Consolas" w:hAnsi="Consolas" w:eastAsia="Consolas"/>
          <w:color w:val="167C6A"/>
        </w:rPr>
        <w:t>search_evidence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get_shot_metadata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read_signal_slice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get_geometry_manifest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submit_simulation</w:t>
      </w:r>
      <w:r>
        <w:rPr>
          <w:rFonts w:ascii="Microsoft YaHei" w:hAnsi="Microsoft YaHei" w:eastAsia="Microsoft YaHei"/>
        </w:rPr>
        <w:t>、</w:t>
      </w:r>
      <w:r>
        <w:rPr>
          <w:rFonts w:ascii="Consolas" w:hAnsi="Consolas" w:eastAsia="Consolas"/>
          <w:color w:val="167C6A"/>
        </w:rPr>
        <w:t>get_run_result</w:t>
      </w:r>
      <w:r>
        <w:rPr>
          <w:rFonts w:ascii="Microsoft YaHei" w:hAnsi="Microsoft YaHei" w:eastAsia="Microsoft YaHei"/>
        </w:rPr>
        <w:t xml:space="preserve"> 和 </w:t>
      </w:r>
      <w:r>
        <w:rPr>
          <w:rFonts w:ascii="Consolas" w:hAnsi="Consolas" w:eastAsia="Consolas"/>
          <w:color w:val="167C6A"/>
        </w:rPr>
        <w:t>propose_candidate_change</w:t>
      </w:r>
      <w:r>
        <w:rPr>
          <w:rFonts w:ascii="Microsoft YaHei" w:hAnsi="Microsoft YaHei" w:eastAsia="Microsoft YaHei"/>
        </w:rPr>
        <w:t>。</w:t>
      </w:r>
    </w:p>
    <w:p>
      <w:r>
        <w:rPr>
          <w:rFonts w:ascii="Microsoft YaHei" w:hAnsi="Microsoft YaHei" w:eastAsia="Microsoft YaHei"/>
        </w:rPr>
        <w:t>模型与代理模型使用 MLflow/OCI 管理版本、别名、训练运行、模型卡、适用域和批准状态；可部署格式优先 ONNX/FMU。每次调用记录用户、模型、prompt/schema 版本、输入输出哈希和权限结果。</w:t>
      </w:r>
    </w:p>
    <w:p>
      <w:pPr>
        <w:pStyle w:val="Heading1"/>
      </w:pPr>
      <w:r>
        <w:t>10. 技术栈决策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EDA"/>
          <w:left w:val="single" w:sz="4" w:color="D7DEDA"/>
          <w:bottom w:val="single" w:sz="4" w:color="D7DEDA"/>
          <w:right w:val="single" w:sz="4" w:color="D7DEDA"/>
          <w:insideH w:val="single" w:sz="4" w:color="D7DEDA"/>
          <w:insideV w:val="single" w:sz="4" w:color="D7DEDA"/>
        </w:tblBorders>
      </w:tblPr>
      <w:tblGrid>
        <w:gridCol w:w="3120"/>
        <w:gridCol w:w="3120"/>
        <w:gridCol w:w="3120"/>
      </w:tblGrid>
      <w:tr>
        <w:trPr>
          <w:cantSplit/>
          <w:tblHeader w:val="true"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层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推荐选型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采用时机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公开体验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React 19、vinext、Worker、D1/R2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保留并收敛职责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API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FastAPI、Pydantic、OpenAPI 3.1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P1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内部 RPC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gRPC/Protobuf、Arrow Flight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有高吞吐/跨语言需求时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元数据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PostgreSQL + JSONB + FTS + pgvector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P1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大资产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MinIO 或 Ceph RGW；公开投影 R2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P1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科学格式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MDSplus、Zarr/HDF5、Parquet、Arrow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P1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三维/场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Three.js、glTF/Meshopt、vtk.js、XDMF/HDF5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P2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计算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Docker、Kubernetes Jobs、Argo、Slurm Adapter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P2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事件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NATS JetStream、CloudEvents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P3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模型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MLflow、OCI、ONNX/FMU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P2–P5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可观测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OpenTelemetry、Prometheus/Grafana、Loki/Tempo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P1 起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身份密钥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企业 OIDC/Keycloak/Entra ID、Vault/KMS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P1</w:t>
            </w:r>
          </w:p>
        </w:tc>
      </w:tr>
    </w:tbl>
    <w:p>
      <w:pPr>
        <w:spacing w:after="0"/>
      </w:pPr>
    </w:p>
    <w:p>
      <w:r>
        <w:rPr>
          <w:rFonts w:ascii="Microsoft YaHei" w:hAnsi="Microsoft YaHei" w:eastAsia="Microsoft YaHei"/>
        </w:rPr>
        <w:t>暂缓：全面微服务化、Iceberg/Trino 湖仓、Neo4j、OpenSearch、Kafka、Service Mesh，以及任何 LLM 自动发布或公网直连实验/控制域。</w:t>
      </w:r>
    </w:p>
    <w:p>
      <w:pPr>
        <w:pStyle w:val="Heading1"/>
      </w:pPr>
      <w:r>
        <w:t>11. 分阶段路线</w:t>
      </w:r>
    </w:p>
    <w:p>
      <w:r>
        <w:rPr>
          <w:rFonts w:ascii="Microsoft YaHei" w:hAnsi="Microsoft YaHei" w:eastAsia="Microsoft YaHei"/>
        </w:rPr>
        <w:t>工期按 8–10 人核心团队估算；3–4 人团队通常需要约两倍日历时间。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EDA"/>
          <w:left w:val="single" w:sz="4" w:color="D7DEDA"/>
          <w:bottom w:val="single" w:sz="4" w:color="D7DEDA"/>
          <w:right w:val="single" w:sz="4" w:color="D7DEDA"/>
          <w:insideH w:val="single" w:sz="4" w:color="D7DEDA"/>
          <w:insideV w:val="single" w:sz="4" w:color="D7DEDA"/>
        </w:tblBorders>
      </w:tblPr>
      <w:tblGrid>
        <w:gridCol w:w="2340"/>
        <w:gridCol w:w="2340"/>
        <w:gridCol w:w="2340"/>
        <w:gridCol w:w="2340"/>
      </w:tblGrid>
      <w:tr>
        <w:trPr>
          <w:cantSplit/>
          <w:tblHeader w:val="true"/>
        </w:trP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阶段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工期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主要交付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核心验收</w:t>
            </w:r>
          </w:p>
        </w:tc>
      </w:tr>
      <w:tr>
        <w:trPr>
          <w:cantSplit/>
        </w:trP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P0 清债与合同冻结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4–6 周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ID/单位/坐标/时间、RunManifest v1、资产盘点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18303 + 1 CAD + 1 仿真黄金链路可重放</w:t>
            </w:r>
          </w:p>
        </w:tc>
      </w:tr>
      <w:tr>
        <w:trPr>
          <w:cantSplit/>
        </w:trP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P1 数据基座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8–12 周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PostgreSQL、对象存储、OIDC、MDSplus/NAS/CAD/文档适配器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原始不可变、血缘 100%、权限和恢复演练通过</w:t>
            </w:r>
          </w:p>
        </w:tc>
      </w:tr>
      <w:tr>
        <w:trPr>
          <w:cantSplit/>
        </w:trP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P2 仿真与三维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10–14 周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MEQ/DINA/EFIT Run API、K8s/Slurm、ResultManifest、vtk.js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失败重试、取消、重放和资源配额通过</w:t>
            </w:r>
          </w:p>
        </w:tc>
      </w:tr>
      <w:tr>
        <w:trPr>
          <w:cantSplit/>
        </w:trP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P3 诊断与影子状态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10–14 周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shot 事件、同步、质量位、状态估计、历史回放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乱序、缺失、延迟、漂移注入通过</w:t>
            </w:r>
          </w:p>
        </w:tc>
      </w:tr>
      <w:tr>
        <w:trPr>
          <w:cantSplit/>
        </w:trP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P4 SIL/HIL/影子控制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12–18 周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联合仿真、签名参数包、HIL/影子、双人审批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时延、故障回退、隔离、安全评审通过</w:t>
            </w:r>
          </w:p>
        </w:tc>
      </w:tr>
      <w:tr>
        <w:trPr>
          <w:cantSplit/>
        </w:trP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P5 智能体平台化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8–12 周，可并行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AI Gateway、Tool Broker、RAG、候选任务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引用、拒答、越权和注入测试通过</w:t>
            </w:r>
          </w:p>
        </w:tc>
      </w:tr>
    </w:tbl>
    <w:p>
      <w:pPr>
        <w:spacing w:after="0"/>
      </w:pPr>
    </w:p>
    <w:p>
      <w:r>
        <w:rPr>
          <w:rFonts w:ascii="Microsoft YaHei" w:hAnsi="Microsoft YaHei" w:eastAsia="Microsoft YaHei"/>
        </w:rPr>
        <w:t>数据+仿真+三维 MVP 约 5–7 个月；诊断影子平台约 8–12 个月；可审查 SIL/HIL/影子控制约 12–18 个月。安全关键闭环不能按普通软件项目承诺。</w:t>
      </w:r>
    </w:p>
    <w:p>
      <w:pPr>
        <w:pStyle w:val="Heading1"/>
      </w:pPr>
      <w:r>
        <w:t>12. 未来 90 天</w:t>
      </w:r>
    </w:p>
    <w:p>
      <w:r>
        <w:rPr>
          <w:rFonts w:ascii="Microsoft YaHei" w:hAnsi="Microsoft YaHei" w:eastAsia="Microsoft YaHei"/>
        </w:rPr>
        <w:t>只集中完成六件事：</w:t>
      </w:r>
    </w:p>
    <w:p>
      <w:pPr>
        <w:ind w:left="259" w:hanging="259"/>
      </w:pPr>
      <w:r>
        <w:rPr>
          <w:rFonts w:ascii="Microsoft YaHei" w:hAnsi="Microsoft YaHei" w:eastAsia="Microsoft YaHei"/>
        </w:rPr>
        <w:t xml:space="preserve">1. 冻结 </w:t>
      </w:r>
      <w:r>
        <w:rPr>
          <w:rFonts w:ascii="Consolas" w:hAnsi="Consolas" w:eastAsia="Consolas"/>
          <w:color w:val="167C6A"/>
        </w:rPr>
        <w:t>Device/Shot/Signal/Geometry/Run/Artifact</w:t>
      </w:r>
      <w:r>
        <w:rPr>
          <w:rFonts w:ascii="Microsoft YaHei" w:hAnsi="Microsoft YaHei" w:eastAsia="Microsoft YaHei"/>
        </w:rPr>
        <w:t xml:space="preserve"> 合同。</w:t>
      </w:r>
    </w:p>
    <w:p>
      <w:pPr>
        <w:ind w:left="259" w:hanging="259"/>
      </w:pPr>
      <w:r>
        <w:rPr>
          <w:rFonts w:ascii="Microsoft YaHei" w:hAnsi="Microsoft YaHei" w:eastAsia="Microsoft YaHei"/>
        </w:rPr>
        <w:t>2. 明确 MDSplus、NAS、对象存储、PostgreSQL、D1 和 PLM/PDM 的权威边界。</w:t>
      </w:r>
    </w:p>
    <w:p>
      <w:pPr>
        <w:ind w:left="259" w:hanging="259"/>
      </w:pPr>
      <w:r>
        <w:rPr>
          <w:rFonts w:ascii="Microsoft YaHei" w:hAnsi="Microsoft YaHei" w:eastAsia="Microsoft YaHei"/>
        </w:rPr>
        <w:t>3. 建立 18303 黄金炮端到端数据包。</w:t>
      </w:r>
    </w:p>
    <w:p>
      <w:pPr>
        <w:ind w:left="259" w:hanging="259"/>
      </w:pPr>
      <w:r>
        <w:rPr>
          <w:rFonts w:ascii="Microsoft YaHei" w:hAnsi="Microsoft YaHei" w:eastAsia="Microsoft YaHei"/>
        </w:rPr>
        <w:t>4. 将 MEQ/FGE、DINA、EFIT 包装为同一 Run API。</w:t>
      </w:r>
    </w:p>
    <w:p>
      <w:pPr>
        <w:ind w:left="259" w:hanging="259"/>
      </w:pPr>
      <w:r>
        <w:rPr>
          <w:rFonts w:ascii="Microsoft YaHei" w:hAnsi="Microsoft YaHei" w:eastAsia="Microsoft YaHei"/>
        </w:rPr>
        <w:t>5. 建立 CAD–EFIT 坐标注册和浏览器派生管线。</w:t>
      </w:r>
    </w:p>
    <w:p>
      <w:pPr>
        <w:ind w:left="259" w:hanging="259"/>
      </w:pPr>
      <w:r>
        <w:rPr>
          <w:rFonts w:ascii="Microsoft YaHei" w:hAnsi="Microsoft YaHei" w:eastAsia="Microsoft YaHei"/>
        </w:rPr>
        <w:t>6. 建立 VVUQ、信息分级、审批和发布快照门禁。</w:t>
      </w:r>
    </w:p>
    <w:p>
      <w:pPr>
        <w:pStyle w:val="Heading1"/>
      </w:pPr>
      <w:r>
        <w:t>13. 主要风险与验收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EDA"/>
          <w:left w:val="single" w:sz="4" w:color="D7DEDA"/>
          <w:bottom w:val="single" w:sz="4" w:color="D7DEDA"/>
          <w:right w:val="single" w:sz="4" w:color="D7DEDA"/>
          <w:insideH w:val="single" w:sz="4" w:color="D7DEDA"/>
          <w:insideV w:val="single" w:sz="4" w:color="D7DEDA"/>
        </w:tblBorders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风险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3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/>
                <w:color w:val="18221E"/>
                <w:sz w:val="16"/>
              </w:rPr>
              <w:t>控制措施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CAD/装置数据泄露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资产目录、对象级 ACL、派生流水线、双人发布审批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坐标/单位/时间不一致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公共合同、黄金数据、跨适配器 contract tests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三套知识真值并存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PostgreSQL 成为写入源，静态 JSON/D1 只做发布投影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求解器不可复现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OCI digest、RunManifest、输入输出哈希、SBOM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仿真结果冒充权威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authority、VVUQ、适用域和禁止用途进入机器可读元数据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智能体越权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工具白名单、最小权限、候选制、人工审批、审计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Web 路径进入实时控制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sz w:val="16"/>
              </w:rPr>
              <w:t>网络隔离、单向同步、签名参数包和独立保护域</w:t>
            </w:r>
          </w:p>
        </w:tc>
      </w:tr>
    </w:tbl>
    <w:p>
      <w:pPr>
        <w:spacing w:after="0"/>
      </w:pPr>
    </w:p>
    <w:p>
      <w:r>
        <w:rPr>
          <w:rFonts w:ascii="Microsoft YaHei" w:hAnsi="Microsoft YaHei" w:eastAsia="Microsoft YaHei"/>
        </w:rPr>
        <w:t>验收底线：输入输出血缘 100%；固定运行可由镜像 digest、数据快照与参数清单重放；时间、坐标、单位合同全通过；缺失/乱序/延迟/漂移有明确质量状态；未审批模型不能进入生产候选；控制与安全相关升级需独立 SIL/HIL/影子证据。</w:t>
      </w:r>
    </w:p>
    <w:p>
      <w:pPr>
        <w:pStyle w:val="Heading1"/>
      </w:pPr>
      <w:r>
        <w:t>14. 参考规范与官方资料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color w:val="167C6A"/>
          <w:u w:val="single"/>
        </w:rPr>
        <w:t>MDSplus Documentation（https://www.mdsplus.org/index.php/Documentation）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color w:val="167C6A"/>
          <w:u w:val="single"/>
        </w:rPr>
        <w:t>Zarr v3 Core Specification（https://zarr-specs.readthedocs.io/en/latest/v3/core/）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color w:val="167C6A"/>
          <w:u w:val="single"/>
        </w:rPr>
        <w:t>Apache Arrow Columnar Format（https://arrow.apache.org/docs/format/Columnar.html）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color w:val="167C6A"/>
          <w:u w:val="single"/>
        </w:rPr>
        <w:t>Arrow Flight RPC（https://arrow.apache.org/docs/format/Flight.html）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color w:val="167C6A"/>
          <w:u w:val="single"/>
        </w:rPr>
        <w:t>gRPC Introduction（https://grpc.io/docs/what-is-grpc/introduction/）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color w:val="167C6A"/>
          <w:u w:val="single"/>
        </w:rPr>
        <w:t>Kubernetes Jobs（https://kubernetes.io/docs/concepts/workloads/controllers/job/）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color w:val="167C6A"/>
          <w:u w:val="single"/>
        </w:rPr>
        <w:t>NATS JetStream（https://docs.nats.io/nats-concepts/jetstream）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color w:val="167C6A"/>
          <w:u w:val="single"/>
        </w:rPr>
        <w:t>OpenTelemetry（https://opentelemetry.io/docs/）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color w:val="167C6A"/>
          <w:u w:val="single"/>
        </w:rPr>
        <w:t>Temporal Documentation（https://docs.temporal.io/）</w:t>
      </w:r>
    </w:p>
    <w:p>
      <w:pPr>
        <w:pStyle w:val="ListBullet"/>
        <w:ind w:left="259" w:hanging="259"/>
      </w:pPr>
      <w:r>
        <w:rPr>
          <w:rFonts w:ascii="Microsoft YaHei" w:hAnsi="Microsoft YaHei" w:eastAsia="Microsoft YaHei"/>
          <w:color w:val="167C6A"/>
          <w:u w:val="single"/>
        </w:rPr>
        <w:t>FMI 3.0（https://fmi-standard.org/docs/3.0.1/）</w:t>
      </w:r>
    </w:p>
    <w:p>
      <w:r>
        <w:rPr>
          <w:rFonts w:ascii="Microsoft YaHei" w:hAnsi="Microsoft YaHei" w:eastAsia="Microsoft YaHei"/>
        </w:rPr>
        <w:t>最重要的技术决策不是再增加一种框架，而是先稳定统一合同、权威源边界和可重放证据链。只有这三件事稳定，后续物理、工程、诊断、控制和智能体模块才不会继续放大当前的臃肿。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79" w:left="1123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Microsoft YaHei" w:hAnsi="Microsoft YaHei" w:eastAsia="Microsoft YaHei"/>
        <w:color w:val="5E6E67"/>
        <w:sz w:val="16"/>
      </w:rPr>
      <w:t xml:space="preserve">FusionDigital 技术路线  · 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4" w:color="167C6A"/>
      </w:pBdr>
    </w:pPr>
    <w:r>
      <w:rPr>
        <w:rFonts w:ascii="Microsoft YaHei" w:hAnsi="Microsoft YaHei" w:eastAsia="Microsoft YaHei"/>
        <w:b/>
        <w:color w:val="167C6A"/>
        <w:sz w:val="16"/>
      </w:rPr>
      <w:t>FUSIONDIGITAL  /  PLATFORM ARCHITECTURE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 w:eastAsia="Microsoft YaHei"/>
      <w:color w:val="18221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6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18221E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167C6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E86F2A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 w:eastAsia="Microsoft YaHei"/>
      <w:b/>
      <w:color w:val="18221E"/>
      <w:spacing w:val="5"/>
      <w:kern w:val="28"/>
      <w:sz w:val="6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80"/>
    </w:pPr>
    <w:rPr>
      <w:rFonts w:asciiTheme="majorHAnsi" w:eastAsiaTheme="majorEastAsia" w:hAnsiTheme="majorHAnsi" w:cstheme="majorBidi" w:ascii="Calibri" w:hAnsi="Calibri" w:eastAsia="Microsoft YaHei"/>
      <w:b w:val="0"/>
      <w:i/>
      <w:iCs/>
      <w:color w:val="5E6E67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FusionDigital 整体技术路线图</dc:title>
  <dc:subject>知识、三维、仿真、诊断、控制、数据与智能体平台架构</dc:subject>
  <dc:creator>FusionDigital</dc:creator>
  <cp:keywords>FusionDigital, MDSplus, CAD, CAE, EFIT, DINA, MEQ, digital twin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